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184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31750"/>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264795</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Report of Foreign Private Issuer</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Rule 13a-16 or 15d-16 under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month of February 2023</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 001-14014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CREDICORP LTD.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our subsidiary</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Banco de Credito del Peru:</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Calle Centenario 156</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 Molina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Lima 12, Peru</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79" w:lineRule="exact"/>
        <w:rPr>
          <w:sz w:val="24"/>
          <w:szCs w:val="24"/>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7"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The information in this Form 6-K (including any </w:t>
      </w:r>
      <w:r>
        <w:rPr>
          <w:rFonts w:ascii="Times New Roman" w:cs="Times New Roman" w:eastAsia="Times New Roman" w:hAnsi="Times New Roman"/>
          <w:sz w:val="17"/>
          <w:szCs w:val="17"/>
          <w:u w:val="single" w:color="auto"/>
          <w:color w:val="0000EE"/>
        </w:rPr>
        <w:t>exhibit</w:t>
      </w:r>
      <w:r>
        <w:rPr>
          <w:rFonts w:ascii="Times New Roman" w:cs="Times New Roman" w:eastAsia="Times New Roman" w:hAnsi="Times New Roman"/>
          <w:sz w:val="17"/>
          <w:szCs w:val="17"/>
          <w:color w:val="auto"/>
        </w:rPr>
        <w:t xml:space="preserve">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173990</wp:posOffset>
            </wp:positionV>
            <wp:extent cx="7141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262255</wp:posOffset>
            </wp:positionV>
            <wp:extent cx="7141845"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845" cy="317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389890</wp:posOffset>
            </wp:positionV>
            <wp:extent cx="714184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1" w:lineRule="exact"/>
        <w:rPr>
          <w:sz w:val="20"/>
          <w:szCs w:val="20"/>
          <w:color w:val="auto"/>
        </w:rPr>
      </w:pPr>
    </w:p>
    <w:p>
      <w:pPr>
        <w:ind w:firstLine="498"/>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Date: February 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7"/>
          <w:szCs w:val="17"/>
          <w:color w:val="auto"/>
        </w:rPr>
        <w:t>, 2023</w:t>
      </w:r>
    </w:p>
    <w:p>
      <w:pPr>
        <w:spacing w:after="0" w:line="1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CREDICORP LTD.</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(Registrant)</w:t>
      </w:r>
    </w:p>
    <w:p>
      <w:pPr>
        <w:spacing w:after="0" w:line="1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3763010</wp:posOffset>
            </wp:positionH>
            <wp:positionV relativeFrom="paragraph">
              <wp:posOffset>13970</wp:posOffset>
            </wp:positionV>
            <wp:extent cx="266001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60015" cy="15875"/>
                    </a:xfrm>
                    <a:prstGeom prst="rect">
                      <a:avLst/>
                    </a:prstGeom>
                    <a:noFill/>
                  </pic:spPr>
                </pic:pic>
              </a:graphicData>
            </a:graphic>
          </wp:anchor>
        </w:drawing>
      </w:r>
    </w:p>
    <w:p>
      <w:pPr>
        <w:spacing w:after="0" w:line="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b w:val="1"/>
          <w:bCs w:val="1"/>
          <w:color w:val="auto"/>
        </w:rPr>
        <w:t>Guillermo Morales</w:t>
      </w:r>
    </w:p>
    <w:p>
      <w:pPr>
        <w:spacing w:after="0" w:line="2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315595</wp:posOffset>
            </wp:positionV>
            <wp:extent cx="714184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0980"/>
          </w:cols>
          <w:pgMar w:left="320" w:top="119" w:right="599" w:bottom="1440" w:gutter="0" w:footer="0" w:header="0"/>
        </w:sectPr>
      </w:pPr>
    </w:p>
    <w:bookmarkStart w:id="2" w:name="page3"/>
    <w:bookmarkEnd w:id="2"/>
    <w:p>
      <w:pPr>
        <w:ind w:left="9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845" cy="3175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157480</wp:posOffset>
            </wp:positionV>
            <wp:extent cx="7141845" cy="8875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8875395"/>
                    </a:xfrm>
                    <a:prstGeom prst="rect">
                      <a:avLst/>
                    </a:prstGeom>
                    <a:noFill/>
                  </pic:spPr>
                </pic:pic>
              </a:graphicData>
            </a:graphic>
          </wp:anchor>
        </w:drawing>
      </w:r>
    </w:p>
    <w:p>
      <w:pPr>
        <w:sectPr>
          <w:pgSz w:w="11900" w:h="16838" w:orient="portrait"/>
          <w:cols w:equalWidth="0" w:num="1">
            <w:col w:w="10120"/>
          </w:cols>
          <w:pgMar w:left="1440" w:top="412" w:right="339" w:bottom="1440" w:gutter="0" w:footer="0" w:header="0"/>
        </w:sectPr>
      </w:pPr>
    </w:p>
    <w:bookmarkStart w:id="3" w:name="page4"/>
    <w:bookmarkEnd w:id="3"/>
    <w:p>
      <w:pPr>
        <w:ind w:left="2680"/>
        <w:spacing w:after="0"/>
        <w:tabs>
          <w:tab w:leader="none" w:pos="3020" w:val="left"/>
        </w:tabs>
        <w:rPr>
          <w:sz w:val="20"/>
          <w:szCs w:val="20"/>
          <w:color w:val="auto"/>
        </w:rPr>
      </w:pPr>
      <w:r>
        <w:rPr>
          <w:rFonts w:ascii="Arial" w:cs="Arial" w:eastAsia="Arial" w:hAnsi="Arial"/>
          <w:sz w:val="17"/>
          <w:szCs w:val="17"/>
          <w:color w:val="A6A6A6"/>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615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615315"/>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45"/>
          <w:szCs w:val="45"/>
          <w:b w:val="1"/>
          <w:bCs w:val="1"/>
          <w:color w:val="2AD2C9"/>
        </w:rPr>
        <w:t>Table of Contents</w:t>
      </w:r>
    </w:p>
    <w:p>
      <w:pPr>
        <w:spacing w:after="0" w:line="224"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7"/>
                <w:szCs w:val="17"/>
                <w:b w:val="1"/>
                <w:bCs w:val="1"/>
                <w:color w:val="A6A6A6"/>
              </w:rPr>
              <w:t>Operating and Financial Highlights</w:t>
            </w:r>
          </w:p>
        </w:tc>
        <w:tc>
          <w:tcPr>
            <w:tcW w:w="338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403"/>
        </w:trPr>
        <w:tc>
          <w:tcPr>
            <w:tcW w:w="7060" w:type="dxa"/>
            <w:vAlign w:val="bottom"/>
          </w:tcPr>
          <w:p>
            <w:pPr>
              <w:spacing w:after="0"/>
              <w:rPr>
                <w:sz w:val="20"/>
                <w:szCs w:val="20"/>
                <w:color w:val="auto"/>
              </w:rPr>
            </w:pPr>
            <w:r>
              <w:rPr>
                <w:rFonts w:ascii="Arial" w:cs="Arial" w:eastAsia="Arial" w:hAnsi="Arial"/>
                <w:sz w:val="17"/>
                <w:szCs w:val="17"/>
                <w:b w:val="1"/>
                <w:bCs w:val="1"/>
                <w:color w:val="A6A6A6"/>
              </w:rPr>
              <w:t>Senior Management Quotes</w:t>
            </w:r>
          </w:p>
        </w:tc>
        <w:tc>
          <w:tcPr>
            <w:tcW w:w="338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403"/>
        </w:trPr>
        <w:tc>
          <w:tcPr>
            <w:tcW w:w="7060" w:type="dxa"/>
            <w:vAlign w:val="bottom"/>
          </w:tcPr>
          <w:p>
            <w:pPr>
              <w:spacing w:after="0"/>
              <w:rPr>
                <w:sz w:val="20"/>
                <w:szCs w:val="20"/>
                <w:color w:val="auto"/>
              </w:rPr>
            </w:pPr>
            <w:r>
              <w:rPr>
                <w:rFonts w:ascii="Arial" w:cs="Arial" w:eastAsia="Arial" w:hAnsi="Arial"/>
                <w:sz w:val="17"/>
                <w:szCs w:val="17"/>
                <w:b w:val="1"/>
                <w:bCs w:val="1"/>
                <w:color w:val="A6A6A6"/>
              </w:rPr>
              <w:t>Fourth Quarter 2022 Earnings Conference Call</w:t>
            </w:r>
          </w:p>
        </w:tc>
        <w:tc>
          <w:tcPr>
            <w:tcW w:w="338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403"/>
        </w:trPr>
        <w:tc>
          <w:tcPr>
            <w:tcW w:w="7060" w:type="dxa"/>
            <w:vAlign w:val="bottom"/>
          </w:tcPr>
          <w:p>
            <w:pPr>
              <w:spacing w:after="0"/>
              <w:rPr>
                <w:sz w:val="20"/>
                <w:szCs w:val="20"/>
                <w:color w:val="auto"/>
              </w:rPr>
            </w:pPr>
            <w:r>
              <w:rPr>
                <w:rFonts w:ascii="Arial" w:cs="Arial" w:eastAsia="Arial" w:hAnsi="Arial"/>
                <w:sz w:val="17"/>
                <w:szCs w:val="17"/>
                <w:b w:val="1"/>
                <w:bCs w:val="1"/>
                <w:color w:val="A6A6A6"/>
              </w:rPr>
              <w:t>Summary of Financial Performance and Outlook</w:t>
            </w:r>
          </w:p>
        </w:tc>
        <w:tc>
          <w:tcPr>
            <w:tcW w:w="338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403"/>
        </w:trPr>
        <w:tc>
          <w:tcPr>
            <w:tcW w:w="7060" w:type="dxa"/>
            <w:vAlign w:val="bottom"/>
          </w:tcPr>
          <w:p>
            <w:pPr>
              <w:spacing w:after="0"/>
              <w:rPr>
                <w:sz w:val="20"/>
                <w:szCs w:val="20"/>
                <w:color w:val="auto"/>
              </w:rPr>
            </w:pPr>
            <w:r>
              <w:rPr>
                <w:rFonts w:ascii="Arial" w:cs="Arial" w:eastAsia="Arial" w:hAnsi="Arial"/>
                <w:sz w:val="17"/>
                <w:szCs w:val="17"/>
                <w:b w:val="1"/>
                <w:bCs w:val="1"/>
                <w:color w:val="A6A6A6"/>
              </w:rPr>
              <w:t>Financial Overview</w:t>
            </w:r>
          </w:p>
        </w:tc>
        <w:tc>
          <w:tcPr>
            <w:tcW w:w="33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403"/>
        </w:trPr>
        <w:tc>
          <w:tcPr>
            <w:tcW w:w="7060" w:type="dxa"/>
            <w:vAlign w:val="bottom"/>
          </w:tcPr>
          <w:p>
            <w:pPr>
              <w:spacing w:after="0"/>
              <w:rPr>
                <w:sz w:val="20"/>
                <w:szCs w:val="20"/>
                <w:color w:val="auto"/>
              </w:rPr>
            </w:pPr>
            <w:r>
              <w:rPr>
                <w:rFonts w:ascii="Arial" w:cs="Arial" w:eastAsia="Arial" w:hAnsi="Arial"/>
                <w:sz w:val="17"/>
                <w:szCs w:val="17"/>
                <w:b w:val="1"/>
                <w:bCs w:val="1"/>
                <w:color w:val="A6A6A6"/>
              </w:rPr>
              <w:t>Credicorp’s Strategy Update</w:t>
            </w:r>
          </w:p>
        </w:tc>
        <w:tc>
          <w:tcPr>
            <w:tcW w:w="338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403"/>
        </w:trPr>
        <w:tc>
          <w:tcPr>
            <w:tcW w:w="7060" w:type="dxa"/>
            <w:vAlign w:val="bottom"/>
          </w:tcPr>
          <w:p>
            <w:pPr>
              <w:spacing w:after="0"/>
              <w:rPr>
                <w:sz w:val="20"/>
                <w:szCs w:val="20"/>
                <w:color w:val="auto"/>
              </w:rPr>
            </w:pPr>
            <w:r>
              <w:rPr>
                <w:rFonts w:ascii="Arial" w:cs="Arial" w:eastAsia="Arial" w:hAnsi="Arial"/>
                <w:sz w:val="17"/>
                <w:szCs w:val="17"/>
                <w:b w:val="1"/>
                <w:bCs w:val="1"/>
                <w:color w:val="A6A6A6"/>
              </w:rPr>
              <w:t>Analysis of 4Q22 Consolidated Results</w:t>
            </w:r>
          </w:p>
        </w:tc>
        <w:tc>
          <w:tcPr>
            <w:tcW w:w="3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-1668145</wp:posOffset>
            </wp:positionV>
            <wp:extent cx="120015" cy="135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135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-1412875</wp:posOffset>
            </wp:positionV>
            <wp:extent cx="120015" cy="135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 cy="135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-1156970</wp:posOffset>
            </wp:positionV>
            <wp:extent cx="120015" cy="135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 cy="135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-901700</wp:posOffset>
            </wp:positionV>
            <wp:extent cx="120015" cy="135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135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-645795</wp:posOffset>
            </wp:positionV>
            <wp:extent cx="120015" cy="135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135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-390525</wp:posOffset>
            </wp:positionV>
            <wp:extent cx="120015" cy="135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135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-134620</wp:posOffset>
            </wp:positionV>
            <wp:extent cx="120015" cy="135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135890"/>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sectPr>
      </w:pPr>
    </w:p>
    <w:p>
      <w:pPr>
        <w:spacing w:after="0" w:line="148"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01</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02</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03</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04</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05</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06</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07</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08</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09</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10</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11</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39"/>
          <w:szCs w:val="39"/>
          <w:b w:val="1"/>
          <w:bCs w:val="1"/>
          <w:color w:val="E93CAC"/>
        </w:rPr>
        <w:t>12</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80" w:type="dxa"/>
            <w:vAlign w:val="bottom"/>
          </w:tcPr>
          <w:p>
            <w:pPr>
              <w:spacing w:after="0"/>
              <w:rPr>
                <w:sz w:val="20"/>
                <w:szCs w:val="20"/>
                <w:color w:val="auto"/>
              </w:rPr>
            </w:pPr>
            <w:r>
              <w:rPr>
                <w:rFonts w:ascii="Arial" w:cs="Arial" w:eastAsia="Arial" w:hAnsi="Arial"/>
                <w:sz w:val="20"/>
                <w:szCs w:val="20"/>
                <w:color w:val="E93CAC"/>
              </w:rPr>
              <w:t>Loans and Portfolio Quality</w:t>
            </w:r>
          </w:p>
        </w:tc>
        <w:tc>
          <w:tcPr>
            <w:tcW w:w="32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654"/>
        </w:trPr>
        <w:tc>
          <w:tcPr>
            <w:tcW w:w="6380" w:type="dxa"/>
            <w:vAlign w:val="bottom"/>
          </w:tcPr>
          <w:p>
            <w:pPr>
              <w:spacing w:after="0"/>
              <w:rPr>
                <w:sz w:val="20"/>
                <w:szCs w:val="20"/>
                <w:color w:val="auto"/>
              </w:rPr>
            </w:pPr>
            <w:r>
              <w:rPr>
                <w:rFonts w:ascii="Arial" w:cs="Arial" w:eastAsia="Arial" w:hAnsi="Arial"/>
                <w:sz w:val="20"/>
                <w:szCs w:val="20"/>
                <w:color w:val="E93CAC"/>
              </w:rPr>
              <w:t>Deposits</w:t>
            </w:r>
          </w:p>
        </w:tc>
        <w:tc>
          <w:tcPr>
            <w:tcW w:w="32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654"/>
        </w:trPr>
        <w:tc>
          <w:tcPr>
            <w:tcW w:w="6380" w:type="dxa"/>
            <w:vAlign w:val="bottom"/>
          </w:tcPr>
          <w:p>
            <w:pPr>
              <w:spacing w:after="0"/>
              <w:rPr>
                <w:sz w:val="20"/>
                <w:szCs w:val="20"/>
                <w:color w:val="auto"/>
              </w:rPr>
            </w:pPr>
            <w:r>
              <w:rPr>
                <w:rFonts w:ascii="Arial" w:cs="Arial" w:eastAsia="Arial" w:hAnsi="Arial"/>
                <w:sz w:val="20"/>
                <w:szCs w:val="20"/>
                <w:color w:val="E93CAC"/>
              </w:rPr>
              <w:t>Interest Earning Assets and Funding</w:t>
            </w:r>
          </w:p>
        </w:tc>
        <w:tc>
          <w:tcPr>
            <w:tcW w:w="32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654"/>
        </w:trPr>
        <w:tc>
          <w:tcPr>
            <w:tcW w:w="6380" w:type="dxa"/>
            <w:vAlign w:val="bottom"/>
          </w:tcPr>
          <w:p>
            <w:pPr>
              <w:spacing w:after="0"/>
              <w:rPr>
                <w:sz w:val="20"/>
                <w:szCs w:val="20"/>
                <w:color w:val="auto"/>
              </w:rPr>
            </w:pPr>
            <w:r>
              <w:rPr>
                <w:rFonts w:ascii="Arial" w:cs="Arial" w:eastAsia="Arial" w:hAnsi="Arial"/>
                <w:sz w:val="20"/>
                <w:szCs w:val="20"/>
                <w:color w:val="E93CAC"/>
              </w:rPr>
              <w:t>Net Interest Income</w:t>
            </w:r>
          </w:p>
        </w:tc>
        <w:tc>
          <w:tcPr>
            <w:tcW w:w="32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654"/>
        </w:trPr>
        <w:tc>
          <w:tcPr>
            <w:tcW w:w="6380" w:type="dxa"/>
            <w:vAlign w:val="bottom"/>
          </w:tcPr>
          <w:p>
            <w:pPr>
              <w:spacing w:after="0"/>
              <w:rPr>
                <w:sz w:val="20"/>
                <w:szCs w:val="20"/>
                <w:color w:val="auto"/>
              </w:rPr>
            </w:pPr>
            <w:r>
              <w:rPr>
                <w:rFonts w:ascii="Arial" w:cs="Arial" w:eastAsia="Arial" w:hAnsi="Arial"/>
                <w:sz w:val="20"/>
                <w:szCs w:val="20"/>
                <w:color w:val="E93CAC"/>
              </w:rPr>
              <w:t>Provisions</w:t>
            </w:r>
          </w:p>
        </w:tc>
        <w:tc>
          <w:tcPr>
            <w:tcW w:w="328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654"/>
        </w:trPr>
        <w:tc>
          <w:tcPr>
            <w:tcW w:w="6380" w:type="dxa"/>
            <w:vAlign w:val="bottom"/>
          </w:tcPr>
          <w:p>
            <w:pPr>
              <w:spacing w:after="0"/>
              <w:rPr>
                <w:sz w:val="20"/>
                <w:szCs w:val="20"/>
                <w:color w:val="auto"/>
              </w:rPr>
            </w:pPr>
            <w:r>
              <w:rPr>
                <w:rFonts w:ascii="Arial" w:cs="Arial" w:eastAsia="Arial" w:hAnsi="Arial"/>
                <w:sz w:val="20"/>
                <w:szCs w:val="20"/>
                <w:color w:val="E93CAC"/>
              </w:rPr>
              <w:t>Other Income</w:t>
            </w:r>
          </w:p>
        </w:tc>
        <w:tc>
          <w:tcPr>
            <w:tcW w:w="328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654"/>
        </w:trPr>
        <w:tc>
          <w:tcPr>
            <w:tcW w:w="6380" w:type="dxa"/>
            <w:vAlign w:val="bottom"/>
          </w:tcPr>
          <w:p>
            <w:pPr>
              <w:spacing w:after="0"/>
              <w:rPr>
                <w:sz w:val="20"/>
                <w:szCs w:val="20"/>
                <w:color w:val="auto"/>
              </w:rPr>
            </w:pPr>
            <w:r>
              <w:rPr>
                <w:rFonts w:ascii="Arial" w:cs="Arial" w:eastAsia="Arial" w:hAnsi="Arial"/>
                <w:sz w:val="20"/>
                <w:szCs w:val="20"/>
                <w:color w:val="E93CAC"/>
              </w:rPr>
              <w:t>Insurance Underwriting Results</w:t>
            </w:r>
          </w:p>
        </w:tc>
        <w:tc>
          <w:tcPr>
            <w:tcW w:w="328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654"/>
        </w:trPr>
        <w:tc>
          <w:tcPr>
            <w:tcW w:w="6380" w:type="dxa"/>
            <w:vAlign w:val="bottom"/>
          </w:tcPr>
          <w:p>
            <w:pPr>
              <w:spacing w:after="0"/>
              <w:rPr>
                <w:sz w:val="20"/>
                <w:szCs w:val="20"/>
                <w:color w:val="auto"/>
              </w:rPr>
            </w:pPr>
            <w:r>
              <w:rPr>
                <w:rFonts w:ascii="Arial" w:cs="Arial" w:eastAsia="Arial" w:hAnsi="Arial"/>
                <w:sz w:val="20"/>
                <w:szCs w:val="20"/>
                <w:color w:val="E93CAC"/>
              </w:rPr>
              <w:t>Operating Expenses</w:t>
            </w:r>
          </w:p>
        </w:tc>
        <w:tc>
          <w:tcPr>
            <w:tcW w:w="328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654"/>
        </w:trPr>
        <w:tc>
          <w:tcPr>
            <w:tcW w:w="6380" w:type="dxa"/>
            <w:vAlign w:val="bottom"/>
          </w:tcPr>
          <w:p>
            <w:pPr>
              <w:spacing w:after="0"/>
              <w:rPr>
                <w:sz w:val="20"/>
                <w:szCs w:val="20"/>
                <w:color w:val="auto"/>
              </w:rPr>
            </w:pPr>
            <w:r>
              <w:rPr>
                <w:rFonts w:ascii="Arial" w:cs="Arial" w:eastAsia="Arial" w:hAnsi="Arial"/>
                <w:sz w:val="20"/>
                <w:szCs w:val="20"/>
                <w:color w:val="E93CAC"/>
              </w:rPr>
              <w:t>Operating Efficiency</w:t>
            </w:r>
          </w:p>
        </w:tc>
        <w:tc>
          <w:tcPr>
            <w:tcW w:w="328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654"/>
        </w:trPr>
        <w:tc>
          <w:tcPr>
            <w:tcW w:w="6380" w:type="dxa"/>
            <w:vAlign w:val="bottom"/>
          </w:tcPr>
          <w:p>
            <w:pPr>
              <w:spacing w:after="0"/>
              <w:rPr>
                <w:sz w:val="20"/>
                <w:szCs w:val="20"/>
                <w:color w:val="auto"/>
              </w:rPr>
            </w:pPr>
            <w:r>
              <w:rPr>
                <w:rFonts w:ascii="Arial" w:cs="Arial" w:eastAsia="Arial" w:hAnsi="Arial"/>
                <w:sz w:val="20"/>
                <w:szCs w:val="20"/>
                <w:color w:val="E93CAC"/>
              </w:rPr>
              <w:t>Regulatory Capital</w:t>
            </w:r>
          </w:p>
        </w:tc>
        <w:tc>
          <w:tcPr>
            <w:tcW w:w="328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654"/>
        </w:trPr>
        <w:tc>
          <w:tcPr>
            <w:tcW w:w="6380" w:type="dxa"/>
            <w:vAlign w:val="bottom"/>
          </w:tcPr>
          <w:p>
            <w:pPr>
              <w:spacing w:after="0"/>
              <w:rPr>
                <w:sz w:val="20"/>
                <w:szCs w:val="20"/>
                <w:color w:val="auto"/>
              </w:rPr>
            </w:pPr>
            <w:r>
              <w:rPr>
                <w:rFonts w:ascii="Arial" w:cs="Arial" w:eastAsia="Arial" w:hAnsi="Arial"/>
                <w:sz w:val="20"/>
                <w:szCs w:val="20"/>
                <w:color w:val="E93CAC"/>
              </w:rPr>
              <w:t>Economic Outlook</w:t>
            </w:r>
          </w:p>
        </w:tc>
        <w:tc>
          <w:tcPr>
            <w:tcW w:w="328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654"/>
        </w:trPr>
        <w:tc>
          <w:tcPr>
            <w:tcW w:w="6380" w:type="dxa"/>
            <w:vAlign w:val="bottom"/>
          </w:tcPr>
          <w:p>
            <w:pPr>
              <w:spacing w:after="0"/>
              <w:rPr>
                <w:sz w:val="20"/>
                <w:szCs w:val="20"/>
                <w:color w:val="auto"/>
              </w:rPr>
            </w:pPr>
            <w:r>
              <w:rPr>
                <w:rFonts w:ascii="Arial" w:cs="Arial" w:eastAsia="Arial" w:hAnsi="Arial"/>
                <w:sz w:val="20"/>
                <w:szCs w:val="20"/>
                <w:color w:val="E93CAC"/>
              </w:rPr>
              <w:t>Appendix</w:t>
            </w:r>
          </w:p>
        </w:tc>
        <w:tc>
          <w:tcPr>
            <w:tcW w:w="3280" w:type="dxa"/>
            <w:vAlign w:val="bottom"/>
          </w:tcPr>
          <w:p>
            <w:pPr>
              <w:jc w:val="right"/>
              <w:spacing w:after="0"/>
              <w:rPr>
                <w:sz w:val="20"/>
                <w:szCs w:val="20"/>
                <w:color w:val="auto"/>
              </w:rPr>
            </w:pPr>
            <w:r>
              <w:rPr>
                <w:rFonts w:ascii="Arial" w:cs="Arial" w:eastAsia="Arial" w:hAnsi="Arial"/>
                <w:sz w:val="15"/>
                <w:szCs w:val="15"/>
                <w:color w:val="auto"/>
              </w:rPr>
              <w:t>46</w:t>
            </w:r>
          </w:p>
        </w:tc>
      </w:tr>
    </w:tbl>
    <w:p>
      <w:pPr>
        <w:spacing w:after="0" w:line="253" w:lineRule="exact"/>
        <w:rPr>
          <w:sz w:val="20"/>
          <w:szCs w:val="20"/>
          <w:color w:val="auto"/>
        </w:rPr>
      </w:pPr>
    </w:p>
    <w:p>
      <w:pPr>
        <w:sectPr>
          <w:pgSz w:w="11900" w:h="16838" w:orient="portrait"/>
          <w:cols w:equalWidth="0" w:num="2">
            <w:col w:w="1240" w:space="340"/>
            <w:col w:w="9660"/>
          </w:cols>
          <w:pgMar w:left="320" w:top="701" w:right="339" w:bottom="1440" w:gutter="0" w:footer="0" w:header="0"/>
          <w:type w:val="continuous"/>
        </w:sectPr>
      </w:pPr>
    </w:p>
    <w:p>
      <w:pPr>
        <w:spacing w:after="0" w:line="203"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14184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type w:val="continuous"/>
        </w:sectPr>
      </w:pPr>
    </w:p>
    <w:bookmarkStart w:id="4" w:name="page5"/>
    <w:bookmarkEnd w:id="4"/>
    <w:p>
      <w:pPr>
        <w:ind w:left="2680"/>
        <w:spacing w:after="0"/>
        <w:tabs>
          <w:tab w:leader="none" w:pos="3020" w:val="left"/>
        </w:tabs>
        <w:rPr>
          <w:sz w:val="20"/>
          <w:szCs w:val="20"/>
          <w:color w:val="auto"/>
        </w:rPr>
      </w:pPr>
      <w:r>
        <w:rPr>
          <w:rFonts w:ascii="Arial" w:cs="Arial" w:eastAsia="Arial" w:hAnsi="Arial"/>
          <w:sz w:val="17"/>
          <w:szCs w:val="17"/>
          <w:color w:val="A6A6A6"/>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615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845" cy="615315"/>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254000</wp:posOffset>
            </wp:positionV>
            <wp:extent cx="7141845" cy="271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845" cy="2717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Operating and Financial Highlights</w:t>
      </w:r>
    </w:p>
    <w:p>
      <w:pPr>
        <w:spacing w:after="0" w:line="290" w:lineRule="exact"/>
        <w:rPr>
          <w:sz w:val="20"/>
          <w:szCs w:val="20"/>
          <w:color w:val="auto"/>
        </w:rPr>
      </w:pPr>
    </w:p>
    <w:p>
      <w:pPr>
        <w:jc w:val="center"/>
        <w:ind w:left="340" w:right="840"/>
        <w:spacing w:after="0" w:line="466" w:lineRule="auto"/>
        <w:rPr>
          <w:sz w:val="20"/>
          <w:szCs w:val="20"/>
          <w:color w:val="auto"/>
        </w:rPr>
      </w:pPr>
      <w:r>
        <w:rPr>
          <w:rFonts w:ascii="Arial" w:cs="Arial" w:eastAsia="Arial" w:hAnsi="Arial"/>
          <w:sz w:val="18"/>
          <w:szCs w:val="18"/>
          <w:b w:val="1"/>
          <w:bCs w:val="1"/>
          <w:color w:val="auto"/>
        </w:rPr>
        <w:t xml:space="preserve">Credicorp Ltd. Reports Fourth Quarter 2022 Financial and Operating Results </w:t>
      </w:r>
      <w:r>
        <w:rPr>
          <w:rFonts w:ascii="Arial" w:cs="Arial" w:eastAsia="Arial" w:hAnsi="Arial"/>
          <w:sz w:val="18"/>
          <w:szCs w:val="18"/>
          <w:color w:val="auto"/>
        </w:rPr>
        <w:t>ROE of 15.3% with solid growth in Core Income and Higher Cost of Risk Posting Yet Another Quarter of Growth in Revenues Despite a Turbulent Backdrop, Which Led to Higher Provisioning</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Lima, Peru – February 09, 2023 – Credicorp Ltd. (“Credicorp” or “the Company”) (NYSE: BAP | BVL: BAP)</w:t>
      </w:r>
      <w:r>
        <w:rPr>
          <w:rFonts w:ascii="Arial" w:cs="Arial" w:eastAsia="Arial" w:hAnsi="Arial"/>
          <w:sz w:val="18"/>
          <w:szCs w:val="18"/>
          <w:color w:val="auto"/>
        </w:rPr>
        <w:t>, the leading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holding company in Peru with presence in Chile, Colombia, Bolivia and Panama today reported its unaudited results for the quarter and year ended December 31, 2022. Financial results are expressed in Soles and are presented in accordance with International Financial Reporting Standards (IFRS).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4Q22 OPERATING AND FINANCIAL HIGHLIGHTS</w:t>
      </w:r>
    </w:p>
    <w:p>
      <w:pPr>
        <w:spacing w:after="0" w:line="196" w:lineRule="exact"/>
        <w:rPr>
          <w:sz w:val="20"/>
          <w:szCs w:val="20"/>
          <w:color w:val="auto"/>
        </w:rPr>
      </w:pPr>
    </w:p>
    <w:p>
      <w:pPr>
        <w:jc w:val="both"/>
        <w:ind w:left="600" w:hanging="297"/>
        <w:spacing w:after="0" w:line="254"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attributable to Credicorp declined 17.7% QoQ but was 1.1% higher YoY, reaching S/1,072 million, with solid growth in</w:t>
      </w:r>
      <w:r>
        <w:rPr>
          <w:rFonts w:ascii="Arial" w:cs="Arial" w:eastAsia="Arial" w:hAnsi="Arial"/>
          <w:sz w:val="18"/>
          <w:szCs w:val="18"/>
          <w:b w:val="1"/>
          <w:bCs w:val="1"/>
          <w:color w:val="auto"/>
        </w:rPr>
        <w:t xml:space="preserve"> </w:t>
      </w:r>
      <w:r>
        <w:rPr>
          <w:rFonts w:ascii="Arial" w:cs="Arial" w:eastAsia="Arial" w:hAnsi="Arial"/>
          <w:sz w:val="18"/>
          <w:szCs w:val="18"/>
          <w:color w:val="auto"/>
        </w:rPr>
        <w:t>core income being offset by higher cost of risk and seasonally higher expenses. ROAE declined to 15.3% in the quarter, down from 16.4% in 3Q21, and reached 16.7% in 2022.</w:t>
      </w:r>
    </w:p>
    <w:p>
      <w:pPr>
        <w:spacing w:after="0" w:line="147" w:lineRule="exact"/>
        <w:rPr>
          <w:rFonts w:ascii="Arial" w:cs="Arial" w:eastAsia="Arial" w:hAnsi="Arial"/>
          <w:sz w:val="18"/>
          <w:szCs w:val="18"/>
          <w:color w:val="auto"/>
        </w:rPr>
      </w:pPr>
    </w:p>
    <w:p>
      <w:pPr>
        <w:ind w:left="600" w:hanging="297"/>
        <w:spacing w:after="0" w:line="275"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Structural Loans</w:t>
      </w:r>
      <w:r>
        <w:rPr>
          <w:rFonts w:ascii="Arial" w:cs="Arial" w:eastAsia="Arial" w:hAnsi="Arial"/>
          <w:sz w:val="18"/>
          <w:szCs w:val="18"/>
          <w:color w:val="auto"/>
        </w:rPr>
        <w:t>, as measured in average daily balances, increased 0.8% QoQ (+4.0% FX Neutral) and 10.4% YoY (+11.5% FX</w:t>
      </w:r>
      <w:r>
        <w:rPr>
          <w:rFonts w:ascii="Arial" w:cs="Arial" w:eastAsia="Arial" w:hAnsi="Arial"/>
          <w:sz w:val="18"/>
          <w:szCs w:val="18"/>
          <w:b w:val="1"/>
          <w:bCs w:val="1"/>
          <w:color w:val="auto"/>
        </w:rPr>
        <w:t xml:space="preserve"> </w:t>
      </w:r>
      <w:r>
        <w:rPr>
          <w:rFonts w:ascii="Arial" w:cs="Arial" w:eastAsia="Arial" w:hAnsi="Arial"/>
          <w:sz w:val="18"/>
          <w:szCs w:val="18"/>
          <w:color w:val="auto"/>
        </w:rPr>
        <w:t>Neutral) in average daily balances, driven primarily by Retail Banking at BCP and Mibanco.</w:t>
      </w:r>
    </w:p>
    <w:p>
      <w:pPr>
        <w:spacing w:after="0" w:line="129" w:lineRule="exact"/>
        <w:rPr>
          <w:rFonts w:ascii="Arial" w:cs="Arial" w:eastAsia="Arial" w:hAnsi="Arial"/>
          <w:sz w:val="18"/>
          <w:szCs w:val="18"/>
          <w:color w:val="auto"/>
        </w:rPr>
      </w:pPr>
    </w:p>
    <w:p>
      <w:pPr>
        <w:jc w:val="both"/>
        <w:ind w:left="600" w:hanging="297"/>
        <w:spacing w:after="0" w:line="254"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reached S/147,021 million, down 1.1% QoQ and flat YoY on an FX Neutral basis, with more migration into Time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Deposits and away from Demand and Savings Deposits because of the high interest rate environment. </w:t>
      </w:r>
      <w:r>
        <w:rPr>
          <w:rFonts w:ascii="Arial" w:cs="Arial" w:eastAsia="Arial" w:hAnsi="Arial"/>
          <w:sz w:val="18"/>
          <w:szCs w:val="18"/>
          <w:b w:val="1"/>
          <w:bCs w:val="1"/>
          <w:color w:val="auto"/>
        </w:rPr>
        <w:t>Low-cost Deposits</w:t>
      </w:r>
      <w:r>
        <w:rPr>
          <w:rFonts w:ascii="Arial" w:cs="Arial" w:eastAsia="Arial" w:hAnsi="Arial"/>
          <w:sz w:val="18"/>
          <w:szCs w:val="18"/>
          <w:color w:val="auto"/>
        </w:rPr>
        <w:t xml:space="preserve"> accounted for 55.7% of Total Funding.</w:t>
      </w:r>
    </w:p>
    <w:p>
      <w:pPr>
        <w:spacing w:after="0" w:line="147" w:lineRule="exact"/>
        <w:rPr>
          <w:rFonts w:ascii="Arial" w:cs="Arial" w:eastAsia="Arial" w:hAnsi="Arial"/>
          <w:sz w:val="18"/>
          <w:szCs w:val="18"/>
          <w:color w:val="auto"/>
        </w:rPr>
      </w:pPr>
    </w:p>
    <w:p>
      <w:pPr>
        <w:ind w:left="600" w:hanging="297"/>
        <w:spacing w:after="0" w:line="275"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Structural NPL ratio</w:t>
      </w:r>
      <w:r>
        <w:rPr>
          <w:rFonts w:ascii="Arial" w:cs="Arial" w:eastAsia="Arial" w:hAnsi="Arial"/>
          <w:sz w:val="18"/>
          <w:szCs w:val="18"/>
          <w:color w:val="auto"/>
        </w:rPr>
        <w:t xml:space="preserve"> was essentially flat QoQ at 4.95%, to reflect a greater amount of refinancing of loans in Wholesale Banking, especially in the Real Estate and Tourism sectors.</w:t>
      </w:r>
    </w:p>
    <w:p>
      <w:pPr>
        <w:spacing w:after="0" w:line="129" w:lineRule="exact"/>
        <w:rPr>
          <w:rFonts w:ascii="Arial" w:cs="Arial" w:eastAsia="Arial" w:hAnsi="Arial"/>
          <w:sz w:val="18"/>
          <w:szCs w:val="18"/>
          <w:color w:val="auto"/>
        </w:rPr>
      </w:pPr>
    </w:p>
    <w:p>
      <w:pPr>
        <w:jc w:val="both"/>
        <w:ind w:left="600" w:hanging="297"/>
        <w:spacing w:after="0" w:line="251"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Structural Provisions </w:t>
      </w:r>
      <w:r>
        <w:rPr>
          <w:rFonts w:ascii="Arial" w:cs="Arial" w:eastAsia="Arial" w:hAnsi="Arial"/>
          <w:sz w:val="18"/>
          <w:szCs w:val="18"/>
          <w:color w:val="auto"/>
        </w:rPr>
        <w:t>increased 70.1% QoQ from what was still a low base. We strengthened provision levels at BCP to reflect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update in our credit variables related to macroeconomic factors such as inflation, interest rates and GDP growth, as well as the negative impact of inflation on payment behavior for consumers. Provisions for Mibanco were also higher from an unusually low level in 3Q21. The </w:t>
      </w:r>
      <w:r>
        <w:rPr>
          <w:rFonts w:ascii="Arial" w:cs="Arial" w:eastAsia="Arial" w:hAnsi="Arial"/>
          <w:sz w:val="18"/>
          <w:szCs w:val="18"/>
          <w:b w:val="1"/>
          <w:bCs w:val="1"/>
          <w:color w:val="auto"/>
        </w:rPr>
        <w:t>Structural Cost of Risk</w:t>
      </w:r>
      <w:r>
        <w:rPr>
          <w:rFonts w:ascii="Arial" w:cs="Arial" w:eastAsia="Arial" w:hAnsi="Arial"/>
          <w:sz w:val="18"/>
          <w:szCs w:val="18"/>
          <w:color w:val="auto"/>
        </w:rPr>
        <w:t xml:space="preserve"> increased 85 bps QoQ to 2.06%. </w:t>
      </w:r>
      <w:r>
        <w:rPr>
          <w:rFonts w:ascii="Arial" w:cs="Arial" w:eastAsia="Arial" w:hAnsi="Arial"/>
          <w:sz w:val="18"/>
          <w:szCs w:val="18"/>
          <w:b w:val="1"/>
          <w:bCs w:val="1"/>
          <w:color w:val="auto"/>
        </w:rPr>
        <w:t>Structural NPL Coverage</w:t>
      </w:r>
      <w:r>
        <w:rPr>
          <w:rFonts w:ascii="Arial" w:cs="Arial" w:eastAsia="Arial" w:hAnsi="Arial"/>
          <w:sz w:val="18"/>
          <w:szCs w:val="18"/>
          <w:color w:val="auto"/>
        </w:rPr>
        <w:t xml:space="preserve"> declined to 112.2%.</w:t>
      </w:r>
    </w:p>
    <w:p>
      <w:pPr>
        <w:spacing w:after="0" w:line="140" w:lineRule="exact"/>
        <w:rPr>
          <w:rFonts w:ascii="Arial" w:cs="Arial" w:eastAsia="Arial" w:hAnsi="Arial"/>
          <w:sz w:val="18"/>
          <w:szCs w:val="18"/>
          <w:color w:val="auto"/>
        </w:rPr>
      </w:pPr>
    </w:p>
    <w:p>
      <w:pPr>
        <w:jc w:val="both"/>
        <w:ind w:left="600" w:hanging="297"/>
        <w:spacing w:after="0" w:line="254"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Core Income </w:t>
      </w:r>
      <w:r>
        <w:rPr>
          <w:rFonts w:ascii="Arial" w:cs="Arial" w:eastAsia="Arial" w:hAnsi="Arial"/>
          <w:sz w:val="18"/>
          <w:szCs w:val="18"/>
          <w:color w:val="auto"/>
        </w:rPr>
        <w:t>increased 5.5% QoQ and 20.9% YoY, mainly driven by Net Interest Income (NII), which was up 8.0% QoQ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30.9% YoY. Benefitting from the effect of higher interest rates, </w:t>
      </w:r>
      <w:r>
        <w:rPr>
          <w:rFonts w:ascii="Arial" w:cs="Arial" w:eastAsia="Arial" w:hAnsi="Arial"/>
          <w:sz w:val="18"/>
          <w:szCs w:val="18"/>
          <w:b w:val="1"/>
          <w:bCs w:val="1"/>
          <w:color w:val="auto"/>
        </w:rPr>
        <w:t>Net Interest Margin</w:t>
      </w:r>
      <w:r>
        <w:rPr>
          <w:rFonts w:ascii="Arial" w:cs="Arial" w:eastAsia="Arial" w:hAnsi="Arial"/>
          <w:sz w:val="18"/>
          <w:szCs w:val="18"/>
          <w:color w:val="auto"/>
        </w:rPr>
        <w:t xml:space="preserve"> increased 42 bps QoQ and 148 bps YoY to 5.73%. This offset a 4.2% QoQ decline in fee income.</w:t>
      </w:r>
    </w:p>
    <w:p>
      <w:pPr>
        <w:spacing w:after="0" w:line="147" w:lineRule="exact"/>
        <w:rPr>
          <w:rFonts w:ascii="Arial" w:cs="Arial" w:eastAsia="Arial" w:hAnsi="Arial"/>
          <w:sz w:val="18"/>
          <w:szCs w:val="18"/>
          <w:color w:val="auto"/>
        </w:rPr>
      </w:pPr>
    </w:p>
    <w:p>
      <w:pPr>
        <w:jc w:val="both"/>
        <w:ind w:left="600" w:hanging="297"/>
        <w:spacing w:after="0" w:line="243"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Efficiency Ratio </w:t>
      </w:r>
      <w:r>
        <w:rPr>
          <w:rFonts w:ascii="Arial" w:cs="Arial" w:eastAsia="Arial" w:hAnsi="Arial"/>
          <w:sz w:val="18"/>
          <w:szCs w:val="18"/>
          <w:color w:val="auto"/>
        </w:rPr>
        <w:t>weakened 320 bps QoQ to 46.0% due to seasonal factors. Compared to 4Q21, there was an improvement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340 bps, largely because of higher core income, which more than offset increases in administrative expenses, part of which were related to the growth of our disruptive initiatives and investments in our digital transformation. For 2022, our efficiency ratio was 44.4%, 150 bps better than the figure of 2021. Excluding expenses related to our disruptive initiatives, our 2022 efficiency ratio would have improved 263 bps compared to 2021.</w:t>
      </w:r>
    </w:p>
    <w:p>
      <w:pPr>
        <w:spacing w:after="0" w:line="159" w:lineRule="exact"/>
        <w:rPr>
          <w:rFonts w:ascii="Arial" w:cs="Arial" w:eastAsia="Arial" w:hAnsi="Arial"/>
          <w:sz w:val="18"/>
          <w:szCs w:val="18"/>
          <w:color w:val="auto"/>
        </w:rPr>
      </w:pPr>
    </w:p>
    <w:p>
      <w:pPr>
        <w:jc w:val="both"/>
        <w:ind w:left="600" w:hanging="297"/>
        <w:spacing w:after="0" w:line="254"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Capital levels for our businesses improved in 2022, with the </w:t>
      </w:r>
      <w:r>
        <w:rPr>
          <w:rFonts w:ascii="Arial" w:cs="Arial" w:eastAsia="Arial" w:hAnsi="Arial"/>
          <w:sz w:val="18"/>
          <w:szCs w:val="18"/>
          <w:b w:val="1"/>
          <w:bCs w:val="1"/>
          <w:color w:val="auto"/>
        </w:rPr>
        <w:t>CET1 Ratio</w:t>
      </w:r>
      <w:r>
        <w:rPr>
          <w:rFonts w:ascii="Arial" w:cs="Arial" w:eastAsia="Arial" w:hAnsi="Arial"/>
          <w:sz w:val="18"/>
          <w:szCs w:val="18"/>
          <w:color w:val="auto"/>
        </w:rPr>
        <w:t xml:space="preserve"> for BCP Stand-Alone up 67 bps to 12.6%, while for Mibanco it increased 122 bps to 16.5%. As of 2022, both subsidiaries report solvency levels in IFRS and as such, CET1 ratio figures will differ from reported figures in 4Q21.</w:t>
      </w:r>
    </w:p>
    <w:p>
      <w:pPr>
        <w:spacing w:after="0" w:line="147" w:lineRule="exact"/>
        <w:rPr>
          <w:rFonts w:ascii="Arial" w:cs="Arial" w:eastAsia="Arial" w:hAnsi="Arial"/>
          <w:sz w:val="18"/>
          <w:szCs w:val="18"/>
          <w:color w:val="auto"/>
        </w:rPr>
      </w:pPr>
    </w:p>
    <w:p>
      <w:pPr>
        <w:jc w:val="both"/>
        <w:ind w:left="600" w:hanging="297"/>
        <w:spacing w:after="0" w:line="254"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Further Progress in our </w:t>
      </w:r>
      <w:r>
        <w:rPr>
          <w:rFonts w:ascii="Arial" w:cs="Arial" w:eastAsia="Arial" w:hAnsi="Arial"/>
          <w:sz w:val="18"/>
          <w:szCs w:val="18"/>
          <w:b w:val="1"/>
          <w:bCs w:val="1"/>
          <w:color w:val="auto"/>
        </w:rPr>
        <w:t>Strategic Initiatives:</w:t>
      </w:r>
      <w:r>
        <w:rPr>
          <w:rFonts w:ascii="Arial" w:cs="Arial" w:eastAsia="Arial" w:hAnsi="Arial"/>
          <w:sz w:val="18"/>
          <w:szCs w:val="18"/>
          <w:color w:val="auto"/>
        </w:rPr>
        <w:t xml:space="preserve"> i) Disruptive initiatives and our innovation strategies generated 290 bps impact on efficiency ratio; ii) Multiple initiatives across our subsidiaries to increase financial inclusion and financial education, examples include 1.1 million financially included through Yape and over 47MM views of financial education materials delivered by BCP.</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sectPr>
      </w:pPr>
    </w:p>
    <w:bookmarkStart w:id="5" w:name="page6"/>
    <w:bookmarkEnd w:id="5"/>
    <w:p>
      <w:pPr>
        <w:ind w:left="2680"/>
        <w:spacing w:after="0"/>
        <w:rPr>
          <w:sz w:val="20"/>
          <w:szCs w:val="20"/>
          <w:color w:val="auto"/>
        </w:rPr>
      </w:pPr>
      <w:r>
        <w:rPr>
          <w:rFonts w:ascii="Arial" w:cs="Arial" w:eastAsia="Arial" w:hAnsi="Arial"/>
          <w:sz w:val="17"/>
          <w:szCs w:val="17"/>
          <w:color w:val="A6A6A6"/>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615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845" cy="615315"/>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254000</wp:posOffset>
            </wp:positionV>
            <wp:extent cx="7141845" cy="247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845"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6151245" cy="6158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1245" cy="615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sectPr>
      </w:pPr>
    </w:p>
    <w:bookmarkStart w:id="6" w:name="page7"/>
    <w:bookmarkEnd w:id="6"/>
    <w:p>
      <w:pPr>
        <w:ind w:left="2680"/>
        <w:spacing w:after="0"/>
        <w:tabs>
          <w:tab w:leader="none" w:pos="3020" w:val="left"/>
        </w:tabs>
        <w:rPr>
          <w:sz w:val="20"/>
          <w:szCs w:val="20"/>
          <w:color w:val="auto"/>
        </w:rPr>
      </w:pPr>
      <w:r>
        <w:rPr>
          <w:rFonts w:ascii="Arial" w:cs="Arial" w:eastAsia="Arial" w:hAnsi="Arial"/>
          <w:sz w:val="17"/>
          <w:szCs w:val="17"/>
          <w:color w:val="A6A6A6"/>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615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845" cy="615315"/>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254000</wp:posOffset>
            </wp:positionV>
            <wp:extent cx="7141845" cy="271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845" cy="2717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Fourth Quarter 2022 Earnings Conference Call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EARNINGS CONFERENCE CALL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Friday February 10, 2023</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Time: </w:t>
      </w:r>
      <w:r>
        <w:rPr>
          <w:rFonts w:ascii="Arial" w:cs="Arial" w:eastAsia="Arial" w:hAnsi="Arial"/>
          <w:sz w:val="17"/>
          <w:szCs w:val="17"/>
          <w:color w:val="auto"/>
        </w:rPr>
        <w:t>09:30 am ET (9:30 am Lima, Peru time)</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Hosts: </w:t>
      </w:r>
      <w:r>
        <w:rPr>
          <w:rFonts w:ascii="Arial" w:cs="Arial" w:eastAsia="Arial" w:hAnsi="Arial"/>
          <w:sz w:val="17"/>
          <w:szCs w:val="17"/>
          <w:color w:val="auto"/>
        </w:rPr>
        <w:t>Gianfranco Ferrari - CEO, Cesar Rios - Chief Financial Officer, Francesca Raffo – Chief Innovation Officer, Reynaldo Llosa - Chief Risk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Diego Cavero - Head of Universal Banking, Cesar Rivera - Head of Insurance and Pensions, Carlos Sotelo – Mibanco CFO, and the Investor Relations Team.</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To pre-register for the listen-only webcast presentation use the following link:</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https://dpregister.com/sreg/10174956/f59cdd5450</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Callers who pre-register will be given a conference passcode and unique PIN to gain immediate access to the call and bypass the live operator.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Participants may pre-register at any time, including up to and after the call start time.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Those unable to pre-register may dial in by calling:</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1 844 435 0321 (U.S. toll free)</w:t>
      </w:r>
    </w:p>
    <w:p>
      <w:pPr>
        <w:spacing w:after="0" w:line="231" w:lineRule="auto"/>
        <w:rPr>
          <w:sz w:val="20"/>
          <w:szCs w:val="20"/>
          <w:color w:val="auto"/>
        </w:rPr>
      </w:pPr>
      <w:r>
        <w:rPr>
          <w:rFonts w:ascii="Arial" w:cs="Arial" w:eastAsia="Arial" w:hAnsi="Arial"/>
          <w:sz w:val="17"/>
          <w:szCs w:val="17"/>
          <w:color w:val="auto"/>
        </w:rPr>
        <w:t>1 412 317 5615 (International)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ID: Credicorp Conference Call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webcast will be archived for one year on our investor relations website 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https://credicorp.gcs-web.com/events-and-presentations/upcoming-events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a full version of Credicorp´s Third Quarter 2022 Earnings Release, please visit: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https://credicorp.gcs-web.com/financial-information/quarterly-results</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sectPr>
      </w:pPr>
    </w:p>
    <w:bookmarkStart w:id="7" w:name="page8"/>
    <w:bookmarkEnd w:id="7"/>
    <w:p>
      <w:pPr>
        <w:ind w:left="2680"/>
        <w:spacing w:after="0"/>
        <w:tabs>
          <w:tab w:leader="none" w:pos="3020" w:val="left"/>
        </w:tabs>
        <w:rPr>
          <w:sz w:val="20"/>
          <w:szCs w:val="20"/>
          <w:color w:val="auto"/>
        </w:rPr>
      </w:pPr>
      <w:r>
        <w:rPr>
          <w:rFonts w:ascii="Arial" w:cs="Arial" w:eastAsia="Arial" w:hAnsi="Arial"/>
          <w:sz w:val="17"/>
          <w:szCs w:val="17"/>
          <w:color w:val="A6A6A6"/>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615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845" cy="615315"/>
                    </a:xfrm>
                    <a:prstGeom prst="rect">
                      <a:avLst/>
                    </a:prstGeom>
                    <a:noFill/>
                  </pic:spPr>
                </pic:pic>
              </a:graphicData>
            </a:graphic>
          </wp:anchor>
        </w:drawing>
        <w:t>|</w:t>
      </w:r>
      <w:r>
        <w:rPr>
          <w:sz w:val="20"/>
          <w:szCs w:val="20"/>
          <w:color w:val="auto"/>
        </w:rPr>
        <w:tab/>
      </w:r>
      <w:r>
        <w:rPr>
          <w:rFonts w:ascii="Arial" w:cs="Arial" w:eastAsia="Arial" w:hAnsi="Arial"/>
          <w:sz w:val="17"/>
          <w:szCs w:val="17"/>
          <w:b w:val="1"/>
          <w:bCs w:val="1"/>
          <w:color w:val="A6A6A6"/>
        </w:rPr>
        <w:t>Earnings Release 4Q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254000</wp:posOffset>
            </wp:positionV>
            <wp:extent cx="7141845" cy="271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845" cy="2717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Summary of Financial Performance and Outlook</w:t>
      </w:r>
    </w:p>
    <w:p>
      <w:pPr>
        <w:spacing w:after="0" w:line="318" w:lineRule="exact"/>
        <w:rPr>
          <w:sz w:val="20"/>
          <w:szCs w:val="20"/>
          <w:color w:val="auto"/>
        </w:rPr>
      </w:pPr>
    </w:p>
    <w:p>
      <w:pPr>
        <w:spacing w:after="0"/>
        <w:rPr>
          <w:sz w:val="20"/>
          <w:szCs w:val="20"/>
          <w:color w:val="auto"/>
        </w:rPr>
      </w:pPr>
      <w:r>
        <w:rPr>
          <w:rFonts w:ascii="Arial" w:cs="Arial" w:eastAsia="Arial" w:hAnsi="Arial"/>
          <w:sz w:val="27"/>
          <w:szCs w:val="27"/>
          <w:b w:val="1"/>
          <w:bCs w:val="1"/>
          <w:color w:val="2AD2C9"/>
        </w:rPr>
        <w:t>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-176530</wp:posOffset>
            </wp:positionV>
            <wp:extent cx="3195320" cy="2276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95320" cy="2276475"/>
                    </a:xfrm>
                    <a:prstGeom prst="rect">
                      <a:avLst/>
                    </a:prstGeom>
                    <a:noFill/>
                  </pic:spPr>
                </pic:pic>
              </a:graphicData>
            </a:graphic>
          </wp:anchor>
        </w:drawing>
      </w:r>
    </w:p>
    <w:p>
      <w:pPr>
        <w:spacing w:after="0" w:line="188" w:lineRule="exact"/>
        <w:rPr>
          <w:sz w:val="20"/>
          <w:szCs w:val="20"/>
          <w:color w:val="auto"/>
        </w:rPr>
      </w:pPr>
    </w:p>
    <w:p>
      <w:pPr>
        <w:jc w:val="both"/>
        <w:ind w:right="5840"/>
        <w:spacing w:after="0" w:line="247" w:lineRule="auto"/>
        <w:rPr>
          <w:sz w:val="20"/>
          <w:szCs w:val="20"/>
          <w:color w:val="auto"/>
        </w:rPr>
      </w:pPr>
      <w:r>
        <w:rPr>
          <w:rFonts w:ascii="Arial" w:cs="Arial" w:eastAsia="Arial" w:hAnsi="Arial"/>
          <w:sz w:val="17"/>
          <w:szCs w:val="17"/>
          <w:color w:val="auto"/>
        </w:rPr>
        <w:t>Structural loans measured in ADB rose 4.0% QoQ (FX neutral) to stand at S/138,419 million. This was driven primarily by Retail Banking in BCP Stand-alone and Mibanco.</w:t>
      </w:r>
    </w:p>
    <w:p>
      <w:pPr>
        <w:spacing w:after="0" w:line="151" w:lineRule="exact"/>
        <w:rPr>
          <w:sz w:val="20"/>
          <w:szCs w:val="20"/>
          <w:color w:val="auto"/>
        </w:rPr>
      </w:pPr>
    </w:p>
    <w:p>
      <w:pPr>
        <w:jc w:val="both"/>
        <w:ind w:right="5840"/>
        <w:spacing w:after="0" w:line="242" w:lineRule="auto"/>
        <w:rPr>
          <w:sz w:val="20"/>
          <w:szCs w:val="20"/>
          <w:color w:val="auto"/>
        </w:rPr>
      </w:pPr>
      <w:r>
        <w:rPr>
          <w:rFonts w:ascii="Arial" w:cs="Arial" w:eastAsia="Arial" w:hAnsi="Arial"/>
          <w:sz w:val="17"/>
          <w:szCs w:val="17"/>
          <w:color w:val="auto"/>
        </w:rPr>
        <w:t>YoY, growth in structural loans stood at 11.5% (FX neutral). This evolution was primarily spurred by Wholesale Banking as well as Consumer and Mortgage at BCP Stand-alone, and to a lesser extent, by Mibanco. All of this in line with the economic recovery.</w:t>
      </w:r>
    </w:p>
    <w:p>
      <w:pPr>
        <w:spacing w:after="0" w:line="155" w:lineRule="exact"/>
        <w:rPr>
          <w:sz w:val="20"/>
          <w:szCs w:val="20"/>
          <w:color w:val="auto"/>
        </w:rPr>
      </w:pPr>
    </w:p>
    <w:p>
      <w:pPr>
        <w:jc w:val="both"/>
        <w:ind w:right="5840"/>
        <w:spacing w:after="0" w:line="263" w:lineRule="auto"/>
        <w:rPr>
          <w:sz w:val="20"/>
          <w:szCs w:val="20"/>
          <w:color w:val="auto"/>
        </w:rPr>
      </w:pPr>
      <w:r>
        <w:rPr>
          <w:rFonts w:ascii="Arial" w:cs="Arial" w:eastAsia="Arial" w:hAnsi="Arial"/>
          <w:sz w:val="17"/>
          <w:szCs w:val="17"/>
          <w:color w:val="auto"/>
        </w:rPr>
        <w:t>The Government Program portfolio (GP) represented 7.2% of total average daily balances (6.4% at quarter-end).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b w:val="1"/>
          <w:bCs w:val="1"/>
          <w:color w:val="2AD2C9"/>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125730</wp:posOffset>
            </wp:positionV>
            <wp:extent cx="3195320" cy="2068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95320" cy="2068830"/>
                    </a:xfrm>
                    <a:prstGeom prst="rect">
                      <a:avLst/>
                    </a:prstGeom>
                    <a:noFill/>
                  </pic:spPr>
                </pic:pic>
              </a:graphicData>
            </a:graphic>
          </wp:anchor>
        </w:drawing>
      </w:r>
    </w:p>
    <w:p>
      <w:pPr>
        <w:spacing w:after="0" w:line="187" w:lineRule="exact"/>
        <w:rPr>
          <w:sz w:val="20"/>
          <w:szCs w:val="20"/>
          <w:color w:val="auto"/>
        </w:rPr>
      </w:pPr>
    </w:p>
    <w:p>
      <w:pPr>
        <w:jc w:val="both"/>
        <w:ind w:right="5840"/>
        <w:spacing w:after="0" w:line="242" w:lineRule="auto"/>
        <w:rPr>
          <w:sz w:val="20"/>
          <w:szCs w:val="20"/>
          <w:color w:val="auto"/>
        </w:rPr>
      </w:pPr>
      <w:r>
        <w:rPr>
          <w:rFonts w:ascii="Arial" w:cs="Arial" w:eastAsia="Arial" w:hAnsi="Arial"/>
          <w:sz w:val="17"/>
          <w:szCs w:val="17"/>
          <w:color w:val="auto"/>
        </w:rPr>
        <w:t>Our deposit base, measured in quarter-end balances, fell 1.1% QoQ (FX neutral). This drop was mainly attributable to a decrease in captures of Demand Deposits at BCP in both LC and FC, in line with the decrease in liquidity seen system-wide.</w:t>
      </w:r>
    </w:p>
    <w:p>
      <w:pPr>
        <w:spacing w:after="0" w:line="155" w:lineRule="exact"/>
        <w:rPr>
          <w:sz w:val="20"/>
          <w:szCs w:val="20"/>
          <w:color w:val="auto"/>
        </w:rPr>
      </w:pPr>
    </w:p>
    <w:p>
      <w:pPr>
        <w:jc w:val="both"/>
        <w:ind w:right="5840"/>
        <w:spacing w:after="0" w:line="242" w:lineRule="auto"/>
        <w:rPr>
          <w:sz w:val="20"/>
          <w:szCs w:val="20"/>
          <w:color w:val="auto"/>
        </w:rPr>
      </w:pPr>
      <w:r>
        <w:rPr>
          <w:rFonts w:ascii="Arial" w:cs="Arial" w:eastAsia="Arial" w:hAnsi="Arial"/>
          <w:sz w:val="17"/>
          <w:szCs w:val="17"/>
          <w:color w:val="auto"/>
        </w:rPr>
        <w:t>In the YoY comparison, the deposit base remained stable (FX Neutral). A noteworthy dynamic this period reflects the migration of funds from Low-cost Deposits to Time Deposits in both LC and FC, which reflects the impact of rising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3"/>
          <w:szCs w:val="23"/>
          <w:b w:val="1"/>
          <w:bCs w:val="1"/>
          <w:color w:val="2AD2C9"/>
        </w:rPr>
        <w:t>Net interest income (NII) and Margin (NIM)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102235</wp:posOffset>
            </wp:positionV>
            <wp:extent cx="3195320" cy="1869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95320" cy="1869440"/>
                    </a:xfrm>
                    <a:prstGeom prst="rect">
                      <a:avLst/>
                    </a:prstGeom>
                    <a:noFill/>
                  </pic:spPr>
                </pic:pic>
              </a:graphicData>
            </a:graphic>
          </wp:anchor>
        </w:drawing>
      </w:r>
    </w:p>
    <w:p>
      <w:pPr>
        <w:spacing w:after="0" w:line="187" w:lineRule="exact"/>
        <w:rPr>
          <w:sz w:val="20"/>
          <w:szCs w:val="20"/>
          <w:color w:val="auto"/>
        </w:rPr>
      </w:pPr>
    </w:p>
    <w:p>
      <w:pPr>
        <w:jc w:val="both"/>
        <w:ind w:right="5860"/>
        <w:spacing w:after="0" w:line="241" w:lineRule="auto"/>
        <w:rPr>
          <w:sz w:val="20"/>
          <w:szCs w:val="20"/>
          <w:color w:val="auto"/>
        </w:rPr>
      </w:pPr>
      <w:r>
        <w:rPr>
          <w:rFonts w:ascii="Arial" w:cs="Arial" w:eastAsia="Arial" w:hAnsi="Arial"/>
          <w:sz w:val="17"/>
          <w:szCs w:val="17"/>
          <w:color w:val="auto"/>
        </w:rPr>
        <w:t>NII rose 8.0% QoQ to stand at S/3,243 million driven by: i) our disciplined pricing management in a context of increasing market rates,</w:t>
      </w:r>
    </w:p>
    <w:p>
      <w:pPr>
        <w:spacing w:after="0" w:line="1" w:lineRule="exact"/>
        <w:rPr>
          <w:sz w:val="20"/>
          <w:szCs w:val="20"/>
          <w:color w:val="auto"/>
        </w:rPr>
      </w:pPr>
    </w:p>
    <w:p>
      <w:pPr>
        <w:jc w:val="both"/>
        <w:ind w:right="5840" w:firstLine="1"/>
        <w:spacing w:after="0" w:line="236" w:lineRule="auto"/>
        <w:tabs>
          <w:tab w:leader="none" w:pos="181"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evolution of loan mix towards retail segments; and iii) our financial strength by maintaining a low-cost funding structure. As a result, the uptick in the IEA Yield outpaced the increase registered for the Funding Cost.</w:t>
      </w:r>
    </w:p>
    <w:p>
      <w:pPr>
        <w:spacing w:after="0" w:line="159" w:lineRule="exact"/>
        <w:rPr>
          <w:sz w:val="20"/>
          <w:szCs w:val="20"/>
          <w:color w:val="auto"/>
        </w:rPr>
      </w:pPr>
    </w:p>
    <w:p>
      <w:pPr>
        <w:ind w:right="5840"/>
        <w:spacing w:after="0" w:line="263" w:lineRule="auto"/>
        <w:rPr>
          <w:sz w:val="20"/>
          <w:szCs w:val="20"/>
          <w:color w:val="auto"/>
        </w:rPr>
      </w:pPr>
      <w:r>
        <w:rPr>
          <w:rFonts w:ascii="Arial" w:cs="Arial" w:eastAsia="Arial" w:hAnsi="Arial"/>
          <w:sz w:val="17"/>
          <w:szCs w:val="17"/>
          <w:color w:val="auto"/>
        </w:rPr>
        <w:t>YoY, Net Interest Income rose 30.9%, impacted by an uptick in market rates and in LC loan volumes.</w:t>
      </w:r>
    </w:p>
    <w:p>
      <w:pPr>
        <w:spacing w:after="0" w:line="138" w:lineRule="exact"/>
        <w:rPr>
          <w:sz w:val="20"/>
          <w:szCs w:val="20"/>
          <w:color w:val="auto"/>
        </w:rPr>
      </w:pPr>
    </w:p>
    <w:p>
      <w:pPr>
        <w:ind w:right="5840"/>
        <w:spacing w:after="0" w:line="263" w:lineRule="auto"/>
        <w:rPr>
          <w:sz w:val="20"/>
          <w:szCs w:val="20"/>
          <w:color w:val="auto"/>
        </w:rPr>
      </w:pPr>
      <w:r>
        <w:rPr>
          <w:rFonts w:ascii="Arial" w:cs="Arial" w:eastAsia="Arial" w:hAnsi="Arial"/>
          <w:sz w:val="17"/>
          <w:szCs w:val="17"/>
          <w:color w:val="auto"/>
        </w:rPr>
        <w:t>These dynamics were maintained throughout the year, and as a result, accumulated NII grew 23.1%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sectPr>
      </w:pPr>
    </w:p>
    <w:bookmarkStart w:id="8" w:name="page9"/>
    <w:bookmarkEnd w:id="8"/>
    <w:p>
      <w:pPr>
        <w:ind w:left="2960"/>
        <w:spacing w:after="0"/>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141845" cy="223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845" cy="223520"/>
                    </a:xfrm>
                    <a:prstGeom prst="rect">
                      <a:avLst/>
                    </a:prstGeom>
                    <a:noFill/>
                  </pic:spPr>
                </pic:pic>
              </a:graphicData>
            </a:graphic>
          </wp:anchor>
        </w:drawing>
      </w:r>
    </w:p>
    <w:p>
      <w:pPr>
        <w:spacing w:after="0" w:line="35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Summary of Financial Performance and Outlook</w:t>
      </w:r>
    </w:p>
    <w:p>
      <w:pPr>
        <w:spacing w:after="0" w:line="252" w:lineRule="exact"/>
        <w:rPr>
          <w:sz w:val="20"/>
          <w:szCs w:val="20"/>
          <w:color w:val="auto"/>
        </w:rPr>
      </w:pPr>
    </w:p>
    <w:p>
      <w:pPr>
        <w:ind w:right="6320"/>
        <w:spacing w:after="0" w:line="305" w:lineRule="auto"/>
        <w:rPr>
          <w:sz w:val="20"/>
          <w:szCs w:val="20"/>
          <w:color w:val="auto"/>
        </w:rPr>
      </w:pPr>
      <w:r>
        <w:rPr>
          <w:rFonts w:ascii="Arial" w:cs="Arial" w:eastAsia="Arial" w:hAnsi="Arial"/>
          <w:sz w:val="23"/>
          <w:szCs w:val="23"/>
          <w:b w:val="1"/>
          <w:bCs w:val="1"/>
          <w:color w:val="2AD2C8"/>
        </w:rPr>
        <w:t>Structural Portfolio Quality and Cost of Risk (CofR)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-292100</wp:posOffset>
            </wp:positionV>
            <wp:extent cx="2955925" cy="2045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55925" cy="2045335"/>
                    </a:xfrm>
                    <a:prstGeom prst="rect">
                      <a:avLst/>
                    </a:prstGeom>
                    <a:noFill/>
                  </pic:spPr>
                </pic:pic>
              </a:graphicData>
            </a:graphic>
          </wp:anchor>
        </w:drawing>
      </w:r>
    </w:p>
    <w:p>
      <w:pPr>
        <w:spacing w:after="0" w:line="56" w:lineRule="exact"/>
        <w:rPr>
          <w:sz w:val="20"/>
          <w:szCs w:val="20"/>
          <w:color w:val="auto"/>
        </w:rPr>
      </w:pPr>
    </w:p>
    <w:p>
      <w:pPr>
        <w:jc w:val="both"/>
        <w:ind w:right="5840"/>
        <w:spacing w:after="0" w:line="236" w:lineRule="auto"/>
        <w:rPr>
          <w:sz w:val="20"/>
          <w:szCs w:val="20"/>
          <w:color w:val="auto"/>
        </w:rPr>
      </w:pPr>
      <w:r>
        <w:rPr>
          <w:rFonts w:ascii="Arial" w:cs="Arial" w:eastAsia="Arial" w:hAnsi="Arial"/>
          <w:sz w:val="17"/>
          <w:szCs w:val="17"/>
          <w:color w:val="auto"/>
        </w:rPr>
        <w:t>QoQ, the structural NPL portfolio rose 0.6%. The increase in volume of the NPL portfolio was concentrated in: (i) Wholesale Banking, due to growth in refinanced loans, particularly in the Real Estate and Tourism sectors and (ii) SME-Pyme, which reflected entry into new segments with clients with higher risk profiles. The aforementioned was partially offset by the improvement on Mibanco and Consumer segment NPL Portfolio as write-offs were registered this quarter. In this context, the structural NPL ratio stood at 5.0% (+3 bps) at the end of 4Q22.</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YoY, structural NPLs rose 9.9%, driven by the aforementioned dynamics.</w:t>
      </w:r>
    </w:p>
    <w:p>
      <w:pPr>
        <w:spacing w:after="0" w:line="182" w:lineRule="exact"/>
        <w:rPr>
          <w:sz w:val="20"/>
          <w:szCs w:val="20"/>
          <w:color w:val="auto"/>
        </w:rPr>
      </w:pPr>
    </w:p>
    <w:p>
      <w:pPr>
        <w:jc w:val="both"/>
        <w:ind w:right="5840"/>
        <w:spacing w:after="0" w:line="236" w:lineRule="auto"/>
        <w:rPr>
          <w:sz w:val="20"/>
          <w:szCs w:val="20"/>
          <w:color w:val="auto"/>
        </w:rPr>
      </w:pPr>
      <w:r>
        <w:rPr>
          <w:rFonts w:ascii="Arial" w:cs="Arial" w:eastAsia="Arial" w:hAnsi="Arial"/>
          <w:sz w:val="17"/>
          <w:szCs w:val="17"/>
          <w:color w:val="auto"/>
        </w:rPr>
        <w:t>The structural CofR increased 85 bps QoQ, which reflected growth in provisions for: (i) Retail Banking at BCP Stand-alone, driven by the update of our estimates for key macroeconomic variables such as inflation, interest rates and GDP growth, as well as the negative impact that increasing inflation had on payment behavior in the Consumer segment (ii) Mibanco, given an unusually low base and an increase in the loan portfolio default ratio associated to the maturity of specific vintages. As a result, the structural CofR stood at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-445770</wp:posOffset>
            </wp:positionV>
            <wp:extent cx="2955925" cy="1837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55925" cy="1837055"/>
                    </a:xfrm>
                    <a:prstGeom prst="rect">
                      <a:avLst/>
                    </a:prstGeom>
                    <a:noFill/>
                  </pic:spPr>
                </pic:pic>
              </a:graphicData>
            </a:graphic>
          </wp:anchor>
        </w:drawing>
      </w:r>
    </w:p>
    <w:p>
      <w:pPr>
        <w:spacing w:after="0" w:line="141" w:lineRule="exact"/>
        <w:rPr>
          <w:sz w:val="20"/>
          <w:szCs w:val="20"/>
          <w:color w:val="auto"/>
        </w:rPr>
      </w:pPr>
    </w:p>
    <w:p>
      <w:pPr>
        <w:jc w:val="both"/>
        <w:ind w:right="5840"/>
        <w:spacing w:after="0" w:line="242" w:lineRule="auto"/>
        <w:rPr>
          <w:sz w:val="20"/>
          <w:szCs w:val="20"/>
          <w:color w:val="auto"/>
        </w:rPr>
      </w:pPr>
      <w:r>
        <w:rPr>
          <w:rFonts w:ascii="Arial" w:cs="Arial" w:eastAsia="Arial" w:hAnsi="Arial"/>
          <w:sz w:val="17"/>
          <w:szCs w:val="17"/>
          <w:color w:val="auto"/>
        </w:rPr>
        <w:t>YoY, a significant increase in the structural CofR was registered (+150 bps). This reflects a base effect given that the provisions level was particularly low in 4Q21. Growth in provisions was driven by: Loans in Consumer, SME-Pyme and Mibanco.</w:t>
      </w:r>
    </w:p>
    <w:p>
      <w:pPr>
        <w:spacing w:after="0" w:line="155" w:lineRule="exact"/>
        <w:rPr>
          <w:sz w:val="20"/>
          <w:szCs w:val="20"/>
          <w:color w:val="auto"/>
        </w:rPr>
      </w:pPr>
    </w:p>
    <w:p>
      <w:pPr>
        <w:jc w:val="both"/>
        <w:ind w:right="5860"/>
        <w:spacing w:after="0" w:line="263" w:lineRule="auto"/>
        <w:rPr>
          <w:sz w:val="20"/>
          <w:szCs w:val="20"/>
          <w:color w:val="auto"/>
        </w:rPr>
      </w:pPr>
      <w:r>
        <w:rPr>
          <w:rFonts w:ascii="Arial" w:cs="Arial" w:eastAsia="Arial" w:hAnsi="Arial"/>
          <w:sz w:val="17"/>
          <w:szCs w:val="17"/>
          <w:color w:val="auto"/>
        </w:rPr>
        <w:t>On an accumulated basis, the structural CofR increased 27 bps, on its way to normalization towards pre-pandemic levels.</w:t>
      </w:r>
    </w:p>
    <w:p>
      <w:pPr>
        <w:spacing w:after="0" w:line="138" w:lineRule="exact"/>
        <w:rPr>
          <w:sz w:val="20"/>
          <w:szCs w:val="20"/>
          <w:color w:val="auto"/>
        </w:rPr>
      </w:pPr>
    </w:p>
    <w:p>
      <w:pPr>
        <w:jc w:val="both"/>
        <w:ind w:right="5840"/>
        <w:spacing w:after="0" w:line="263" w:lineRule="auto"/>
        <w:rPr>
          <w:sz w:val="20"/>
          <w:szCs w:val="20"/>
          <w:color w:val="auto"/>
        </w:rPr>
      </w:pPr>
      <w:r>
        <w:rPr>
          <w:rFonts w:ascii="Arial" w:cs="Arial" w:eastAsia="Arial" w:hAnsi="Arial"/>
          <w:sz w:val="17"/>
          <w:szCs w:val="17"/>
          <w:color w:val="auto"/>
        </w:rPr>
        <w:t>The structural NPL coverage ratio continued to follow a downward trajectory and stood at 112.2%.</w:t>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 w:name="page10"/>
    <w:bookmarkEnd w:id="9"/>
    <w:p>
      <w:pPr>
        <w:ind w:left="2960"/>
        <w:spacing w:after="0"/>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141845" cy="223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845" cy="223520"/>
                    </a:xfrm>
                    <a:prstGeom prst="rect">
                      <a:avLst/>
                    </a:prstGeom>
                    <a:noFill/>
                  </pic:spPr>
                </pic:pic>
              </a:graphicData>
            </a:graphic>
          </wp:anchor>
        </w:drawing>
      </w:r>
    </w:p>
    <w:p>
      <w:pPr>
        <w:spacing w:after="0" w:line="35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Summary of Financial Performance and Outlook</w:t>
      </w:r>
    </w:p>
    <w:p>
      <w:pPr>
        <w:spacing w:after="0" w:line="252"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Other income</w:t>
      </w:r>
    </w:p>
    <w:p>
      <w:pPr>
        <w:spacing w:after="0" w:line="207" w:lineRule="exact"/>
        <w:rPr>
          <w:sz w:val="20"/>
          <w:szCs w:val="20"/>
          <w:color w:val="auto"/>
        </w:rPr>
      </w:pPr>
    </w:p>
    <w:p>
      <w:pPr>
        <w:jc w:val="both"/>
        <w:ind w:right="5840"/>
        <w:spacing w:after="0" w:line="238" w:lineRule="auto"/>
        <w:rPr>
          <w:sz w:val="20"/>
          <w:szCs w:val="20"/>
          <w:color w:val="auto"/>
        </w:rPr>
      </w:pPr>
      <w:r>
        <w:rPr>
          <w:rFonts w:ascii="Arial" w:cs="Arial" w:eastAsia="Arial" w:hAnsi="Arial"/>
          <w:sz w:val="17"/>
          <w:szCs w:val="17"/>
          <w:color w:val="auto"/>
        </w:rPr>
        <w:t>Other Core Income (Fees+ Gains on FX transactions) fell 0.7% QoQ. This was due primarily to a drop in fee income at BCP Stand-alone, which reflected the elimination of fees for intercity transfers. YoY, Other Core Income remained flat as higher gains on FX transactions and in fee income at BCP Stand-alone were completely offset by a drop in fee income from Investment Banking and Wealth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-727075</wp:posOffset>
            </wp:positionV>
            <wp:extent cx="2955925" cy="21012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55925" cy="2101215"/>
                    </a:xfrm>
                    <a:prstGeom prst="rect">
                      <a:avLst/>
                    </a:prstGeom>
                    <a:noFill/>
                  </pic:spPr>
                </pic:pic>
              </a:graphicData>
            </a:graphic>
          </wp:anchor>
        </w:drawing>
      </w:r>
    </w:p>
    <w:p>
      <w:pPr>
        <w:spacing w:after="0" w:line="138" w:lineRule="exact"/>
        <w:rPr>
          <w:sz w:val="20"/>
          <w:szCs w:val="20"/>
          <w:color w:val="auto"/>
        </w:rPr>
      </w:pPr>
    </w:p>
    <w:p>
      <w:pPr>
        <w:jc w:val="both"/>
        <w:ind w:right="5840"/>
        <w:spacing w:after="0" w:line="239" w:lineRule="auto"/>
        <w:rPr>
          <w:sz w:val="20"/>
          <w:szCs w:val="20"/>
          <w:color w:val="auto"/>
        </w:rPr>
      </w:pPr>
      <w:r>
        <w:rPr>
          <w:rFonts w:ascii="Arial" w:cs="Arial" w:eastAsia="Arial" w:hAnsi="Arial"/>
          <w:sz w:val="17"/>
          <w:szCs w:val="17"/>
          <w:color w:val="auto"/>
        </w:rPr>
        <w:t>Other Non-core income rose significantly both QoQ and YoY due to an increase in Net gain on securities, which reflected positive variations in the fixed income portfolio at Credicorp Stand-alone and an improvement in the results of the trading strategy utilized by Credicorp Capital Colombia and ASB.</w:t>
      </w:r>
    </w:p>
    <w:p>
      <w:pPr>
        <w:spacing w:after="0" w:line="159" w:lineRule="exact"/>
        <w:rPr>
          <w:sz w:val="20"/>
          <w:szCs w:val="20"/>
          <w:color w:val="auto"/>
        </w:rPr>
      </w:pPr>
    </w:p>
    <w:p>
      <w:pPr>
        <w:jc w:val="both"/>
        <w:ind w:right="5840"/>
        <w:spacing w:after="0" w:line="239" w:lineRule="auto"/>
        <w:rPr>
          <w:sz w:val="20"/>
          <w:szCs w:val="20"/>
          <w:color w:val="auto"/>
        </w:rPr>
      </w:pPr>
      <w:r>
        <w:rPr>
          <w:rFonts w:ascii="Arial" w:cs="Arial" w:eastAsia="Arial" w:hAnsi="Arial"/>
          <w:sz w:val="17"/>
          <w:szCs w:val="17"/>
          <w:color w:val="auto"/>
        </w:rPr>
        <w:t>On a full year basis, Other Core Income increased 7.0% compared to the level reached in 2021 due to higher transaction in POS; higher personal loan disbursements fees; and an increase in bank-to-bank transfers. While Other Non-core income decreased 25.2% mainly due to a lower net gain in speculative derivatives.</w:t>
      </w:r>
    </w:p>
    <w:p>
      <w:pPr>
        <w:spacing w:after="0" w:line="191"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Insurance Underwriting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22225</wp:posOffset>
            </wp:positionV>
            <wp:extent cx="2795905" cy="2356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5905" cy="2356485"/>
                    </a:xfrm>
                    <a:prstGeom prst="rect">
                      <a:avLst/>
                    </a:prstGeom>
                    <a:noFill/>
                  </pic:spPr>
                </pic:pic>
              </a:graphicData>
            </a:graphic>
          </wp:anchor>
        </w:drawing>
      </w:r>
    </w:p>
    <w:p>
      <w:pPr>
        <w:spacing w:after="0" w:line="187" w:lineRule="exact"/>
        <w:rPr>
          <w:sz w:val="20"/>
          <w:szCs w:val="20"/>
          <w:color w:val="auto"/>
        </w:rPr>
      </w:pPr>
    </w:p>
    <w:p>
      <w:pPr>
        <w:jc w:val="both"/>
        <w:ind w:right="5840"/>
        <w:spacing w:after="0" w:line="236" w:lineRule="auto"/>
        <w:rPr>
          <w:sz w:val="20"/>
          <w:szCs w:val="20"/>
          <w:color w:val="auto"/>
        </w:rPr>
      </w:pPr>
      <w:r>
        <w:rPr>
          <w:rFonts w:ascii="Arial" w:cs="Arial" w:eastAsia="Arial" w:hAnsi="Arial"/>
          <w:sz w:val="17"/>
          <w:szCs w:val="17"/>
          <w:color w:val="auto"/>
        </w:rPr>
        <w:t>The insurance underwriting result fell 7.4% QoQ. This result was attributable to a drop in net earned premiums in the Life business, due to a particularly high base in 3Q22, as well as higher claims in the General business, associated with Commercial Lines and Cars. In YoY terms, the insurance underwriting result rose 44.3%, fueled by a significant decrease in claims in the Life Business, in line with the improvement in sanitary conditions, and by higher net premiums earned in both businesses, in line with the economic recovery.</w:t>
      </w:r>
    </w:p>
    <w:p>
      <w:pPr>
        <w:spacing w:after="0" w:line="161" w:lineRule="exact"/>
        <w:rPr>
          <w:sz w:val="20"/>
          <w:szCs w:val="20"/>
          <w:color w:val="auto"/>
        </w:rPr>
      </w:pPr>
    </w:p>
    <w:p>
      <w:pPr>
        <w:jc w:val="both"/>
        <w:ind w:right="5860"/>
        <w:spacing w:after="0" w:line="263" w:lineRule="auto"/>
        <w:rPr>
          <w:sz w:val="20"/>
          <w:szCs w:val="20"/>
          <w:color w:val="auto"/>
        </w:rPr>
      </w:pPr>
      <w:r>
        <w:rPr>
          <w:rFonts w:ascii="Arial" w:cs="Arial" w:eastAsia="Arial" w:hAnsi="Arial"/>
          <w:sz w:val="17"/>
          <w:szCs w:val="17"/>
          <w:color w:val="auto"/>
        </w:rPr>
        <w:t>On a full year basis, the insurance technical result returned to positive territory due to the dynamics mentioned in the YoY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 w:name="page11"/>
    <w:bookmarkEnd w:id="10"/>
    <w:p>
      <w:pPr>
        <w:ind w:left="2960"/>
        <w:spacing w:after="0"/>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141845" cy="2235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845" cy="223520"/>
                    </a:xfrm>
                    <a:prstGeom prst="rect">
                      <a:avLst/>
                    </a:prstGeom>
                    <a:noFill/>
                  </pic:spPr>
                </pic:pic>
              </a:graphicData>
            </a:graphic>
          </wp:anchor>
        </w:drawing>
      </w:r>
    </w:p>
    <w:p>
      <w:pPr>
        <w:spacing w:after="0" w:line="35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Summary of Financial Performance and Outlook</w:t>
      </w:r>
    </w:p>
    <w:p>
      <w:pPr>
        <w:spacing w:after="0" w:line="252"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-153035</wp:posOffset>
            </wp:positionV>
            <wp:extent cx="2955925" cy="18453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55925" cy="1845310"/>
                    </a:xfrm>
                    <a:prstGeom prst="rect">
                      <a:avLst/>
                    </a:prstGeom>
                    <a:noFill/>
                  </pic:spPr>
                </pic:pic>
              </a:graphicData>
            </a:graphic>
          </wp:anchor>
        </w:drawing>
      </w:r>
    </w:p>
    <w:p>
      <w:pPr>
        <w:spacing w:after="0" w:line="187" w:lineRule="exact"/>
        <w:rPr>
          <w:sz w:val="20"/>
          <w:szCs w:val="20"/>
          <w:color w:val="auto"/>
        </w:rPr>
      </w:pPr>
    </w:p>
    <w:p>
      <w:pPr>
        <w:jc w:val="both"/>
        <w:ind w:right="5840"/>
        <w:spacing w:after="0" w:line="247" w:lineRule="auto"/>
        <w:rPr>
          <w:sz w:val="20"/>
          <w:szCs w:val="20"/>
          <w:color w:val="auto"/>
        </w:rPr>
      </w:pPr>
      <w:r>
        <w:rPr>
          <w:rFonts w:ascii="Arial" w:cs="Arial" w:eastAsia="Arial" w:hAnsi="Arial"/>
          <w:sz w:val="17"/>
          <w:szCs w:val="17"/>
          <w:color w:val="auto"/>
        </w:rPr>
        <w:t>On a full year basis, the Efficiency ratio improved to 44.5%, or by, 150 bps compared to 2021. This was mainly due to the growth in Core Income at BCP Stand-alone and Mibanco.</w:t>
      </w:r>
    </w:p>
    <w:p>
      <w:pPr>
        <w:spacing w:after="0" w:line="151" w:lineRule="exact"/>
        <w:rPr>
          <w:sz w:val="20"/>
          <w:szCs w:val="20"/>
          <w:color w:val="auto"/>
        </w:rPr>
      </w:pPr>
    </w:p>
    <w:p>
      <w:pPr>
        <w:jc w:val="both"/>
        <w:ind w:right="5840"/>
        <w:spacing w:after="0" w:line="263" w:lineRule="auto"/>
        <w:rPr>
          <w:sz w:val="20"/>
          <w:szCs w:val="20"/>
          <w:color w:val="auto"/>
        </w:rPr>
      </w:pPr>
      <w:r>
        <w:rPr>
          <w:rFonts w:ascii="Arial" w:cs="Arial" w:eastAsia="Arial" w:hAnsi="Arial"/>
          <w:sz w:val="17"/>
          <w:szCs w:val="17"/>
          <w:color w:val="auto"/>
        </w:rPr>
        <w:t>Excluding expenses related to disruptive initiatives, the efficiency ratio would be 41.6%, 263 bps better than in 2021.</w:t>
      </w:r>
    </w:p>
    <w:p>
      <w:pPr>
        <w:spacing w:after="0" w:line="321"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Net earnings attributable to Credicorp</w:t>
      </w:r>
    </w:p>
    <w:p>
      <w:pPr>
        <w:spacing w:after="0" w:line="207" w:lineRule="exact"/>
        <w:rPr>
          <w:sz w:val="20"/>
          <w:szCs w:val="20"/>
          <w:color w:val="auto"/>
        </w:rPr>
      </w:pPr>
    </w:p>
    <w:p>
      <w:pPr>
        <w:jc w:val="both"/>
        <w:ind w:right="5840"/>
        <w:spacing w:after="0" w:line="242" w:lineRule="auto"/>
        <w:rPr>
          <w:sz w:val="20"/>
          <w:szCs w:val="20"/>
          <w:color w:val="auto"/>
        </w:rPr>
      </w:pPr>
      <w:r>
        <w:rPr>
          <w:rFonts w:ascii="Arial" w:cs="Arial" w:eastAsia="Arial" w:hAnsi="Arial"/>
          <w:sz w:val="17"/>
          <w:szCs w:val="17"/>
          <w:color w:val="auto"/>
        </w:rPr>
        <w:t>Net earnings attributable to Credicorp totaled S/1,072 million, which reflected a drop of -17.7% QoQ and an uptick of 1.1% YoY With these results, net shareholders’equity stood at S/28,988 million (+6.9% QoQ). Consequently, ROE stood at 15.3% this quarter.</w:t>
      </w:r>
    </w:p>
    <w:p>
      <w:pPr>
        <w:spacing w:after="0" w:line="155" w:lineRule="exact"/>
        <w:rPr>
          <w:sz w:val="20"/>
          <w:szCs w:val="20"/>
          <w:color w:val="auto"/>
        </w:rPr>
      </w:pPr>
    </w:p>
    <w:p>
      <w:pPr>
        <w:jc w:val="both"/>
        <w:ind w:right="5840"/>
        <w:spacing w:after="0" w:line="236" w:lineRule="auto"/>
        <w:rPr>
          <w:sz w:val="20"/>
          <w:szCs w:val="20"/>
          <w:color w:val="auto"/>
        </w:rPr>
      </w:pPr>
      <w:r>
        <w:rPr>
          <w:rFonts w:ascii="Arial" w:cs="Arial" w:eastAsia="Arial" w:hAnsi="Arial"/>
          <w:sz w:val="17"/>
          <w:szCs w:val="17"/>
          <w:color w:val="auto"/>
        </w:rPr>
        <w:t>At a cumulative level, Credicorp 2022 results are also impacted by lower results at the holding level (Credicorp Ltd.), which primarily reflects the lower net financial results and higher expenses for withholding taxes. The net financial result is impacted in 2022 by the increase in the negative carry of the holding's senior bond. This negative carry increased in line with the devaluation of the investments made with the use of proceeds of the senior bond. Regarding tax expenses, in 2022 witholding tax provisions increased driven by higher expectations for dividend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-1007110</wp:posOffset>
            </wp:positionV>
            <wp:extent cx="2955925" cy="1821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55925" cy="1821180"/>
                    </a:xfrm>
                    <a:prstGeom prst="rect">
                      <a:avLst/>
                    </a:prstGeom>
                    <a:noFill/>
                  </pic:spPr>
                </pic:pic>
              </a:graphicData>
            </a:graphic>
          </wp:anchor>
        </w:drawing>
      </w:r>
    </w:p>
    <w:p>
      <w:pPr>
        <w:spacing w:after="0" w:line="137" w:lineRule="exact"/>
        <w:rPr>
          <w:sz w:val="20"/>
          <w:szCs w:val="20"/>
          <w:color w:val="auto"/>
        </w:rPr>
      </w:pPr>
    </w:p>
    <w:p>
      <w:pPr>
        <w:jc w:val="both"/>
        <w:ind w:right="5840"/>
        <w:spacing w:after="0" w:line="247" w:lineRule="auto"/>
        <w:rPr>
          <w:sz w:val="20"/>
          <w:szCs w:val="20"/>
          <w:color w:val="auto"/>
        </w:rPr>
      </w:pPr>
      <w:r>
        <w:rPr>
          <w:rFonts w:ascii="Arial" w:cs="Arial" w:eastAsia="Arial" w:hAnsi="Arial"/>
          <w:sz w:val="17"/>
          <w:szCs w:val="17"/>
          <w:color w:val="auto"/>
        </w:rPr>
        <w:t>As a result, net income attributable to Credicorp increased 29.3% compared to the 2021 level, reaching S/4,633 million. In this context, ROE was 16.7%, 276 bps above the level reached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29D2C9"/>
        </w:rPr>
        <w:t>Contributions* and ROE by subsidiary in 4Q22</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9D2C9"/>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1270</wp:posOffset>
            </wp:positionV>
            <wp:extent cx="5591810" cy="132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91810"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60" w:hanging="150"/>
        <w:spacing w:after="0" w:line="246" w:lineRule="auto"/>
        <w:rPr>
          <w:sz w:val="20"/>
          <w:szCs w:val="20"/>
          <w:color w:val="auto"/>
        </w:rPr>
      </w:pPr>
      <w:r>
        <w:rPr>
          <w:rFonts w:ascii="Arial" w:cs="Arial" w:eastAsia="Arial" w:hAnsi="Arial"/>
          <w:sz w:val="20"/>
          <w:szCs w:val="20"/>
          <w:color w:val="auto"/>
        </w:rPr>
        <w:t>*Contributions</w:t>
      </w:r>
      <w:r>
        <w:rPr>
          <w:sz w:val="20"/>
          <w:szCs w:val="20"/>
          <w:color w:val="auto"/>
        </w:rPr>
        <w:t xml:space="preserve"> </w:t>
      </w:r>
      <w:r>
        <w:rPr>
          <w:rFonts w:ascii="Arial" w:cs="Arial" w:eastAsia="Arial" w:hAnsi="Arial"/>
          <w:sz w:val="20"/>
          <w:szCs w:val="20"/>
          <w:color w:val="auto"/>
        </w:rPr>
        <w:t>to Credicorp reflect the eliminations for consolidation purposes (eliminations for transactions among Credicorp’s subsidiaries or between Credicorp and its subsidiaries).</w:t>
      </w:r>
    </w:p>
    <w:p>
      <w:pPr>
        <w:spacing w:after="0" w:line="1" w:lineRule="exact"/>
        <w:rPr>
          <w:sz w:val="20"/>
          <w:szCs w:val="20"/>
          <w:color w:val="auto"/>
        </w:rPr>
      </w:pPr>
    </w:p>
    <w:p>
      <w:pPr>
        <w:ind w:left="1960" w:hanging="148"/>
        <w:spacing w:after="0" w:line="236" w:lineRule="auto"/>
        <w:tabs>
          <w:tab w:leader="none" w:pos="1935"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figure is lower than the net income of BCP Stand Alone as contribution do not consider investments in other Credicorp subsidiaries (Mibanco).</w:t>
      </w:r>
    </w:p>
    <w:p>
      <w:pPr>
        <w:ind w:left="1960" w:hanging="148"/>
        <w:spacing w:after="0" w:line="236" w:lineRule="auto"/>
        <w:tabs>
          <w:tab w:leader="none" w:pos="1933"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figure is lower than the net income of Mibanco as Credicorp owns 99.924% of Mibanco (directly and indirectly).</w:t>
      </w:r>
    </w:p>
    <w:p>
      <w:pPr>
        <w:ind w:left="1960" w:hanging="148"/>
        <w:spacing w:after="0" w:line="253" w:lineRule="auto"/>
        <w:tabs>
          <w:tab w:leader="none" w:pos="1941"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contribution of Grupo Pacífico presented here is greater than the profit of Pacífico Seguros since it is including 100% of Crediseguros (including 48% under Grupo Credito).</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1" w:name="page12"/>
    <w:bookmarkEnd w:id="11"/>
    <w:p>
      <w:pPr>
        <w:ind w:left="2900"/>
        <w:spacing w:after="0"/>
        <w:rPr>
          <w:sz w:val="20"/>
          <w:szCs w:val="20"/>
          <w:color w:val="auto"/>
        </w:rPr>
      </w:pPr>
      <w:r>
        <w:rPr>
          <w:rFonts w:ascii="Arial" w:cs="Arial" w:eastAsia="Arial" w:hAnsi="Arial"/>
          <w:sz w:val="16"/>
          <w:szCs w:val="16"/>
          <w:b w:val="1"/>
          <w:bCs w:val="1"/>
          <w:color w:val="A5A5A5"/>
        </w:rPr>
        <w:t>Earnings Release 4Q / 2022</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198120</wp:posOffset>
            </wp:positionV>
            <wp:extent cx="3362960" cy="3517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2960" cy="3517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FFFFFF"/>
        </w:rPr>
        <w:t>Universal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166370</wp:posOffset>
            </wp:positionV>
            <wp:extent cx="3371215" cy="139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71215" cy="139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2022, BCP experienced higher profitability, driven by Core</w:t>
      </w:r>
    </w:p>
    <w:p>
      <w:pPr>
        <w:spacing w:after="0" w:line="12" w:lineRule="exact"/>
        <w:rPr>
          <w:sz w:val="20"/>
          <w:szCs w:val="20"/>
          <w:color w:val="auto"/>
        </w:rPr>
      </w:pPr>
    </w:p>
    <w:p>
      <w:pPr>
        <w:jc w:val="center"/>
        <w:ind w:right="120"/>
        <w:spacing w:after="0" w:line="243" w:lineRule="auto"/>
        <w:rPr>
          <w:sz w:val="20"/>
          <w:szCs w:val="20"/>
          <w:color w:val="auto"/>
        </w:rPr>
      </w:pPr>
      <w:r>
        <w:rPr>
          <w:rFonts w:ascii="Arial" w:cs="Arial" w:eastAsia="Arial" w:hAnsi="Arial"/>
          <w:sz w:val="18"/>
          <w:szCs w:val="18"/>
          <w:color w:val="auto"/>
        </w:rPr>
        <w:t>Income, in particular NII, which was propelled by strong structural loan origination and higher interest rates. These tailwinds were partially offset by a normalization of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585470</wp:posOffset>
            </wp:positionV>
            <wp:extent cx="3362960" cy="495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2960" cy="495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FFFFFF"/>
        </w:rPr>
        <w:t>Microfinance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-1135380</wp:posOffset>
            </wp:positionV>
            <wp:extent cx="7149465" cy="2692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92400"/>
                    </a:xfrm>
                    <a:prstGeom prst="rect">
                      <a:avLst/>
                    </a:prstGeom>
                    <a:noFill/>
                  </pic:spPr>
                </pic:pic>
              </a:graphicData>
            </a:graphic>
          </wp:anchor>
        </w:drawing>
        <w:drawing>
          <wp:anchor simplePos="0" relativeHeight="251657728" behindDoc="1" locked="0" layoutInCell="0" allowOverlap="1">
            <wp:simplePos x="0" y="0"/>
            <wp:positionH relativeFrom="column">
              <wp:posOffset>-3859530</wp:posOffset>
            </wp:positionH>
            <wp:positionV relativeFrom="paragraph">
              <wp:posOffset>-1135380</wp:posOffset>
            </wp:positionV>
            <wp:extent cx="7149465" cy="2692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924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80"/>
        <w:spacing w:after="0" w:line="243" w:lineRule="auto"/>
        <w:rPr>
          <w:sz w:val="20"/>
          <w:szCs w:val="20"/>
          <w:color w:val="auto"/>
        </w:rPr>
      </w:pPr>
      <w:r>
        <w:rPr>
          <w:rFonts w:ascii="Arial" w:cs="Arial" w:eastAsia="Arial" w:hAnsi="Arial"/>
          <w:sz w:val="18"/>
          <w:szCs w:val="18"/>
          <w:color w:val="auto"/>
        </w:rPr>
        <w:t>Mibanco experienced a substantial recovery in profitability in 2022 driven mainly by favorable NII dynamics, associated with effective practices of pricing and commercial execution. For its part, the hybrid model allowed to optimize efficiency and scale the credit evaluation, resulting in record levels of billing.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570230</wp:posOffset>
            </wp:positionV>
            <wp:extent cx="3355340" cy="495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5340" cy="495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160"/>
          </w:cols>
          <w:pgMar w:left="380" w:top="6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440"/>
        <w:spacing w:after="0"/>
        <w:rPr>
          <w:sz w:val="20"/>
          <w:szCs w:val="20"/>
          <w:color w:val="auto"/>
        </w:rPr>
      </w:pPr>
      <w:r>
        <w:rPr>
          <w:rFonts w:ascii="Arial" w:cs="Arial" w:eastAsia="Arial" w:hAnsi="Arial"/>
          <w:sz w:val="20"/>
          <w:szCs w:val="20"/>
          <w:b w:val="1"/>
          <w:bCs w:val="1"/>
          <w:color w:val="FFFFFF"/>
        </w:rPr>
        <w:t>Insurance and 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3371215" cy="814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71215" cy="81470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left="80" w:right="340"/>
        <w:spacing w:after="0" w:line="247" w:lineRule="auto"/>
        <w:rPr>
          <w:sz w:val="20"/>
          <w:szCs w:val="20"/>
          <w:color w:val="auto"/>
        </w:rPr>
      </w:pPr>
      <w:r>
        <w:rPr>
          <w:rFonts w:ascii="Arial" w:cs="Arial" w:eastAsia="Arial" w:hAnsi="Arial"/>
          <w:sz w:val="18"/>
          <w:szCs w:val="18"/>
          <w:color w:val="auto"/>
        </w:rPr>
        <w:t>In 2022, the bottom line for Pacifico Seguros returned to positive territory, as a result of lower levels of claims in Life as the health situation improved and a growth in net earned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319405</wp:posOffset>
            </wp:positionV>
            <wp:extent cx="7141845" cy="3517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845" cy="3517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FFFFFF"/>
        </w:rPr>
        <w:t>Investment Banking and</w:t>
      </w:r>
    </w:p>
    <w:p>
      <w:pPr>
        <w:spacing w:after="0" w:line="16" w:lineRule="exact"/>
        <w:rPr>
          <w:sz w:val="20"/>
          <w:szCs w:val="20"/>
          <w:color w:val="auto"/>
        </w:rPr>
      </w:pPr>
    </w:p>
    <w:p>
      <w:pPr>
        <w:ind w:left="1420"/>
        <w:spacing w:after="0"/>
        <w:rPr>
          <w:sz w:val="20"/>
          <w:szCs w:val="20"/>
          <w:color w:val="auto"/>
        </w:rPr>
      </w:pPr>
      <w:r>
        <w:rPr>
          <w:rFonts w:ascii="Arial" w:cs="Arial" w:eastAsia="Arial" w:hAnsi="Arial"/>
          <w:sz w:val="20"/>
          <w:szCs w:val="20"/>
          <w:b w:val="1"/>
          <w:bCs w:val="1"/>
          <w:color w:val="FFFFFF"/>
        </w:rPr>
        <w:t>Wealth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153670</wp:posOffset>
            </wp:positionV>
            <wp:extent cx="3362960" cy="814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2960" cy="81470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both"/>
        <w:ind w:right="200" w:hanging="48"/>
        <w:spacing w:after="0" w:line="254" w:lineRule="auto"/>
        <w:rPr>
          <w:sz w:val="20"/>
          <w:szCs w:val="20"/>
          <w:color w:val="auto"/>
        </w:rPr>
      </w:pPr>
      <w:r>
        <w:rPr>
          <w:rFonts w:ascii="Arial" w:cs="Arial" w:eastAsia="Arial" w:hAnsi="Arial"/>
          <w:sz w:val="18"/>
          <w:szCs w:val="18"/>
          <w:color w:val="auto"/>
        </w:rPr>
        <w:t>The Investment Banking and Wealth Management business continued to be challenged and found a drop in profitability mainly due to lower levels of assets under management.</w:t>
      </w:r>
    </w:p>
    <w:p>
      <w:pPr>
        <w:spacing w:after="0" w:line="231" w:lineRule="exact"/>
        <w:rPr>
          <w:sz w:val="20"/>
          <w:szCs w:val="20"/>
          <w:color w:val="auto"/>
        </w:rPr>
      </w:pPr>
    </w:p>
    <w:p>
      <w:pPr>
        <w:sectPr>
          <w:pgSz w:w="11900" w:h="16838" w:orient="portrait"/>
          <w:cols w:equalWidth="0" w:num="2">
            <w:col w:w="5440" w:space="720"/>
            <w:col w:w="5020"/>
          </w:cols>
          <w:pgMar w:left="380" w:top="676" w:right="3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FFFFFF"/>
        </w:rPr>
        <w:t>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166370</wp:posOffset>
            </wp:positionV>
            <wp:extent cx="7149465" cy="10064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00647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left="340" w:right="380"/>
        <w:spacing w:after="0" w:line="275" w:lineRule="auto"/>
        <w:rPr>
          <w:sz w:val="20"/>
          <w:szCs w:val="20"/>
          <w:color w:val="auto"/>
        </w:rPr>
      </w:pPr>
      <w:r>
        <w:rPr>
          <w:rFonts w:ascii="Arial" w:cs="Arial" w:eastAsia="Arial" w:hAnsi="Arial"/>
          <w:sz w:val="18"/>
          <w:szCs w:val="18"/>
          <w:color w:val="auto"/>
        </w:rPr>
        <w:t>We expect to close 2023 with a ROE of around 17.5%. We anticipate this result will be fueled by: i) high single digit growth in the structural loan portfolio; ii) a further expansion of the net interest margin; and iii) a controlled cost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714184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80"/>
          </w:cols>
          <w:pgMar w:left="380" w:top="676" w:right="339" w:bottom="1440" w:gutter="0" w:footer="0" w:header="0"/>
          <w:type w:val="continuous"/>
        </w:sectPr>
      </w:pPr>
    </w:p>
    <w:bookmarkStart w:id="12" w:name="page13"/>
    <w:bookmarkEnd w:id="12"/>
    <w:p>
      <w:pPr>
        <w:ind w:left="2960"/>
        <w:spacing w:after="0"/>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141845" cy="2235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845" cy="223520"/>
                    </a:xfrm>
                    <a:prstGeom prst="rect">
                      <a:avLst/>
                    </a:prstGeom>
                    <a:noFill/>
                  </pic:spPr>
                </pic:pic>
              </a:graphicData>
            </a:graphic>
          </wp:anchor>
        </w:drawing>
      </w:r>
    </w:p>
    <w:p>
      <w:pPr>
        <w:spacing w:after="0" w:line="35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7141845" cy="5344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845" cy="534416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180" w:type="dxa"/>
            <w:vAlign w:val="bottom"/>
            <w:shd w:val="clear" w:color="auto" w:fill="2AD2C9"/>
          </w:tcPr>
          <w:p>
            <w:pPr>
              <w:ind w:left="40"/>
              <w:spacing w:after="0"/>
              <w:rPr>
                <w:sz w:val="20"/>
                <w:szCs w:val="20"/>
                <w:color w:val="auto"/>
              </w:rPr>
            </w:pPr>
            <w:r>
              <w:rPr>
                <w:rFonts w:ascii="Arial" w:cs="Arial" w:eastAsia="Arial" w:hAnsi="Arial"/>
                <w:sz w:val="13"/>
                <w:szCs w:val="13"/>
                <w:b w:val="1"/>
                <w:bCs w:val="1"/>
                <w:color w:val="FFFFFF"/>
              </w:rPr>
              <w:t>Credicorp Ltd.</w:t>
            </w:r>
          </w:p>
        </w:tc>
        <w:tc>
          <w:tcPr>
            <w:tcW w:w="1120" w:type="dxa"/>
            <w:vAlign w:val="bottom"/>
            <w:shd w:val="clear" w:color="auto" w:fill="2AD2C9"/>
          </w:tcPr>
          <w:p>
            <w:pPr>
              <w:spacing w:after="0"/>
              <w:rPr>
                <w:sz w:val="14"/>
                <w:szCs w:val="14"/>
                <w:color w:val="auto"/>
              </w:rPr>
            </w:pPr>
          </w:p>
        </w:tc>
        <w:tc>
          <w:tcPr>
            <w:tcW w:w="1020" w:type="dxa"/>
            <w:vAlign w:val="bottom"/>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Quarter</w:t>
            </w:r>
          </w:p>
        </w:tc>
        <w:tc>
          <w:tcPr>
            <w:tcW w:w="1020" w:type="dxa"/>
            <w:vAlign w:val="bottom"/>
            <w:shd w:val="clear" w:color="auto" w:fill="2AD2C9"/>
          </w:tcPr>
          <w:p>
            <w:pPr>
              <w:spacing w:after="0"/>
              <w:rPr>
                <w:sz w:val="14"/>
                <w:szCs w:val="14"/>
                <w:color w:val="auto"/>
              </w:rPr>
            </w:pPr>
          </w:p>
        </w:tc>
        <w:tc>
          <w:tcPr>
            <w:tcW w:w="1740" w:type="dxa"/>
            <w:vAlign w:val="bottom"/>
            <w:gridSpan w:val="2"/>
            <w:shd w:val="clear" w:color="auto" w:fill="2AD2C9"/>
          </w:tcPr>
          <w:p>
            <w:pPr>
              <w:ind w:left="480"/>
              <w:spacing w:after="0"/>
              <w:rPr>
                <w:sz w:val="20"/>
                <w:szCs w:val="20"/>
                <w:color w:val="auto"/>
              </w:rPr>
            </w:pPr>
            <w:r>
              <w:rPr>
                <w:rFonts w:ascii="Arial" w:cs="Arial" w:eastAsia="Arial" w:hAnsi="Arial"/>
                <w:sz w:val="13"/>
                <w:szCs w:val="13"/>
                <w:b w:val="1"/>
                <w:bCs w:val="1"/>
                <w:color w:val="FFFFFF"/>
              </w:rPr>
              <w:t>% change</w:t>
            </w:r>
          </w:p>
        </w:tc>
        <w:tc>
          <w:tcPr>
            <w:tcW w:w="1220" w:type="dxa"/>
            <w:vAlign w:val="bottom"/>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920" w:type="dxa"/>
            <w:vAlign w:val="bottom"/>
            <w:shd w:val="clear" w:color="auto" w:fill="2AD2C9"/>
          </w:tcPr>
          <w:p>
            <w:pPr>
              <w:spacing w:after="0"/>
              <w:rPr>
                <w:sz w:val="14"/>
                <w:szCs w:val="14"/>
                <w:color w:val="auto"/>
              </w:rPr>
            </w:pPr>
          </w:p>
        </w:tc>
        <w:tc>
          <w:tcPr>
            <w:tcW w:w="1020" w:type="dxa"/>
            <w:vAlign w:val="bottom"/>
            <w:shd w:val="clear" w:color="auto" w:fill="2AD2C9"/>
          </w:tcPr>
          <w:p>
            <w:pPr>
              <w:jc w:val="center"/>
              <w:ind w:right="13"/>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51"/>
        </w:trPr>
        <w:tc>
          <w:tcPr>
            <w:tcW w:w="3180" w:type="dxa"/>
            <w:vAlign w:val="bottom"/>
            <w:tcBorders>
              <w:bottom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S/ 000</w:t>
            </w:r>
          </w:p>
        </w:tc>
        <w:tc>
          <w:tcPr>
            <w:tcW w:w="1120" w:type="dxa"/>
            <w:vAlign w:val="bottom"/>
            <w:tcBorders>
              <w:bottom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4Q21</w:t>
            </w:r>
          </w:p>
        </w:tc>
        <w:tc>
          <w:tcPr>
            <w:tcW w:w="1020" w:type="dxa"/>
            <w:vAlign w:val="bottom"/>
            <w:tcBorders>
              <w:bottom w:val="single" w:sz="8" w:color="auto"/>
            </w:tcBorders>
            <w:shd w:val="clear" w:color="auto" w:fill="2AD2C9"/>
          </w:tcPr>
          <w:p>
            <w:pPr>
              <w:jc w:val="right"/>
              <w:ind w:right="413"/>
              <w:spacing w:after="0"/>
              <w:rPr>
                <w:sz w:val="20"/>
                <w:szCs w:val="20"/>
                <w:color w:val="auto"/>
              </w:rPr>
            </w:pPr>
            <w:r>
              <w:rPr>
                <w:rFonts w:ascii="Arial" w:cs="Arial" w:eastAsia="Arial" w:hAnsi="Arial"/>
                <w:sz w:val="13"/>
                <w:szCs w:val="13"/>
                <w:b w:val="1"/>
                <w:bCs w:val="1"/>
                <w:color w:val="FFFFFF"/>
              </w:rPr>
              <w:t>3Q22</w:t>
            </w:r>
          </w:p>
        </w:tc>
        <w:tc>
          <w:tcPr>
            <w:tcW w:w="1020" w:type="dxa"/>
            <w:vAlign w:val="bottom"/>
            <w:tcBorders>
              <w:bottom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4Q22</w:t>
            </w:r>
          </w:p>
        </w:tc>
        <w:tc>
          <w:tcPr>
            <w:tcW w:w="780" w:type="dxa"/>
            <w:vAlign w:val="bottom"/>
            <w:tcBorders>
              <w:bottom w:val="single" w:sz="8" w:color="auto"/>
            </w:tcBorders>
            <w:shd w:val="clear" w:color="auto" w:fill="2AD2C9"/>
          </w:tcPr>
          <w:p>
            <w:pPr>
              <w:jc w:val="center"/>
              <w:ind w:right="13"/>
              <w:spacing w:after="0"/>
              <w:rPr>
                <w:sz w:val="20"/>
                <w:szCs w:val="20"/>
                <w:color w:val="auto"/>
              </w:rPr>
            </w:pPr>
            <w:r>
              <w:rPr>
                <w:rFonts w:ascii="Arial" w:cs="Arial" w:eastAsia="Arial" w:hAnsi="Arial"/>
                <w:sz w:val="13"/>
                <w:szCs w:val="13"/>
                <w:b w:val="1"/>
                <w:bCs w:val="1"/>
                <w:color w:val="FFFFFF"/>
              </w:rPr>
              <w:t>QoQ</w:t>
            </w:r>
          </w:p>
        </w:tc>
        <w:tc>
          <w:tcPr>
            <w:tcW w:w="960" w:type="dxa"/>
            <w:vAlign w:val="bottom"/>
            <w:tcBorders>
              <w:bottom w:val="single" w:sz="8" w:color="auto"/>
            </w:tcBorders>
            <w:shd w:val="clear" w:color="auto" w:fill="2AD2C9"/>
          </w:tcPr>
          <w:p>
            <w:pPr>
              <w:jc w:val="center"/>
              <w:ind w:right="33"/>
              <w:spacing w:after="0"/>
              <w:rPr>
                <w:sz w:val="20"/>
                <w:szCs w:val="20"/>
                <w:color w:val="auto"/>
              </w:rPr>
            </w:pPr>
            <w:r>
              <w:rPr>
                <w:rFonts w:ascii="Arial" w:cs="Arial" w:eastAsia="Arial" w:hAnsi="Arial"/>
                <w:sz w:val="13"/>
                <w:szCs w:val="13"/>
                <w:b w:val="1"/>
                <w:bCs w:val="1"/>
                <w:color w:val="FFFFFF"/>
              </w:rPr>
              <w:t>YoY</w:t>
            </w:r>
          </w:p>
        </w:tc>
        <w:tc>
          <w:tcPr>
            <w:tcW w:w="1220" w:type="dxa"/>
            <w:vAlign w:val="bottom"/>
            <w:tcBorders>
              <w:bottom w:val="single" w:sz="8" w:color="auto"/>
            </w:tcBorders>
            <w:shd w:val="clear" w:color="auto" w:fill="2AD2C9"/>
          </w:tcPr>
          <w:p>
            <w:pPr>
              <w:jc w:val="right"/>
              <w:ind w:right="553"/>
              <w:spacing w:after="0"/>
              <w:rPr>
                <w:sz w:val="20"/>
                <w:szCs w:val="20"/>
                <w:color w:val="auto"/>
              </w:rPr>
            </w:pPr>
            <w:r>
              <w:rPr>
                <w:rFonts w:ascii="Arial" w:cs="Arial" w:eastAsia="Arial" w:hAnsi="Arial"/>
                <w:sz w:val="13"/>
                <w:szCs w:val="13"/>
                <w:b w:val="1"/>
                <w:bCs w:val="1"/>
                <w:color w:val="FFFFFF"/>
              </w:rPr>
              <w:t>2021</w:t>
            </w:r>
          </w:p>
        </w:tc>
        <w:tc>
          <w:tcPr>
            <w:tcW w:w="920" w:type="dxa"/>
            <w:vAlign w:val="bottom"/>
            <w:tcBorders>
              <w:bottom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2022</w:t>
            </w:r>
          </w:p>
        </w:tc>
        <w:tc>
          <w:tcPr>
            <w:tcW w:w="1020" w:type="dxa"/>
            <w:vAlign w:val="bottom"/>
            <w:tcBorders>
              <w:bottom w:val="single" w:sz="8" w:color="auto"/>
            </w:tcBorders>
            <w:shd w:val="clear" w:color="auto" w:fill="2AD2C9"/>
          </w:tcPr>
          <w:p>
            <w:pPr>
              <w:jc w:val="center"/>
              <w:ind w:right="13"/>
              <w:spacing w:after="0"/>
              <w:rPr>
                <w:sz w:val="20"/>
                <w:szCs w:val="20"/>
                <w:color w:val="auto"/>
              </w:rPr>
            </w:pPr>
            <w:r>
              <w:rPr>
                <w:rFonts w:ascii="Arial" w:cs="Arial" w:eastAsia="Arial" w:hAnsi="Arial"/>
                <w:sz w:val="13"/>
                <w:szCs w:val="13"/>
                <w:b w:val="1"/>
                <w:bCs w:val="1"/>
                <w:color w:val="FFFFFF"/>
              </w:rPr>
              <w:t>2022 / 2021</w:t>
            </w:r>
          </w:p>
        </w:tc>
        <w:tc>
          <w:tcPr>
            <w:tcW w:w="0" w:type="dxa"/>
            <w:vAlign w:val="bottom"/>
          </w:tcPr>
          <w:p>
            <w:pPr>
              <w:spacing w:after="0"/>
              <w:rPr>
                <w:sz w:val="1"/>
                <w:szCs w:val="1"/>
                <w:color w:val="auto"/>
              </w:rPr>
            </w:pPr>
          </w:p>
        </w:tc>
      </w:tr>
      <w:tr>
        <w:trPr>
          <w:trHeight w:val="168"/>
        </w:trPr>
        <w:tc>
          <w:tcPr>
            <w:tcW w:w="3180" w:type="dxa"/>
            <w:vAlign w:val="bottom"/>
          </w:tcPr>
          <w:p>
            <w:pPr>
              <w:ind w:left="40"/>
              <w:spacing w:after="0"/>
              <w:rPr>
                <w:sz w:val="20"/>
                <w:szCs w:val="20"/>
                <w:color w:val="auto"/>
              </w:rPr>
            </w:pPr>
            <w:r>
              <w:rPr>
                <w:rFonts w:ascii="Arial" w:cs="Arial" w:eastAsia="Arial" w:hAnsi="Arial"/>
                <w:sz w:val="13"/>
                <w:szCs w:val="13"/>
                <w:color w:val="auto"/>
              </w:rPr>
              <w:t>Net interest, similar income and expenses</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2,477,234</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3,001,459</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3,243,018</w:t>
            </w:r>
          </w:p>
        </w:tc>
        <w:tc>
          <w:tcPr>
            <w:tcW w:w="780" w:type="dxa"/>
            <w:vAlign w:val="bottom"/>
          </w:tcPr>
          <w:p>
            <w:pPr>
              <w:jc w:val="center"/>
              <w:ind w:right="13"/>
              <w:spacing w:after="0"/>
              <w:rPr>
                <w:sz w:val="20"/>
                <w:szCs w:val="20"/>
                <w:color w:val="auto"/>
              </w:rPr>
            </w:pPr>
            <w:r>
              <w:rPr>
                <w:rFonts w:ascii="Arial" w:cs="Arial" w:eastAsia="Arial" w:hAnsi="Arial"/>
                <w:sz w:val="13"/>
                <w:szCs w:val="13"/>
                <w:color w:val="auto"/>
              </w:rPr>
              <w:t>8.0%</w:t>
            </w:r>
          </w:p>
        </w:tc>
        <w:tc>
          <w:tcPr>
            <w:tcW w:w="960" w:type="dxa"/>
            <w:vAlign w:val="bottom"/>
          </w:tcPr>
          <w:p>
            <w:pPr>
              <w:jc w:val="center"/>
              <w:ind w:right="33"/>
              <w:spacing w:after="0"/>
              <w:rPr>
                <w:sz w:val="20"/>
                <w:szCs w:val="20"/>
                <w:color w:val="auto"/>
              </w:rPr>
            </w:pPr>
            <w:r>
              <w:rPr>
                <w:rFonts w:ascii="Arial" w:cs="Arial" w:eastAsia="Arial" w:hAnsi="Arial"/>
                <w:sz w:val="13"/>
                <w:szCs w:val="13"/>
                <w:color w:val="auto"/>
              </w:rPr>
              <w:t>30.9%</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9,359,604</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11,518,095</w:t>
            </w:r>
          </w:p>
        </w:tc>
        <w:tc>
          <w:tcPr>
            <w:tcW w:w="1020" w:type="dxa"/>
            <w:vAlign w:val="bottom"/>
          </w:tcPr>
          <w:p>
            <w:pPr>
              <w:jc w:val="center"/>
              <w:ind w:right="13"/>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308"/>
        </w:trPr>
        <w:tc>
          <w:tcPr>
            <w:tcW w:w="3180" w:type="dxa"/>
            <w:vAlign w:val="bottom"/>
          </w:tcPr>
          <w:p>
            <w:pPr>
              <w:ind w:left="40"/>
              <w:spacing w:after="0"/>
              <w:rPr>
                <w:sz w:val="20"/>
                <w:szCs w:val="20"/>
                <w:color w:val="auto"/>
              </w:rPr>
            </w:pPr>
            <w:r>
              <w:rPr>
                <w:rFonts w:ascii="Arial" w:cs="Arial" w:eastAsia="Arial" w:hAnsi="Arial"/>
                <w:sz w:val="13"/>
                <w:szCs w:val="13"/>
                <w:color w:val="auto"/>
              </w:rPr>
              <w:t>Provision for credit losses on loan portfolio, net</w:t>
            </w:r>
          </w:p>
        </w:tc>
        <w:tc>
          <w:tcPr>
            <w:tcW w:w="1120" w:type="dxa"/>
            <w:vAlign w:val="bottom"/>
            <w:vMerge w:val="restart"/>
          </w:tcPr>
          <w:p>
            <w:pPr>
              <w:jc w:val="right"/>
              <w:ind w:right="53"/>
              <w:spacing w:after="0"/>
              <w:rPr>
                <w:sz w:val="20"/>
                <w:szCs w:val="20"/>
                <w:color w:val="auto"/>
              </w:rPr>
            </w:pPr>
            <w:r>
              <w:rPr>
                <w:rFonts w:ascii="Arial" w:cs="Arial" w:eastAsia="Arial" w:hAnsi="Arial"/>
                <w:sz w:val="13"/>
                <w:szCs w:val="13"/>
                <w:color w:val="auto"/>
              </w:rPr>
              <w:t>(126,782)</w:t>
            </w:r>
          </w:p>
        </w:tc>
        <w:tc>
          <w:tcPr>
            <w:tcW w:w="1020" w:type="dxa"/>
            <w:vAlign w:val="bottom"/>
            <w:vMerge w:val="restart"/>
          </w:tcPr>
          <w:p>
            <w:pPr>
              <w:jc w:val="right"/>
              <w:ind w:right="73"/>
              <w:spacing w:after="0"/>
              <w:rPr>
                <w:sz w:val="20"/>
                <w:szCs w:val="20"/>
                <w:color w:val="auto"/>
              </w:rPr>
            </w:pPr>
            <w:r>
              <w:rPr>
                <w:rFonts w:ascii="Arial" w:cs="Arial" w:eastAsia="Arial" w:hAnsi="Arial"/>
                <w:sz w:val="13"/>
                <w:szCs w:val="13"/>
                <w:color w:val="auto"/>
              </w:rPr>
              <w:t>(459,976)</w:t>
            </w:r>
          </w:p>
        </w:tc>
        <w:tc>
          <w:tcPr>
            <w:tcW w:w="1020" w:type="dxa"/>
            <w:vAlign w:val="bottom"/>
            <w:vMerge w:val="restart"/>
          </w:tcPr>
          <w:p>
            <w:pPr>
              <w:jc w:val="right"/>
              <w:ind w:right="53"/>
              <w:spacing w:after="0"/>
              <w:rPr>
                <w:sz w:val="20"/>
                <w:szCs w:val="20"/>
                <w:color w:val="auto"/>
              </w:rPr>
            </w:pPr>
            <w:r>
              <w:rPr>
                <w:rFonts w:ascii="Arial" w:cs="Arial" w:eastAsia="Arial" w:hAnsi="Arial"/>
                <w:sz w:val="13"/>
                <w:szCs w:val="13"/>
                <w:color w:val="auto"/>
              </w:rPr>
              <w:t>(730,681)</w:t>
            </w:r>
          </w:p>
        </w:tc>
        <w:tc>
          <w:tcPr>
            <w:tcW w:w="780" w:type="dxa"/>
            <w:vAlign w:val="bottom"/>
            <w:vMerge w:val="restart"/>
          </w:tcPr>
          <w:p>
            <w:pPr>
              <w:jc w:val="center"/>
              <w:ind w:right="13"/>
              <w:spacing w:after="0"/>
              <w:rPr>
                <w:sz w:val="20"/>
                <w:szCs w:val="20"/>
                <w:color w:val="auto"/>
              </w:rPr>
            </w:pPr>
            <w:r>
              <w:rPr>
                <w:rFonts w:ascii="Arial" w:cs="Arial" w:eastAsia="Arial" w:hAnsi="Arial"/>
                <w:sz w:val="13"/>
                <w:szCs w:val="13"/>
                <w:color w:val="auto"/>
              </w:rPr>
              <w:t>58.9%</w:t>
            </w:r>
          </w:p>
        </w:tc>
        <w:tc>
          <w:tcPr>
            <w:tcW w:w="960" w:type="dxa"/>
            <w:vAlign w:val="bottom"/>
            <w:vMerge w:val="restart"/>
          </w:tcPr>
          <w:p>
            <w:pPr>
              <w:jc w:val="center"/>
              <w:ind w:right="33"/>
              <w:spacing w:after="0"/>
              <w:rPr>
                <w:sz w:val="20"/>
                <w:szCs w:val="20"/>
                <w:color w:val="auto"/>
              </w:rPr>
            </w:pPr>
            <w:r>
              <w:rPr>
                <w:rFonts w:ascii="Arial" w:cs="Arial" w:eastAsia="Arial" w:hAnsi="Arial"/>
                <w:sz w:val="13"/>
                <w:szCs w:val="13"/>
                <w:color w:val="auto"/>
              </w:rPr>
              <w:t>476.3%</w:t>
            </w:r>
          </w:p>
        </w:tc>
        <w:tc>
          <w:tcPr>
            <w:tcW w:w="1220" w:type="dxa"/>
            <w:vAlign w:val="bottom"/>
            <w:vMerge w:val="restart"/>
          </w:tcPr>
          <w:p>
            <w:pPr>
              <w:jc w:val="right"/>
              <w:ind w:right="193"/>
              <w:spacing w:after="0"/>
              <w:rPr>
                <w:sz w:val="20"/>
                <w:szCs w:val="20"/>
                <w:color w:val="auto"/>
              </w:rPr>
            </w:pPr>
            <w:r>
              <w:rPr>
                <w:rFonts w:ascii="Arial" w:cs="Arial" w:eastAsia="Arial" w:hAnsi="Arial"/>
                <w:sz w:val="13"/>
                <w:szCs w:val="13"/>
                <w:color w:val="auto"/>
              </w:rPr>
              <w:t>(1,212,223)</w:t>
            </w:r>
          </w:p>
        </w:tc>
        <w:tc>
          <w:tcPr>
            <w:tcW w:w="920" w:type="dxa"/>
            <w:vAlign w:val="bottom"/>
            <w:vMerge w:val="restart"/>
          </w:tcPr>
          <w:p>
            <w:pPr>
              <w:jc w:val="right"/>
              <w:ind w:right="53"/>
              <w:spacing w:after="0"/>
              <w:rPr>
                <w:sz w:val="20"/>
                <w:szCs w:val="20"/>
                <w:color w:val="auto"/>
              </w:rPr>
            </w:pPr>
            <w:r>
              <w:rPr>
                <w:rFonts w:ascii="Arial" w:cs="Arial" w:eastAsia="Arial" w:hAnsi="Arial"/>
                <w:sz w:val="13"/>
                <w:szCs w:val="13"/>
                <w:color w:val="auto"/>
              </w:rPr>
              <w:t>(1,811,538)</w:t>
            </w:r>
          </w:p>
        </w:tc>
        <w:tc>
          <w:tcPr>
            <w:tcW w:w="1020" w:type="dxa"/>
            <w:vAlign w:val="bottom"/>
            <w:vMerge w:val="restart"/>
          </w:tcPr>
          <w:p>
            <w:pPr>
              <w:jc w:val="center"/>
              <w:ind w:right="13"/>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00"/>
        </w:trPr>
        <w:tc>
          <w:tcPr>
            <w:tcW w:w="3180" w:type="dxa"/>
            <w:vAlign w:val="bottom"/>
            <w:vMerge w:val="restart"/>
          </w:tcPr>
          <w:p>
            <w:pPr>
              <w:ind w:left="40"/>
              <w:spacing w:after="0"/>
              <w:rPr>
                <w:sz w:val="20"/>
                <w:szCs w:val="20"/>
                <w:color w:val="auto"/>
              </w:rPr>
            </w:pPr>
            <w:r>
              <w:rPr>
                <w:rFonts w:ascii="Arial" w:cs="Arial" w:eastAsia="Arial" w:hAnsi="Arial"/>
                <w:sz w:val="13"/>
                <w:szCs w:val="13"/>
                <w:color w:val="auto"/>
              </w:rPr>
              <w:t>of recoveries</w:t>
            </w:r>
          </w:p>
        </w:tc>
        <w:tc>
          <w:tcPr>
            <w:tcW w:w="11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31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3"/>
        </w:trPr>
        <w:tc>
          <w:tcPr>
            <w:tcW w:w="3180" w:type="dxa"/>
            <w:vAlign w:val="bottom"/>
          </w:tcPr>
          <w:p>
            <w:pPr>
              <w:ind w:left="40"/>
              <w:spacing w:after="0"/>
              <w:rPr>
                <w:sz w:val="20"/>
                <w:szCs w:val="20"/>
                <w:color w:val="auto"/>
              </w:rPr>
            </w:pPr>
            <w:r>
              <w:rPr>
                <w:rFonts w:ascii="Arial" w:cs="Arial" w:eastAsia="Arial" w:hAnsi="Arial"/>
                <w:sz w:val="13"/>
                <w:szCs w:val="13"/>
                <w:b w:val="1"/>
                <w:bCs w:val="1"/>
                <w:color w:val="auto"/>
              </w:rPr>
              <w:t>Net interest, similar income and expenses, after</w:t>
            </w:r>
          </w:p>
        </w:tc>
        <w:tc>
          <w:tcPr>
            <w:tcW w:w="11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2,350,452</w:t>
            </w:r>
          </w:p>
        </w:tc>
        <w:tc>
          <w:tcPr>
            <w:tcW w:w="102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2,541,483</w:t>
            </w:r>
          </w:p>
        </w:tc>
        <w:tc>
          <w:tcPr>
            <w:tcW w:w="10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2,512,337</w:t>
            </w:r>
          </w:p>
        </w:tc>
        <w:tc>
          <w:tcPr>
            <w:tcW w:w="78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99"/>
              </w:rPr>
              <w:t>-1.1%</w:t>
            </w:r>
          </w:p>
        </w:tc>
        <w:tc>
          <w:tcPr>
            <w:tcW w:w="96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rPr>
              <w:t>6.9%</w:t>
            </w:r>
          </w:p>
        </w:tc>
        <w:tc>
          <w:tcPr>
            <w:tcW w:w="122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8,147,381</w:t>
            </w:r>
          </w:p>
        </w:tc>
        <w:tc>
          <w:tcPr>
            <w:tcW w:w="92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9,706,557</w:t>
            </w:r>
          </w:p>
        </w:tc>
        <w:tc>
          <w:tcPr>
            <w:tcW w:w="102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rPr>
              <w:t>19.1%</w:t>
            </w:r>
          </w:p>
        </w:tc>
        <w:tc>
          <w:tcPr>
            <w:tcW w:w="0" w:type="dxa"/>
            <w:vAlign w:val="bottom"/>
          </w:tcPr>
          <w:p>
            <w:pPr>
              <w:spacing w:after="0"/>
              <w:rPr>
                <w:sz w:val="1"/>
                <w:szCs w:val="1"/>
                <w:color w:val="auto"/>
              </w:rPr>
            </w:pPr>
          </w:p>
        </w:tc>
      </w:tr>
      <w:tr>
        <w:trPr>
          <w:trHeight w:val="110"/>
        </w:trPr>
        <w:tc>
          <w:tcPr>
            <w:tcW w:w="31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provision for credit losses on loan portfolio</w:t>
            </w:r>
          </w:p>
        </w:tc>
        <w:tc>
          <w:tcPr>
            <w:tcW w:w="11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1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3180" w:type="dxa"/>
            <w:vAlign w:val="bottom"/>
          </w:tcPr>
          <w:p>
            <w:pPr>
              <w:ind w:left="40"/>
              <w:spacing w:after="0"/>
              <w:rPr>
                <w:sz w:val="20"/>
                <w:szCs w:val="20"/>
                <w:color w:val="auto"/>
              </w:rPr>
            </w:pPr>
            <w:r>
              <w:rPr>
                <w:rFonts w:ascii="Arial" w:cs="Arial" w:eastAsia="Arial" w:hAnsi="Arial"/>
                <w:sz w:val="13"/>
                <w:szCs w:val="13"/>
                <w:color w:val="auto"/>
              </w:rPr>
              <w:t>Total other income</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1,304,163</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1,310,186</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1,350,661</w:t>
            </w:r>
          </w:p>
        </w:tc>
        <w:tc>
          <w:tcPr>
            <w:tcW w:w="780" w:type="dxa"/>
            <w:vAlign w:val="bottom"/>
          </w:tcPr>
          <w:p>
            <w:pPr>
              <w:jc w:val="center"/>
              <w:ind w:right="13"/>
              <w:spacing w:after="0"/>
              <w:rPr>
                <w:sz w:val="20"/>
                <w:szCs w:val="20"/>
                <w:color w:val="auto"/>
              </w:rPr>
            </w:pPr>
            <w:r>
              <w:rPr>
                <w:rFonts w:ascii="Arial" w:cs="Arial" w:eastAsia="Arial" w:hAnsi="Arial"/>
                <w:sz w:val="13"/>
                <w:szCs w:val="13"/>
                <w:color w:val="auto"/>
              </w:rPr>
              <w:t>3.1%</w:t>
            </w:r>
          </w:p>
        </w:tc>
        <w:tc>
          <w:tcPr>
            <w:tcW w:w="960" w:type="dxa"/>
            <w:vAlign w:val="bottom"/>
          </w:tcPr>
          <w:p>
            <w:pPr>
              <w:jc w:val="center"/>
              <w:ind w:right="33"/>
              <w:spacing w:after="0"/>
              <w:rPr>
                <w:sz w:val="20"/>
                <w:szCs w:val="20"/>
                <w:color w:val="auto"/>
              </w:rPr>
            </w:pPr>
            <w:r>
              <w:rPr>
                <w:rFonts w:ascii="Arial" w:cs="Arial" w:eastAsia="Arial" w:hAnsi="Arial"/>
                <w:sz w:val="13"/>
                <w:szCs w:val="13"/>
                <w:color w:val="auto"/>
              </w:rPr>
              <w:t>3.6%</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4,929,717</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5,108,349</w:t>
            </w:r>
          </w:p>
        </w:tc>
        <w:tc>
          <w:tcPr>
            <w:tcW w:w="1020" w:type="dxa"/>
            <w:vAlign w:val="bottom"/>
          </w:tcPr>
          <w:p>
            <w:pPr>
              <w:jc w:val="center"/>
              <w:ind w:right="13"/>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rPr>
                <w:sz w:val="20"/>
                <w:szCs w:val="20"/>
                <w:color w:val="auto"/>
              </w:rPr>
            </w:pPr>
            <w:r>
              <w:rPr>
                <w:rFonts w:ascii="Arial" w:cs="Arial" w:eastAsia="Arial" w:hAnsi="Arial"/>
                <w:sz w:val="13"/>
                <w:szCs w:val="13"/>
                <w:color w:val="auto"/>
              </w:rPr>
              <w:t>Insurance underwriting result</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127,657</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198,842</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184,168</w:t>
            </w:r>
          </w:p>
        </w:tc>
        <w:tc>
          <w:tcPr>
            <w:tcW w:w="780" w:type="dxa"/>
            <w:vAlign w:val="bottom"/>
          </w:tcPr>
          <w:p>
            <w:pPr>
              <w:jc w:val="center"/>
              <w:ind w:right="13"/>
              <w:spacing w:after="0"/>
              <w:rPr>
                <w:sz w:val="20"/>
                <w:szCs w:val="20"/>
                <w:color w:val="auto"/>
              </w:rPr>
            </w:pPr>
            <w:r>
              <w:rPr>
                <w:rFonts w:ascii="Arial" w:cs="Arial" w:eastAsia="Arial" w:hAnsi="Arial"/>
                <w:sz w:val="13"/>
                <w:szCs w:val="13"/>
                <w:color w:val="auto"/>
                <w:w w:val="99"/>
              </w:rPr>
              <w:t>-7.4%</w:t>
            </w:r>
          </w:p>
        </w:tc>
        <w:tc>
          <w:tcPr>
            <w:tcW w:w="960" w:type="dxa"/>
            <w:vAlign w:val="bottom"/>
          </w:tcPr>
          <w:p>
            <w:pPr>
              <w:jc w:val="center"/>
              <w:ind w:right="33"/>
              <w:spacing w:after="0"/>
              <w:rPr>
                <w:sz w:val="20"/>
                <w:szCs w:val="20"/>
                <w:color w:val="auto"/>
              </w:rPr>
            </w:pPr>
            <w:r>
              <w:rPr>
                <w:rFonts w:ascii="Arial" w:cs="Arial" w:eastAsia="Arial" w:hAnsi="Arial"/>
                <w:sz w:val="13"/>
                <w:szCs w:val="13"/>
                <w:color w:val="auto"/>
              </w:rPr>
              <w:t>44.3%</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(3,721)</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661,598</w:t>
            </w:r>
          </w:p>
        </w:tc>
        <w:tc>
          <w:tcPr>
            <w:tcW w:w="1020" w:type="dxa"/>
            <w:vAlign w:val="bottom"/>
          </w:tcPr>
          <w:p>
            <w:pPr>
              <w:jc w:val="center"/>
              <w:ind w:right="13"/>
              <w:spacing w:after="0"/>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149"/>
        </w:trPr>
        <w:tc>
          <w:tcPr>
            <w:tcW w:w="3180" w:type="dxa"/>
            <w:vAlign w:val="bottom"/>
          </w:tcPr>
          <w:p>
            <w:pPr>
              <w:ind w:left="40"/>
              <w:spacing w:after="0"/>
              <w:rPr>
                <w:sz w:val="20"/>
                <w:szCs w:val="20"/>
                <w:color w:val="auto"/>
              </w:rPr>
            </w:pPr>
            <w:r>
              <w:rPr>
                <w:rFonts w:ascii="Arial" w:cs="Arial" w:eastAsia="Arial" w:hAnsi="Arial"/>
                <w:sz w:val="13"/>
                <w:szCs w:val="13"/>
                <w:color w:val="auto"/>
              </w:rPr>
              <w:t>Total other expenses</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(2,223,165)</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(2,141,153)</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(2,474,609)</w:t>
            </w:r>
          </w:p>
        </w:tc>
        <w:tc>
          <w:tcPr>
            <w:tcW w:w="780" w:type="dxa"/>
            <w:vAlign w:val="bottom"/>
          </w:tcPr>
          <w:p>
            <w:pPr>
              <w:jc w:val="center"/>
              <w:ind w:right="13"/>
              <w:spacing w:after="0"/>
              <w:rPr>
                <w:sz w:val="20"/>
                <w:szCs w:val="20"/>
                <w:color w:val="auto"/>
              </w:rPr>
            </w:pPr>
            <w:r>
              <w:rPr>
                <w:rFonts w:ascii="Arial" w:cs="Arial" w:eastAsia="Arial" w:hAnsi="Arial"/>
                <w:sz w:val="13"/>
                <w:szCs w:val="13"/>
                <w:color w:val="auto"/>
              </w:rPr>
              <w:t>15.6%</w:t>
            </w:r>
          </w:p>
        </w:tc>
        <w:tc>
          <w:tcPr>
            <w:tcW w:w="960" w:type="dxa"/>
            <w:vAlign w:val="bottom"/>
          </w:tcPr>
          <w:p>
            <w:pPr>
              <w:jc w:val="center"/>
              <w:ind w:right="33"/>
              <w:spacing w:after="0"/>
              <w:rPr>
                <w:sz w:val="20"/>
                <w:szCs w:val="20"/>
                <w:color w:val="auto"/>
              </w:rPr>
            </w:pPr>
            <w:r>
              <w:rPr>
                <w:rFonts w:ascii="Arial" w:cs="Arial" w:eastAsia="Arial" w:hAnsi="Arial"/>
                <w:sz w:val="13"/>
                <w:szCs w:val="13"/>
                <w:color w:val="auto"/>
              </w:rPr>
              <w:t>11.3%</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(7,740,561)</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(8,620,615)</w:t>
            </w:r>
          </w:p>
        </w:tc>
        <w:tc>
          <w:tcPr>
            <w:tcW w:w="1020" w:type="dxa"/>
            <w:vAlign w:val="bottom"/>
          </w:tcPr>
          <w:p>
            <w:pPr>
              <w:jc w:val="center"/>
              <w:ind w:right="13"/>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53"/>
        </w:trPr>
        <w:tc>
          <w:tcPr>
            <w:tcW w:w="3180" w:type="dxa"/>
            <w:vAlign w:val="bottom"/>
          </w:tcPr>
          <w:p>
            <w:pPr>
              <w:ind w:left="40"/>
              <w:spacing w:after="0"/>
              <w:rPr>
                <w:sz w:val="20"/>
                <w:szCs w:val="20"/>
                <w:color w:val="auto"/>
              </w:rPr>
            </w:pPr>
            <w:r>
              <w:rPr>
                <w:rFonts w:ascii="Arial" w:cs="Arial" w:eastAsia="Arial" w:hAnsi="Arial"/>
                <w:sz w:val="13"/>
                <w:szCs w:val="13"/>
                <w:b w:val="1"/>
                <w:bCs w:val="1"/>
                <w:color w:val="auto"/>
              </w:rPr>
              <w:t>Profit (loss) before income tax</w:t>
            </w: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1,559,107</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auto"/>
              </w:rPr>
              <w:t>1,909,358</w:t>
            </w:r>
          </w:p>
        </w:tc>
        <w:tc>
          <w:tcPr>
            <w:tcW w:w="1020" w:type="dxa"/>
            <w:vAlign w:val="bottom"/>
          </w:tcPr>
          <w:p>
            <w:pPr>
              <w:jc w:val="right"/>
              <w:ind w:right="53"/>
              <w:spacing w:after="0"/>
              <w:rPr>
                <w:sz w:val="20"/>
                <w:szCs w:val="20"/>
                <w:color w:val="auto"/>
              </w:rPr>
            </w:pPr>
            <w:r>
              <w:rPr>
                <w:rFonts w:ascii="Arial" w:cs="Arial" w:eastAsia="Arial" w:hAnsi="Arial"/>
                <w:sz w:val="13"/>
                <w:szCs w:val="13"/>
                <w:b w:val="1"/>
                <w:bCs w:val="1"/>
                <w:color w:val="auto"/>
              </w:rPr>
              <w:t>1,572,557</w:t>
            </w:r>
          </w:p>
        </w:tc>
        <w:tc>
          <w:tcPr>
            <w:tcW w:w="780" w:type="dxa"/>
            <w:vAlign w:val="bottom"/>
          </w:tcPr>
          <w:p>
            <w:pPr>
              <w:jc w:val="center"/>
              <w:ind w:right="13"/>
              <w:spacing w:after="0"/>
              <w:rPr>
                <w:sz w:val="20"/>
                <w:szCs w:val="20"/>
                <w:color w:val="auto"/>
              </w:rPr>
            </w:pPr>
            <w:r>
              <w:rPr>
                <w:rFonts w:ascii="Arial" w:cs="Arial" w:eastAsia="Arial" w:hAnsi="Arial"/>
                <w:sz w:val="13"/>
                <w:szCs w:val="13"/>
                <w:b w:val="1"/>
                <w:bCs w:val="1"/>
                <w:color w:val="auto"/>
              </w:rPr>
              <w:t>-17.6%</w:t>
            </w:r>
          </w:p>
        </w:tc>
        <w:tc>
          <w:tcPr>
            <w:tcW w:w="960" w:type="dxa"/>
            <w:vAlign w:val="bottom"/>
          </w:tcPr>
          <w:p>
            <w:pPr>
              <w:jc w:val="center"/>
              <w:ind w:right="33"/>
              <w:spacing w:after="0"/>
              <w:rPr>
                <w:sz w:val="20"/>
                <w:szCs w:val="20"/>
                <w:color w:val="auto"/>
              </w:rPr>
            </w:pPr>
            <w:r>
              <w:rPr>
                <w:rFonts w:ascii="Arial" w:cs="Arial" w:eastAsia="Arial" w:hAnsi="Arial"/>
                <w:sz w:val="13"/>
                <w:szCs w:val="13"/>
                <w:b w:val="1"/>
                <w:bCs w:val="1"/>
                <w:color w:val="auto"/>
              </w:rPr>
              <w:t>0.9%</w:t>
            </w:r>
          </w:p>
        </w:tc>
        <w:tc>
          <w:tcPr>
            <w:tcW w:w="1220" w:type="dxa"/>
            <w:vAlign w:val="bottom"/>
          </w:tcPr>
          <w:p>
            <w:pPr>
              <w:jc w:val="right"/>
              <w:ind w:right="193"/>
              <w:spacing w:after="0"/>
              <w:rPr>
                <w:sz w:val="20"/>
                <w:szCs w:val="20"/>
                <w:color w:val="auto"/>
              </w:rPr>
            </w:pPr>
            <w:r>
              <w:rPr>
                <w:rFonts w:ascii="Arial" w:cs="Arial" w:eastAsia="Arial" w:hAnsi="Arial"/>
                <w:sz w:val="13"/>
                <w:szCs w:val="13"/>
                <w:b w:val="1"/>
                <w:bCs w:val="1"/>
                <w:color w:val="auto"/>
              </w:rPr>
              <w:t>5,332,816</w:t>
            </w: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6,855,889</w:t>
            </w:r>
          </w:p>
        </w:tc>
        <w:tc>
          <w:tcPr>
            <w:tcW w:w="1020" w:type="dxa"/>
            <w:vAlign w:val="bottom"/>
          </w:tcPr>
          <w:p>
            <w:pPr>
              <w:jc w:val="center"/>
              <w:ind w:right="13"/>
              <w:spacing w:after="0"/>
              <w:rPr>
                <w:sz w:val="20"/>
                <w:szCs w:val="20"/>
                <w:color w:val="auto"/>
              </w:rPr>
            </w:pPr>
            <w:r>
              <w:rPr>
                <w:rFonts w:ascii="Arial" w:cs="Arial" w:eastAsia="Arial" w:hAnsi="Arial"/>
                <w:sz w:val="13"/>
                <w:szCs w:val="13"/>
                <w:b w:val="1"/>
                <w:bCs w:val="1"/>
                <w:color w:val="auto"/>
              </w:rPr>
              <w:t>28.6%</w:t>
            </w:r>
          </w:p>
        </w:tc>
        <w:tc>
          <w:tcPr>
            <w:tcW w:w="0" w:type="dxa"/>
            <w:vAlign w:val="bottom"/>
          </w:tcPr>
          <w:p>
            <w:pPr>
              <w:spacing w:after="0"/>
              <w:rPr>
                <w:sz w:val="1"/>
                <w:szCs w:val="1"/>
                <w:color w:val="auto"/>
              </w:rPr>
            </w:pPr>
          </w:p>
        </w:tc>
      </w:tr>
      <w:tr>
        <w:trPr>
          <w:trHeight w:val="149"/>
        </w:trPr>
        <w:tc>
          <w:tcPr>
            <w:tcW w:w="3180" w:type="dxa"/>
            <w:vAlign w:val="bottom"/>
          </w:tcPr>
          <w:p>
            <w:pPr>
              <w:ind w:left="40"/>
              <w:spacing w:after="0"/>
              <w:rPr>
                <w:sz w:val="20"/>
                <w:szCs w:val="20"/>
                <w:color w:val="auto"/>
              </w:rPr>
            </w:pPr>
            <w:r>
              <w:rPr>
                <w:rFonts w:ascii="Arial" w:cs="Arial" w:eastAsia="Arial" w:hAnsi="Arial"/>
                <w:sz w:val="13"/>
                <w:szCs w:val="13"/>
                <w:color w:val="auto"/>
              </w:rPr>
              <w:t>Income tax</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(471,860)</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(575,083)</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(476,236)</w:t>
            </w:r>
          </w:p>
        </w:tc>
        <w:tc>
          <w:tcPr>
            <w:tcW w:w="780" w:type="dxa"/>
            <w:vAlign w:val="bottom"/>
          </w:tcPr>
          <w:p>
            <w:pPr>
              <w:jc w:val="center"/>
              <w:ind w:right="13"/>
              <w:spacing w:after="0"/>
              <w:rPr>
                <w:sz w:val="20"/>
                <w:szCs w:val="20"/>
                <w:color w:val="auto"/>
              </w:rPr>
            </w:pPr>
            <w:r>
              <w:rPr>
                <w:rFonts w:ascii="Arial" w:cs="Arial" w:eastAsia="Arial" w:hAnsi="Arial"/>
                <w:sz w:val="13"/>
                <w:szCs w:val="13"/>
                <w:color w:val="auto"/>
              </w:rPr>
              <w:t>-17.2%</w:t>
            </w:r>
          </w:p>
        </w:tc>
        <w:tc>
          <w:tcPr>
            <w:tcW w:w="960" w:type="dxa"/>
            <w:vAlign w:val="bottom"/>
          </w:tcPr>
          <w:p>
            <w:pPr>
              <w:jc w:val="center"/>
              <w:ind w:right="33"/>
              <w:spacing w:after="0"/>
              <w:rPr>
                <w:sz w:val="20"/>
                <w:szCs w:val="20"/>
                <w:color w:val="auto"/>
              </w:rPr>
            </w:pPr>
            <w:r>
              <w:rPr>
                <w:rFonts w:ascii="Arial" w:cs="Arial" w:eastAsia="Arial" w:hAnsi="Arial"/>
                <w:sz w:val="13"/>
                <w:szCs w:val="13"/>
                <w:color w:val="auto"/>
              </w:rPr>
              <w:t>0.9%</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(1,660,987)</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(2,110,501)</w:t>
            </w:r>
          </w:p>
        </w:tc>
        <w:tc>
          <w:tcPr>
            <w:tcW w:w="1020" w:type="dxa"/>
            <w:vAlign w:val="bottom"/>
          </w:tcPr>
          <w:p>
            <w:pPr>
              <w:jc w:val="center"/>
              <w:ind w:right="13"/>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53"/>
        </w:trPr>
        <w:tc>
          <w:tcPr>
            <w:tcW w:w="3180" w:type="dxa"/>
            <w:vAlign w:val="bottom"/>
          </w:tcPr>
          <w:p>
            <w:pPr>
              <w:ind w:left="40"/>
              <w:spacing w:after="0"/>
              <w:rPr>
                <w:sz w:val="20"/>
                <w:szCs w:val="20"/>
                <w:color w:val="auto"/>
              </w:rPr>
            </w:pPr>
            <w:r>
              <w:rPr>
                <w:rFonts w:ascii="Arial" w:cs="Arial" w:eastAsia="Arial" w:hAnsi="Arial"/>
                <w:sz w:val="13"/>
                <w:szCs w:val="13"/>
                <w:b w:val="1"/>
                <w:bCs w:val="1"/>
                <w:color w:val="auto"/>
              </w:rPr>
              <w:t>Net profit (loss)</w:t>
            </w: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1,087,247</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auto"/>
              </w:rPr>
              <w:t>1,334,275</w:t>
            </w:r>
          </w:p>
        </w:tc>
        <w:tc>
          <w:tcPr>
            <w:tcW w:w="1020" w:type="dxa"/>
            <w:vAlign w:val="bottom"/>
          </w:tcPr>
          <w:p>
            <w:pPr>
              <w:jc w:val="right"/>
              <w:ind w:right="53"/>
              <w:spacing w:after="0"/>
              <w:rPr>
                <w:sz w:val="20"/>
                <w:szCs w:val="20"/>
                <w:color w:val="auto"/>
              </w:rPr>
            </w:pPr>
            <w:r>
              <w:rPr>
                <w:rFonts w:ascii="Arial" w:cs="Arial" w:eastAsia="Arial" w:hAnsi="Arial"/>
                <w:sz w:val="13"/>
                <w:szCs w:val="13"/>
                <w:b w:val="1"/>
                <w:bCs w:val="1"/>
                <w:color w:val="auto"/>
              </w:rPr>
              <w:t>1,096,321</w:t>
            </w:r>
          </w:p>
        </w:tc>
        <w:tc>
          <w:tcPr>
            <w:tcW w:w="780" w:type="dxa"/>
            <w:vAlign w:val="bottom"/>
          </w:tcPr>
          <w:p>
            <w:pPr>
              <w:jc w:val="center"/>
              <w:ind w:right="13"/>
              <w:spacing w:after="0"/>
              <w:rPr>
                <w:sz w:val="20"/>
                <w:szCs w:val="20"/>
                <w:color w:val="auto"/>
              </w:rPr>
            </w:pPr>
            <w:r>
              <w:rPr>
                <w:rFonts w:ascii="Arial" w:cs="Arial" w:eastAsia="Arial" w:hAnsi="Arial"/>
                <w:sz w:val="13"/>
                <w:szCs w:val="13"/>
                <w:b w:val="1"/>
                <w:bCs w:val="1"/>
                <w:color w:val="auto"/>
              </w:rPr>
              <w:t>-17.8%</w:t>
            </w:r>
          </w:p>
        </w:tc>
        <w:tc>
          <w:tcPr>
            <w:tcW w:w="960" w:type="dxa"/>
            <w:vAlign w:val="bottom"/>
          </w:tcPr>
          <w:p>
            <w:pPr>
              <w:jc w:val="center"/>
              <w:ind w:right="33"/>
              <w:spacing w:after="0"/>
              <w:rPr>
                <w:sz w:val="20"/>
                <w:szCs w:val="20"/>
                <w:color w:val="auto"/>
              </w:rPr>
            </w:pPr>
            <w:r>
              <w:rPr>
                <w:rFonts w:ascii="Arial" w:cs="Arial" w:eastAsia="Arial" w:hAnsi="Arial"/>
                <w:sz w:val="13"/>
                <w:szCs w:val="13"/>
                <w:b w:val="1"/>
                <w:bCs w:val="1"/>
                <w:color w:val="auto"/>
              </w:rPr>
              <w:t>0.8%</w:t>
            </w:r>
          </w:p>
        </w:tc>
        <w:tc>
          <w:tcPr>
            <w:tcW w:w="1220" w:type="dxa"/>
            <w:vAlign w:val="bottom"/>
          </w:tcPr>
          <w:p>
            <w:pPr>
              <w:jc w:val="right"/>
              <w:ind w:right="193"/>
              <w:spacing w:after="0"/>
              <w:rPr>
                <w:sz w:val="20"/>
                <w:szCs w:val="20"/>
                <w:color w:val="auto"/>
              </w:rPr>
            </w:pPr>
            <w:r>
              <w:rPr>
                <w:rFonts w:ascii="Arial" w:cs="Arial" w:eastAsia="Arial" w:hAnsi="Arial"/>
                <w:sz w:val="13"/>
                <w:szCs w:val="13"/>
                <w:b w:val="1"/>
                <w:bCs w:val="1"/>
                <w:color w:val="auto"/>
              </w:rPr>
              <w:t>3,671,829</w:t>
            </w: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4,745,388</w:t>
            </w:r>
          </w:p>
        </w:tc>
        <w:tc>
          <w:tcPr>
            <w:tcW w:w="1020" w:type="dxa"/>
            <w:vAlign w:val="bottom"/>
          </w:tcPr>
          <w:p>
            <w:pPr>
              <w:jc w:val="center"/>
              <w:ind w:right="13"/>
              <w:spacing w:after="0"/>
              <w:rPr>
                <w:sz w:val="20"/>
                <w:szCs w:val="20"/>
                <w:color w:val="auto"/>
              </w:rPr>
            </w:pPr>
            <w:r>
              <w:rPr>
                <w:rFonts w:ascii="Arial" w:cs="Arial" w:eastAsia="Arial" w:hAnsi="Arial"/>
                <w:sz w:val="13"/>
                <w:szCs w:val="13"/>
                <w:b w:val="1"/>
                <w:bCs w:val="1"/>
                <w:color w:val="auto"/>
              </w:rPr>
              <w:t>29.2%</w:t>
            </w:r>
          </w:p>
        </w:tc>
        <w:tc>
          <w:tcPr>
            <w:tcW w:w="0" w:type="dxa"/>
            <w:vAlign w:val="bottom"/>
          </w:tcPr>
          <w:p>
            <w:pPr>
              <w:spacing w:after="0"/>
              <w:rPr>
                <w:sz w:val="1"/>
                <w:szCs w:val="1"/>
                <w:color w:val="auto"/>
              </w:rPr>
            </w:pPr>
          </w:p>
        </w:tc>
      </w:tr>
      <w:tr>
        <w:trPr>
          <w:trHeight w:val="149"/>
        </w:trPr>
        <w:tc>
          <w:tcPr>
            <w:tcW w:w="3180" w:type="dxa"/>
            <w:vAlign w:val="bottom"/>
          </w:tcPr>
          <w:p>
            <w:pPr>
              <w:ind w:left="40"/>
              <w:spacing w:after="0"/>
              <w:rPr>
                <w:sz w:val="20"/>
                <w:szCs w:val="20"/>
                <w:color w:val="auto"/>
              </w:rPr>
            </w:pPr>
            <w:r>
              <w:rPr>
                <w:rFonts w:ascii="Arial" w:cs="Arial" w:eastAsia="Arial" w:hAnsi="Arial"/>
                <w:sz w:val="13"/>
                <w:szCs w:val="13"/>
                <w:color w:val="auto"/>
              </w:rPr>
              <w:t>Non-controlling interest</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26,631</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31,855</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24,231</w:t>
            </w:r>
          </w:p>
        </w:tc>
        <w:tc>
          <w:tcPr>
            <w:tcW w:w="780" w:type="dxa"/>
            <w:vAlign w:val="bottom"/>
          </w:tcPr>
          <w:p>
            <w:pPr>
              <w:jc w:val="center"/>
              <w:ind w:right="13"/>
              <w:spacing w:after="0"/>
              <w:rPr>
                <w:sz w:val="20"/>
                <w:szCs w:val="20"/>
                <w:color w:val="auto"/>
              </w:rPr>
            </w:pPr>
            <w:r>
              <w:rPr>
                <w:rFonts w:ascii="Arial" w:cs="Arial" w:eastAsia="Arial" w:hAnsi="Arial"/>
                <w:sz w:val="13"/>
                <w:szCs w:val="13"/>
                <w:color w:val="auto"/>
              </w:rPr>
              <w:t>-23.9%</w:t>
            </w:r>
          </w:p>
        </w:tc>
        <w:tc>
          <w:tcPr>
            <w:tcW w:w="960" w:type="dxa"/>
            <w:vAlign w:val="bottom"/>
          </w:tcPr>
          <w:p>
            <w:pPr>
              <w:jc w:val="center"/>
              <w:ind w:right="13"/>
              <w:spacing w:after="0"/>
              <w:rPr>
                <w:sz w:val="20"/>
                <w:szCs w:val="20"/>
                <w:color w:val="auto"/>
              </w:rPr>
            </w:pPr>
            <w:r>
              <w:rPr>
                <w:rFonts w:ascii="Arial" w:cs="Arial" w:eastAsia="Arial" w:hAnsi="Arial"/>
                <w:sz w:val="13"/>
                <w:szCs w:val="13"/>
                <w:color w:val="auto"/>
              </w:rPr>
              <w:t>-9.0%</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87,247</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112,292</w:t>
            </w:r>
          </w:p>
        </w:tc>
        <w:tc>
          <w:tcPr>
            <w:tcW w:w="1020" w:type="dxa"/>
            <w:vAlign w:val="bottom"/>
          </w:tcPr>
          <w:p>
            <w:pPr>
              <w:jc w:val="center"/>
              <w:ind w:right="13"/>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53"/>
        </w:trPr>
        <w:tc>
          <w:tcPr>
            <w:tcW w:w="3180" w:type="dxa"/>
            <w:vAlign w:val="bottom"/>
          </w:tcPr>
          <w:p>
            <w:pPr>
              <w:ind w:left="40"/>
              <w:spacing w:after="0"/>
              <w:rPr>
                <w:sz w:val="20"/>
                <w:szCs w:val="20"/>
                <w:color w:val="auto"/>
              </w:rPr>
            </w:pPr>
            <w:r>
              <w:rPr>
                <w:rFonts w:ascii="Arial" w:cs="Arial" w:eastAsia="Arial" w:hAnsi="Arial"/>
                <w:sz w:val="13"/>
                <w:szCs w:val="13"/>
                <w:b w:val="1"/>
                <w:bCs w:val="1"/>
                <w:color w:val="auto"/>
              </w:rPr>
              <w:t>Net profit (loss) attributable to Credicorp</w:t>
            </w: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1,060,616</w:t>
            </w:r>
          </w:p>
        </w:tc>
        <w:tc>
          <w:tcPr>
            <w:tcW w:w="1020" w:type="dxa"/>
            <w:vAlign w:val="bottom"/>
          </w:tcPr>
          <w:p>
            <w:pPr>
              <w:jc w:val="right"/>
              <w:ind w:right="73"/>
              <w:spacing w:after="0"/>
              <w:rPr>
                <w:sz w:val="20"/>
                <w:szCs w:val="20"/>
                <w:color w:val="auto"/>
              </w:rPr>
            </w:pPr>
            <w:r>
              <w:rPr>
                <w:rFonts w:ascii="Arial" w:cs="Arial" w:eastAsia="Arial" w:hAnsi="Arial"/>
                <w:sz w:val="13"/>
                <w:szCs w:val="13"/>
                <w:b w:val="1"/>
                <w:bCs w:val="1"/>
                <w:color w:val="auto"/>
              </w:rPr>
              <w:t>1,302,420</w:t>
            </w:r>
          </w:p>
        </w:tc>
        <w:tc>
          <w:tcPr>
            <w:tcW w:w="1020" w:type="dxa"/>
            <w:vAlign w:val="bottom"/>
          </w:tcPr>
          <w:p>
            <w:pPr>
              <w:jc w:val="right"/>
              <w:ind w:right="53"/>
              <w:spacing w:after="0"/>
              <w:rPr>
                <w:sz w:val="20"/>
                <w:szCs w:val="20"/>
                <w:color w:val="auto"/>
              </w:rPr>
            </w:pPr>
            <w:r>
              <w:rPr>
                <w:rFonts w:ascii="Arial" w:cs="Arial" w:eastAsia="Arial" w:hAnsi="Arial"/>
                <w:sz w:val="13"/>
                <w:szCs w:val="13"/>
                <w:b w:val="1"/>
                <w:bCs w:val="1"/>
                <w:color w:val="auto"/>
              </w:rPr>
              <w:t>1,072,090</w:t>
            </w:r>
          </w:p>
        </w:tc>
        <w:tc>
          <w:tcPr>
            <w:tcW w:w="780" w:type="dxa"/>
            <w:vAlign w:val="bottom"/>
          </w:tcPr>
          <w:p>
            <w:pPr>
              <w:jc w:val="center"/>
              <w:ind w:right="13"/>
              <w:spacing w:after="0"/>
              <w:rPr>
                <w:sz w:val="20"/>
                <w:szCs w:val="20"/>
                <w:color w:val="auto"/>
              </w:rPr>
            </w:pPr>
            <w:r>
              <w:rPr>
                <w:rFonts w:ascii="Arial" w:cs="Arial" w:eastAsia="Arial" w:hAnsi="Arial"/>
                <w:sz w:val="13"/>
                <w:szCs w:val="13"/>
                <w:b w:val="1"/>
                <w:bCs w:val="1"/>
                <w:color w:val="auto"/>
              </w:rPr>
              <w:t>-17.7%</w:t>
            </w:r>
          </w:p>
        </w:tc>
        <w:tc>
          <w:tcPr>
            <w:tcW w:w="960" w:type="dxa"/>
            <w:vAlign w:val="bottom"/>
          </w:tcPr>
          <w:p>
            <w:pPr>
              <w:jc w:val="center"/>
              <w:ind w:right="33"/>
              <w:spacing w:after="0"/>
              <w:rPr>
                <w:sz w:val="20"/>
                <w:szCs w:val="20"/>
                <w:color w:val="auto"/>
              </w:rPr>
            </w:pPr>
            <w:r>
              <w:rPr>
                <w:rFonts w:ascii="Arial" w:cs="Arial" w:eastAsia="Arial" w:hAnsi="Arial"/>
                <w:sz w:val="13"/>
                <w:szCs w:val="13"/>
                <w:b w:val="1"/>
                <w:bCs w:val="1"/>
                <w:color w:val="auto"/>
              </w:rPr>
              <w:t>1.1%</w:t>
            </w:r>
          </w:p>
        </w:tc>
        <w:tc>
          <w:tcPr>
            <w:tcW w:w="1220" w:type="dxa"/>
            <w:vAlign w:val="bottom"/>
          </w:tcPr>
          <w:p>
            <w:pPr>
              <w:jc w:val="right"/>
              <w:ind w:right="193"/>
              <w:spacing w:after="0"/>
              <w:rPr>
                <w:sz w:val="20"/>
                <w:szCs w:val="20"/>
                <w:color w:val="auto"/>
              </w:rPr>
            </w:pPr>
            <w:r>
              <w:rPr>
                <w:rFonts w:ascii="Arial" w:cs="Arial" w:eastAsia="Arial" w:hAnsi="Arial"/>
                <w:sz w:val="13"/>
                <w:szCs w:val="13"/>
                <w:b w:val="1"/>
                <w:bCs w:val="1"/>
                <w:color w:val="auto"/>
              </w:rPr>
              <w:t>3,584,582</w:t>
            </w: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4,633,096</w:t>
            </w:r>
          </w:p>
        </w:tc>
        <w:tc>
          <w:tcPr>
            <w:tcW w:w="1020" w:type="dxa"/>
            <w:vAlign w:val="bottom"/>
          </w:tcPr>
          <w:p>
            <w:pPr>
              <w:jc w:val="center"/>
              <w:ind w:right="13"/>
              <w:spacing w:after="0"/>
              <w:rPr>
                <w:sz w:val="20"/>
                <w:szCs w:val="20"/>
                <w:color w:val="auto"/>
              </w:rPr>
            </w:pPr>
            <w:r>
              <w:rPr>
                <w:rFonts w:ascii="Arial" w:cs="Arial" w:eastAsia="Arial" w:hAnsi="Arial"/>
                <w:sz w:val="13"/>
                <w:szCs w:val="13"/>
                <w:b w:val="1"/>
                <w:bCs w:val="1"/>
                <w:color w:val="auto"/>
              </w:rPr>
              <w:t>29.3%</w:t>
            </w: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Net profit (loss) / share (S/)</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13.30</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16.33</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13.44</w:t>
            </w: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color w:val="auto"/>
              </w:rPr>
              <w:t>-17.7%</w:t>
            </w: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rPr>
              <w:t>1.1%</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44.94</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58.09</w:t>
            </w:r>
          </w:p>
        </w:tc>
        <w:tc>
          <w:tcPr>
            <w:tcW w:w="10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36"/>
        </w:trPr>
        <w:tc>
          <w:tcPr>
            <w:tcW w:w="3180" w:type="dxa"/>
            <w:vAlign w:val="bottom"/>
          </w:tcPr>
          <w:p>
            <w:pPr>
              <w:ind w:left="40"/>
              <w:spacing w:after="0" w:line="136" w:lineRule="exact"/>
              <w:rPr>
                <w:sz w:val="20"/>
                <w:szCs w:val="20"/>
                <w:color w:val="auto"/>
              </w:rPr>
            </w:pPr>
            <w:r>
              <w:rPr>
                <w:rFonts w:ascii="Arial" w:cs="Arial" w:eastAsia="Arial" w:hAnsi="Arial"/>
                <w:sz w:val="13"/>
                <w:szCs w:val="13"/>
                <w:color w:val="auto"/>
              </w:rPr>
              <w:t>Loans</w:t>
            </w:r>
          </w:p>
        </w:tc>
        <w:tc>
          <w:tcPr>
            <w:tcW w:w="11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147,597,412</w:t>
            </w:r>
          </w:p>
        </w:tc>
        <w:tc>
          <w:tcPr>
            <w:tcW w:w="1020" w:type="dxa"/>
            <w:vAlign w:val="bottom"/>
          </w:tcPr>
          <w:p>
            <w:pPr>
              <w:jc w:val="right"/>
              <w:ind w:right="73"/>
              <w:spacing w:after="0" w:line="136" w:lineRule="exact"/>
              <w:rPr>
                <w:sz w:val="20"/>
                <w:szCs w:val="20"/>
                <w:color w:val="auto"/>
              </w:rPr>
            </w:pPr>
            <w:r>
              <w:rPr>
                <w:rFonts w:ascii="Arial" w:cs="Arial" w:eastAsia="Arial" w:hAnsi="Arial"/>
                <w:sz w:val="13"/>
                <w:szCs w:val="13"/>
                <w:color w:val="auto"/>
              </w:rPr>
              <w:t>151,392,202</w:t>
            </w:r>
          </w:p>
        </w:tc>
        <w:tc>
          <w:tcPr>
            <w:tcW w:w="10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148,626,374</w:t>
            </w:r>
          </w:p>
        </w:tc>
        <w:tc>
          <w:tcPr>
            <w:tcW w:w="780" w:type="dxa"/>
            <w:vAlign w:val="bottom"/>
          </w:tcPr>
          <w:p>
            <w:pPr>
              <w:jc w:val="center"/>
              <w:ind w:right="13"/>
              <w:spacing w:after="0" w:line="136" w:lineRule="exact"/>
              <w:rPr>
                <w:sz w:val="20"/>
                <w:szCs w:val="20"/>
                <w:color w:val="auto"/>
              </w:rPr>
            </w:pPr>
            <w:r>
              <w:rPr>
                <w:rFonts w:ascii="Arial" w:cs="Arial" w:eastAsia="Arial" w:hAnsi="Arial"/>
                <w:sz w:val="13"/>
                <w:szCs w:val="13"/>
                <w:color w:val="auto"/>
                <w:w w:val="99"/>
              </w:rPr>
              <w:t>-1.8%</w:t>
            </w:r>
          </w:p>
        </w:tc>
        <w:tc>
          <w:tcPr>
            <w:tcW w:w="960" w:type="dxa"/>
            <w:vAlign w:val="bottom"/>
          </w:tcPr>
          <w:p>
            <w:pPr>
              <w:jc w:val="center"/>
              <w:ind w:right="33"/>
              <w:spacing w:after="0" w:line="136" w:lineRule="exact"/>
              <w:rPr>
                <w:sz w:val="20"/>
                <w:szCs w:val="20"/>
                <w:color w:val="auto"/>
              </w:rPr>
            </w:pPr>
            <w:r>
              <w:rPr>
                <w:rFonts w:ascii="Arial" w:cs="Arial" w:eastAsia="Arial" w:hAnsi="Arial"/>
                <w:sz w:val="13"/>
                <w:szCs w:val="13"/>
                <w:color w:val="auto"/>
              </w:rPr>
              <w:t>0.7%</w:t>
            </w:r>
          </w:p>
        </w:tc>
        <w:tc>
          <w:tcPr>
            <w:tcW w:w="1220" w:type="dxa"/>
            <w:vAlign w:val="bottom"/>
          </w:tcPr>
          <w:p>
            <w:pPr>
              <w:jc w:val="right"/>
              <w:ind w:right="193"/>
              <w:spacing w:after="0" w:line="136" w:lineRule="exact"/>
              <w:rPr>
                <w:sz w:val="20"/>
                <w:szCs w:val="20"/>
                <w:color w:val="auto"/>
              </w:rPr>
            </w:pPr>
            <w:r>
              <w:rPr>
                <w:rFonts w:ascii="Arial" w:cs="Arial" w:eastAsia="Arial" w:hAnsi="Arial"/>
                <w:sz w:val="13"/>
                <w:szCs w:val="13"/>
                <w:color w:val="auto"/>
              </w:rPr>
              <w:t>147,597,412</w:t>
            </w:r>
          </w:p>
        </w:tc>
        <w:tc>
          <w:tcPr>
            <w:tcW w:w="9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148,626,374</w:t>
            </w:r>
          </w:p>
        </w:tc>
        <w:tc>
          <w:tcPr>
            <w:tcW w:w="1020" w:type="dxa"/>
            <w:vAlign w:val="bottom"/>
          </w:tcPr>
          <w:p>
            <w:pPr>
              <w:jc w:val="center"/>
              <w:ind w:right="13"/>
              <w:spacing w:after="0" w:line="136"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rPr>
                <w:sz w:val="20"/>
                <w:szCs w:val="20"/>
                <w:color w:val="auto"/>
              </w:rPr>
            </w:pPr>
            <w:r>
              <w:rPr>
                <w:rFonts w:ascii="Arial" w:cs="Arial" w:eastAsia="Arial" w:hAnsi="Arial"/>
                <w:sz w:val="13"/>
                <w:szCs w:val="13"/>
                <w:color w:val="auto"/>
              </w:rPr>
              <w:t>Deposits and obligations</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149,596,545</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151,958,000</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147,020,787</w:t>
            </w:r>
          </w:p>
        </w:tc>
        <w:tc>
          <w:tcPr>
            <w:tcW w:w="780" w:type="dxa"/>
            <w:vAlign w:val="bottom"/>
          </w:tcPr>
          <w:p>
            <w:pPr>
              <w:jc w:val="center"/>
              <w:ind w:right="13"/>
              <w:spacing w:after="0"/>
              <w:rPr>
                <w:sz w:val="20"/>
                <w:szCs w:val="20"/>
                <w:color w:val="auto"/>
              </w:rPr>
            </w:pPr>
            <w:r>
              <w:rPr>
                <w:rFonts w:ascii="Arial" w:cs="Arial" w:eastAsia="Arial" w:hAnsi="Arial"/>
                <w:sz w:val="13"/>
                <w:szCs w:val="13"/>
                <w:color w:val="auto"/>
                <w:w w:val="99"/>
              </w:rPr>
              <w:t>-3.2%</w:t>
            </w:r>
          </w:p>
        </w:tc>
        <w:tc>
          <w:tcPr>
            <w:tcW w:w="960" w:type="dxa"/>
            <w:vAlign w:val="bottom"/>
          </w:tcPr>
          <w:p>
            <w:pPr>
              <w:jc w:val="center"/>
              <w:ind w:right="13"/>
              <w:spacing w:after="0"/>
              <w:rPr>
                <w:sz w:val="20"/>
                <w:szCs w:val="20"/>
                <w:color w:val="auto"/>
              </w:rPr>
            </w:pPr>
            <w:r>
              <w:rPr>
                <w:rFonts w:ascii="Arial" w:cs="Arial" w:eastAsia="Arial" w:hAnsi="Arial"/>
                <w:sz w:val="13"/>
                <w:szCs w:val="13"/>
                <w:color w:val="auto"/>
              </w:rPr>
              <w:t>-1.7%</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149,596,545</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147,020,787</w:t>
            </w:r>
          </w:p>
        </w:tc>
        <w:tc>
          <w:tcPr>
            <w:tcW w:w="1020" w:type="dxa"/>
            <w:vAlign w:val="bottom"/>
          </w:tcPr>
          <w:p>
            <w:pPr>
              <w:jc w:val="center"/>
              <w:ind w:right="13"/>
              <w:spacing w:after="0"/>
              <w:rPr>
                <w:sz w:val="20"/>
                <w:szCs w:val="20"/>
                <w:color w:val="auto"/>
              </w:rPr>
            </w:pPr>
            <w:r>
              <w:rPr>
                <w:rFonts w:ascii="Arial" w:cs="Arial" w:eastAsia="Arial" w:hAnsi="Arial"/>
                <w:sz w:val="13"/>
                <w:szCs w:val="13"/>
                <w:color w:val="auto"/>
                <w:w w:val="99"/>
              </w:rPr>
              <w:t>-1.7%</w:t>
            </w: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Net equity</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26,496,767</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27,109,054</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28,988,140</w:t>
            </w: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color w:val="auto"/>
              </w:rPr>
              <w:t>6.9%</w:t>
            </w: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rPr>
              <w:t>9.4%</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26,496,767</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28,988,140</w:t>
            </w:r>
          </w:p>
        </w:tc>
        <w:tc>
          <w:tcPr>
            <w:tcW w:w="10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6"/>
        </w:trPr>
        <w:tc>
          <w:tcPr>
            <w:tcW w:w="3180" w:type="dxa"/>
            <w:vAlign w:val="bottom"/>
          </w:tcPr>
          <w:p>
            <w:pPr>
              <w:ind w:left="40"/>
              <w:spacing w:after="0" w:line="136" w:lineRule="exact"/>
              <w:rPr>
                <w:sz w:val="20"/>
                <w:szCs w:val="20"/>
                <w:color w:val="auto"/>
              </w:rPr>
            </w:pPr>
            <w:r>
              <w:rPr>
                <w:rFonts w:ascii="Arial" w:cs="Arial" w:eastAsia="Arial" w:hAnsi="Arial"/>
                <w:sz w:val="13"/>
                <w:szCs w:val="13"/>
                <w:b w:val="1"/>
                <w:bCs w:val="1"/>
                <w:color w:val="auto"/>
              </w:rPr>
              <w:t>Profitability</w:t>
            </w: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rPr>
                <w:sz w:val="20"/>
                <w:szCs w:val="20"/>
                <w:color w:val="auto"/>
              </w:rPr>
            </w:pPr>
            <w:r>
              <w:rPr>
                <w:rFonts w:ascii="Arial" w:cs="Arial" w:eastAsia="Arial" w:hAnsi="Arial"/>
                <w:sz w:val="13"/>
                <w:szCs w:val="13"/>
                <w:color w:val="auto"/>
              </w:rPr>
              <w:t>Net interest margin</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4.25%</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5.31%</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5.73%</w:t>
            </w:r>
          </w:p>
        </w:tc>
        <w:tc>
          <w:tcPr>
            <w:tcW w:w="780" w:type="dxa"/>
            <w:vAlign w:val="bottom"/>
          </w:tcPr>
          <w:p>
            <w:pPr>
              <w:jc w:val="center"/>
              <w:spacing w:after="0"/>
              <w:rPr>
                <w:sz w:val="20"/>
                <w:szCs w:val="20"/>
                <w:color w:val="auto"/>
              </w:rPr>
            </w:pPr>
            <w:r>
              <w:rPr>
                <w:rFonts w:ascii="Arial" w:cs="Arial" w:eastAsia="Arial" w:hAnsi="Arial"/>
                <w:sz w:val="13"/>
                <w:szCs w:val="13"/>
                <w:color w:val="auto"/>
              </w:rPr>
              <w:t>42 pbs</w:t>
            </w:r>
          </w:p>
        </w:tc>
        <w:tc>
          <w:tcPr>
            <w:tcW w:w="960" w:type="dxa"/>
            <w:vAlign w:val="bottom"/>
          </w:tcPr>
          <w:p>
            <w:pPr>
              <w:jc w:val="center"/>
              <w:spacing w:after="0"/>
              <w:rPr>
                <w:sz w:val="20"/>
                <w:szCs w:val="20"/>
                <w:color w:val="auto"/>
              </w:rPr>
            </w:pPr>
            <w:r>
              <w:rPr>
                <w:rFonts w:ascii="Arial" w:cs="Arial" w:eastAsia="Arial" w:hAnsi="Arial"/>
                <w:sz w:val="13"/>
                <w:szCs w:val="13"/>
                <w:color w:val="auto"/>
              </w:rPr>
              <w:t>148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4.10%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5.07%</w:t>
            </w:r>
          </w:p>
        </w:tc>
        <w:tc>
          <w:tcPr>
            <w:tcW w:w="1020" w:type="dxa"/>
            <w:vAlign w:val="bottom"/>
          </w:tcPr>
          <w:p>
            <w:pPr>
              <w:jc w:val="center"/>
              <w:spacing w:after="0"/>
              <w:rPr>
                <w:sz w:val="20"/>
                <w:szCs w:val="20"/>
                <w:color w:val="auto"/>
              </w:rPr>
            </w:pPr>
            <w:r>
              <w:rPr>
                <w:rFonts w:ascii="Arial" w:cs="Arial" w:eastAsia="Arial" w:hAnsi="Arial"/>
                <w:sz w:val="13"/>
                <w:szCs w:val="13"/>
                <w:color w:val="auto"/>
              </w:rPr>
              <w:t>97 pbs</w:t>
            </w: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rPr>
                <w:sz w:val="20"/>
                <w:szCs w:val="20"/>
                <w:color w:val="auto"/>
              </w:rPr>
            </w:pPr>
            <w:r>
              <w:rPr>
                <w:rFonts w:ascii="Arial" w:cs="Arial" w:eastAsia="Arial" w:hAnsi="Arial"/>
                <w:sz w:val="13"/>
                <w:szCs w:val="13"/>
                <w:color w:val="auto"/>
              </w:rPr>
              <w:t>Risk-adjusted Net interest margin</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4.03%</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4.50%</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4.44%</w:t>
            </w:r>
          </w:p>
        </w:tc>
        <w:tc>
          <w:tcPr>
            <w:tcW w:w="780" w:type="dxa"/>
            <w:vAlign w:val="bottom"/>
          </w:tcPr>
          <w:p>
            <w:pPr>
              <w:jc w:val="center"/>
              <w:spacing w:after="0"/>
              <w:rPr>
                <w:sz w:val="20"/>
                <w:szCs w:val="20"/>
                <w:color w:val="auto"/>
              </w:rPr>
            </w:pPr>
            <w:r>
              <w:rPr>
                <w:rFonts w:ascii="Arial" w:cs="Arial" w:eastAsia="Arial" w:hAnsi="Arial"/>
                <w:sz w:val="13"/>
                <w:szCs w:val="13"/>
                <w:color w:val="auto"/>
              </w:rPr>
              <w:t>-6 pbs</w:t>
            </w:r>
          </w:p>
        </w:tc>
        <w:tc>
          <w:tcPr>
            <w:tcW w:w="960" w:type="dxa"/>
            <w:vAlign w:val="bottom"/>
          </w:tcPr>
          <w:p>
            <w:pPr>
              <w:jc w:val="center"/>
              <w:spacing w:after="0"/>
              <w:rPr>
                <w:sz w:val="20"/>
                <w:szCs w:val="20"/>
                <w:color w:val="auto"/>
              </w:rPr>
            </w:pPr>
            <w:r>
              <w:rPr>
                <w:rFonts w:ascii="Arial" w:cs="Arial" w:eastAsia="Arial" w:hAnsi="Arial"/>
                <w:sz w:val="13"/>
                <w:szCs w:val="13"/>
                <w:color w:val="auto"/>
              </w:rPr>
              <w:t>41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3.57%</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4.27%</w:t>
            </w:r>
          </w:p>
        </w:tc>
        <w:tc>
          <w:tcPr>
            <w:tcW w:w="1020" w:type="dxa"/>
            <w:vAlign w:val="bottom"/>
          </w:tcPr>
          <w:p>
            <w:pPr>
              <w:jc w:val="center"/>
              <w:spacing w:after="0"/>
              <w:rPr>
                <w:sz w:val="20"/>
                <w:szCs w:val="20"/>
                <w:color w:val="auto"/>
              </w:rPr>
            </w:pPr>
            <w:r>
              <w:rPr>
                <w:rFonts w:ascii="Arial" w:cs="Arial" w:eastAsia="Arial" w:hAnsi="Arial"/>
                <w:sz w:val="13"/>
                <w:szCs w:val="13"/>
                <w:color w:val="auto"/>
              </w:rPr>
              <w:t>70 pbs</w:t>
            </w: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rPr>
                <w:sz w:val="20"/>
                <w:szCs w:val="20"/>
                <w:color w:val="auto"/>
              </w:rPr>
            </w:pPr>
            <w:r>
              <w:rPr>
                <w:rFonts w:ascii="Arial" w:cs="Arial" w:eastAsia="Arial" w:hAnsi="Arial"/>
                <w:sz w:val="13"/>
                <w:szCs w:val="13"/>
                <w:color w:val="auto"/>
              </w:rPr>
              <w:t>Funding cost</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1.24%</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2.07%</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2.36%</w:t>
            </w:r>
          </w:p>
        </w:tc>
        <w:tc>
          <w:tcPr>
            <w:tcW w:w="780" w:type="dxa"/>
            <w:vAlign w:val="bottom"/>
          </w:tcPr>
          <w:p>
            <w:pPr>
              <w:jc w:val="center"/>
              <w:spacing w:after="0"/>
              <w:rPr>
                <w:sz w:val="20"/>
                <w:szCs w:val="20"/>
                <w:color w:val="auto"/>
              </w:rPr>
            </w:pPr>
            <w:r>
              <w:rPr>
                <w:rFonts w:ascii="Arial" w:cs="Arial" w:eastAsia="Arial" w:hAnsi="Arial"/>
                <w:sz w:val="13"/>
                <w:szCs w:val="13"/>
                <w:color w:val="auto"/>
              </w:rPr>
              <w:t>29 pbs</w:t>
            </w:r>
          </w:p>
        </w:tc>
        <w:tc>
          <w:tcPr>
            <w:tcW w:w="960" w:type="dxa"/>
            <w:vAlign w:val="bottom"/>
          </w:tcPr>
          <w:p>
            <w:pPr>
              <w:jc w:val="center"/>
              <w:ind w:right="33"/>
              <w:spacing w:after="0"/>
              <w:rPr>
                <w:sz w:val="20"/>
                <w:szCs w:val="20"/>
                <w:color w:val="auto"/>
              </w:rPr>
            </w:pPr>
            <w:r>
              <w:rPr>
                <w:rFonts w:ascii="Arial" w:cs="Arial" w:eastAsia="Arial" w:hAnsi="Arial"/>
                <w:sz w:val="13"/>
                <w:szCs w:val="13"/>
                <w:color w:val="auto"/>
                <w:w w:val="99"/>
              </w:rPr>
              <w:t>112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1.29%</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1.83%</w:t>
            </w:r>
          </w:p>
        </w:tc>
        <w:tc>
          <w:tcPr>
            <w:tcW w:w="1020" w:type="dxa"/>
            <w:vAlign w:val="bottom"/>
          </w:tcPr>
          <w:p>
            <w:pPr>
              <w:jc w:val="center"/>
              <w:spacing w:after="0"/>
              <w:rPr>
                <w:sz w:val="20"/>
                <w:szCs w:val="20"/>
                <w:color w:val="auto"/>
              </w:rPr>
            </w:pPr>
            <w:r>
              <w:rPr>
                <w:rFonts w:ascii="Arial" w:cs="Arial" w:eastAsia="Arial" w:hAnsi="Arial"/>
                <w:sz w:val="13"/>
                <w:szCs w:val="13"/>
                <w:color w:val="auto"/>
              </w:rPr>
              <w:t>54 pbs</w:t>
            </w: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rPr>
                <w:sz w:val="20"/>
                <w:szCs w:val="20"/>
                <w:color w:val="auto"/>
              </w:rPr>
            </w:pPr>
            <w:r>
              <w:rPr>
                <w:rFonts w:ascii="Arial" w:cs="Arial" w:eastAsia="Arial" w:hAnsi="Arial"/>
                <w:sz w:val="13"/>
                <w:szCs w:val="13"/>
                <w:color w:val="auto"/>
              </w:rPr>
              <w:t>ROAE</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16.4%</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19.6%</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15.3%</w:t>
            </w:r>
          </w:p>
        </w:tc>
        <w:tc>
          <w:tcPr>
            <w:tcW w:w="780" w:type="dxa"/>
            <w:vAlign w:val="bottom"/>
          </w:tcPr>
          <w:p>
            <w:pPr>
              <w:jc w:val="center"/>
              <w:spacing w:after="0"/>
              <w:rPr>
                <w:sz w:val="20"/>
                <w:szCs w:val="20"/>
                <w:color w:val="auto"/>
              </w:rPr>
            </w:pPr>
            <w:r>
              <w:rPr>
                <w:rFonts w:ascii="Arial" w:cs="Arial" w:eastAsia="Arial" w:hAnsi="Arial"/>
                <w:sz w:val="13"/>
                <w:szCs w:val="13"/>
                <w:color w:val="auto"/>
              </w:rPr>
              <w:t>-430 pbs</w:t>
            </w: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-110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13.9%</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16.7%</w:t>
            </w:r>
          </w:p>
        </w:tc>
        <w:tc>
          <w:tcPr>
            <w:tcW w:w="1020" w:type="dxa"/>
            <w:vAlign w:val="bottom"/>
          </w:tcPr>
          <w:p>
            <w:pPr>
              <w:jc w:val="center"/>
              <w:spacing w:after="0"/>
              <w:rPr>
                <w:sz w:val="20"/>
                <w:szCs w:val="20"/>
                <w:color w:val="auto"/>
              </w:rPr>
            </w:pPr>
            <w:r>
              <w:rPr>
                <w:rFonts w:ascii="Arial" w:cs="Arial" w:eastAsia="Arial" w:hAnsi="Arial"/>
                <w:sz w:val="13"/>
                <w:szCs w:val="13"/>
                <w:color w:val="auto"/>
              </w:rPr>
              <w:t>280 pbs</w:t>
            </w: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ROAA</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1.7%</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2.2%</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-40 pbs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 pbs</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1.5%</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40 pbs</w:t>
            </w:r>
          </w:p>
        </w:tc>
        <w:tc>
          <w:tcPr>
            <w:tcW w:w="0" w:type="dxa"/>
            <w:vAlign w:val="bottom"/>
          </w:tcPr>
          <w:p>
            <w:pPr>
              <w:spacing w:after="0"/>
              <w:rPr>
                <w:sz w:val="1"/>
                <w:szCs w:val="1"/>
                <w:color w:val="auto"/>
              </w:rPr>
            </w:pPr>
          </w:p>
        </w:tc>
      </w:tr>
      <w:tr>
        <w:trPr>
          <w:trHeight w:val="121"/>
        </w:trPr>
        <w:tc>
          <w:tcPr>
            <w:tcW w:w="3180" w:type="dxa"/>
            <w:vAlign w:val="bottom"/>
          </w:tcPr>
          <w:p>
            <w:pPr>
              <w:ind w:left="40"/>
              <w:spacing w:after="0" w:line="121" w:lineRule="exact"/>
              <w:rPr>
                <w:sz w:val="20"/>
                <w:szCs w:val="20"/>
                <w:color w:val="auto"/>
              </w:rPr>
            </w:pPr>
            <w:r>
              <w:rPr>
                <w:rFonts w:ascii="Arial" w:cs="Arial" w:eastAsia="Arial" w:hAnsi="Arial"/>
                <w:sz w:val="13"/>
                <w:szCs w:val="13"/>
                <w:b w:val="1"/>
                <w:bCs w:val="1"/>
                <w:color w:val="auto"/>
              </w:rPr>
              <w:t>Loan portfolio quality</w:t>
            </w: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180" w:type="dxa"/>
            <w:vAlign w:val="bottom"/>
          </w:tcPr>
          <w:p>
            <w:pPr>
              <w:ind w:left="40"/>
              <w:spacing w:after="0" w:line="166" w:lineRule="exact"/>
              <w:rPr>
                <w:sz w:val="20"/>
                <w:szCs w:val="20"/>
                <w:color w:val="auto"/>
              </w:rPr>
            </w:pPr>
            <w:r>
              <w:rPr>
                <w:rFonts w:ascii="Arial" w:cs="Arial" w:eastAsia="Arial" w:hAnsi="Arial"/>
                <w:sz w:val="12"/>
                <w:szCs w:val="12"/>
                <w:color w:val="auto"/>
              </w:rPr>
              <w:t xml:space="preserve">Internal overdue ratio </w:t>
            </w:r>
            <w:r>
              <w:rPr>
                <w:rFonts w:ascii="Arial" w:cs="Arial" w:eastAsia="Arial" w:hAnsi="Arial"/>
                <w:sz w:val="19"/>
                <w:szCs w:val="19"/>
                <w:color w:val="auto"/>
                <w:vertAlign w:val="superscript"/>
              </w:rPr>
              <w:t>(1)</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3.76%</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4.13%</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4.00%</w:t>
            </w:r>
          </w:p>
        </w:tc>
        <w:tc>
          <w:tcPr>
            <w:tcW w:w="780" w:type="dxa"/>
            <w:vAlign w:val="bottom"/>
          </w:tcPr>
          <w:p>
            <w:pPr>
              <w:jc w:val="center"/>
              <w:spacing w:after="0"/>
              <w:rPr>
                <w:sz w:val="20"/>
                <w:szCs w:val="20"/>
                <w:color w:val="auto"/>
              </w:rPr>
            </w:pPr>
            <w:r>
              <w:rPr>
                <w:rFonts w:ascii="Arial" w:cs="Arial" w:eastAsia="Arial" w:hAnsi="Arial"/>
                <w:sz w:val="13"/>
                <w:szCs w:val="13"/>
                <w:color w:val="auto"/>
              </w:rPr>
              <w:t>-13 pbs</w:t>
            </w:r>
          </w:p>
        </w:tc>
        <w:tc>
          <w:tcPr>
            <w:tcW w:w="960" w:type="dxa"/>
            <w:vAlign w:val="bottom"/>
          </w:tcPr>
          <w:p>
            <w:pPr>
              <w:jc w:val="center"/>
              <w:spacing w:after="0"/>
              <w:rPr>
                <w:sz w:val="20"/>
                <w:szCs w:val="20"/>
                <w:color w:val="auto"/>
              </w:rPr>
            </w:pPr>
            <w:r>
              <w:rPr>
                <w:rFonts w:ascii="Arial" w:cs="Arial" w:eastAsia="Arial" w:hAnsi="Arial"/>
                <w:sz w:val="13"/>
                <w:szCs w:val="13"/>
                <w:color w:val="auto"/>
              </w:rPr>
              <w:t>24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3.76%</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4.00%</w:t>
            </w:r>
          </w:p>
        </w:tc>
        <w:tc>
          <w:tcPr>
            <w:tcW w:w="1020" w:type="dxa"/>
            <w:vAlign w:val="bottom"/>
          </w:tcPr>
          <w:p>
            <w:pPr>
              <w:jc w:val="center"/>
              <w:spacing w:after="0"/>
              <w:rPr>
                <w:sz w:val="20"/>
                <w:szCs w:val="20"/>
                <w:color w:val="auto"/>
              </w:rPr>
            </w:pPr>
            <w:r>
              <w:rPr>
                <w:rFonts w:ascii="Arial" w:cs="Arial" w:eastAsia="Arial" w:hAnsi="Arial"/>
                <w:sz w:val="13"/>
                <w:szCs w:val="13"/>
                <w:color w:val="auto"/>
              </w:rPr>
              <w:t>24 pbs</w:t>
            </w:r>
          </w:p>
        </w:tc>
        <w:tc>
          <w:tcPr>
            <w:tcW w:w="0" w:type="dxa"/>
            <w:vAlign w:val="bottom"/>
          </w:tcPr>
          <w:p>
            <w:pPr>
              <w:spacing w:after="0"/>
              <w:rPr>
                <w:sz w:val="1"/>
                <w:szCs w:val="1"/>
                <w:color w:val="auto"/>
              </w:rPr>
            </w:pPr>
          </w:p>
        </w:tc>
      </w:tr>
      <w:tr>
        <w:trPr>
          <w:trHeight w:val="135"/>
        </w:trPr>
        <w:tc>
          <w:tcPr>
            <w:tcW w:w="3180" w:type="dxa"/>
            <w:vAlign w:val="bottom"/>
          </w:tcPr>
          <w:p>
            <w:pPr>
              <w:ind w:left="40"/>
              <w:spacing w:after="0" w:line="136" w:lineRule="exact"/>
              <w:rPr>
                <w:sz w:val="20"/>
                <w:szCs w:val="20"/>
                <w:color w:val="auto"/>
              </w:rPr>
            </w:pPr>
            <w:r>
              <w:rPr>
                <w:rFonts w:ascii="Arial" w:cs="Arial" w:eastAsia="Arial" w:hAnsi="Arial"/>
                <w:sz w:val="13"/>
                <w:szCs w:val="13"/>
                <w:color w:val="auto"/>
              </w:rPr>
              <w:t>Internal overdue ratio over 90 days</w:t>
            </w:r>
          </w:p>
        </w:tc>
        <w:tc>
          <w:tcPr>
            <w:tcW w:w="11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2.85%</w:t>
            </w:r>
          </w:p>
        </w:tc>
        <w:tc>
          <w:tcPr>
            <w:tcW w:w="1020" w:type="dxa"/>
            <w:vAlign w:val="bottom"/>
          </w:tcPr>
          <w:p>
            <w:pPr>
              <w:jc w:val="right"/>
              <w:ind w:right="73"/>
              <w:spacing w:after="0" w:line="136" w:lineRule="exact"/>
              <w:rPr>
                <w:sz w:val="20"/>
                <w:szCs w:val="20"/>
                <w:color w:val="auto"/>
              </w:rPr>
            </w:pPr>
            <w:r>
              <w:rPr>
                <w:rFonts w:ascii="Arial" w:cs="Arial" w:eastAsia="Arial" w:hAnsi="Arial"/>
                <w:sz w:val="13"/>
                <w:szCs w:val="13"/>
                <w:color w:val="auto"/>
              </w:rPr>
              <w:t>3.08%</w:t>
            </w:r>
          </w:p>
        </w:tc>
        <w:tc>
          <w:tcPr>
            <w:tcW w:w="10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3.11%</w:t>
            </w:r>
          </w:p>
        </w:tc>
        <w:tc>
          <w:tcPr>
            <w:tcW w:w="780" w:type="dxa"/>
            <w:vAlign w:val="bottom"/>
          </w:tcPr>
          <w:p>
            <w:pPr>
              <w:jc w:val="center"/>
              <w:spacing w:after="0" w:line="136" w:lineRule="exact"/>
              <w:rPr>
                <w:sz w:val="20"/>
                <w:szCs w:val="20"/>
                <w:color w:val="auto"/>
              </w:rPr>
            </w:pPr>
            <w:r>
              <w:rPr>
                <w:rFonts w:ascii="Arial" w:cs="Arial" w:eastAsia="Arial" w:hAnsi="Arial"/>
                <w:sz w:val="13"/>
                <w:szCs w:val="13"/>
                <w:color w:val="auto"/>
              </w:rPr>
              <w:t>3 pbs</w:t>
            </w:r>
          </w:p>
        </w:tc>
        <w:tc>
          <w:tcPr>
            <w:tcW w:w="960" w:type="dxa"/>
            <w:vAlign w:val="bottom"/>
          </w:tcPr>
          <w:p>
            <w:pPr>
              <w:jc w:val="center"/>
              <w:spacing w:after="0" w:line="136" w:lineRule="exact"/>
              <w:rPr>
                <w:sz w:val="20"/>
                <w:szCs w:val="20"/>
                <w:color w:val="auto"/>
              </w:rPr>
            </w:pPr>
            <w:r>
              <w:rPr>
                <w:rFonts w:ascii="Arial" w:cs="Arial" w:eastAsia="Arial" w:hAnsi="Arial"/>
                <w:sz w:val="13"/>
                <w:szCs w:val="13"/>
                <w:color w:val="auto"/>
              </w:rPr>
              <w:t>26 pbs</w:t>
            </w:r>
          </w:p>
        </w:tc>
        <w:tc>
          <w:tcPr>
            <w:tcW w:w="1220" w:type="dxa"/>
            <w:vAlign w:val="bottom"/>
          </w:tcPr>
          <w:p>
            <w:pPr>
              <w:jc w:val="right"/>
              <w:ind w:right="193"/>
              <w:spacing w:after="0" w:line="136" w:lineRule="exact"/>
              <w:rPr>
                <w:sz w:val="20"/>
                <w:szCs w:val="20"/>
                <w:color w:val="auto"/>
              </w:rPr>
            </w:pPr>
            <w:r>
              <w:rPr>
                <w:rFonts w:ascii="Arial" w:cs="Arial" w:eastAsia="Arial" w:hAnsi="Arial"/>
                <w:sz w:val="13"/>
                <w:szCs w:val="13"/>
                <w:color w:val="auto"/>
              </w:rPr>
              <w:t>2.85%</w:t>
            </w:r>
          </w:p>
        </w:tc>
        <w:tc>
          <w:tcPr>
            <w:tcW w:w="9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3.11%</w:t>
            </w:r>
          </w:p>
        </w:tc>
        <w:tc>
          <w:tcPr>
            <w:tcW w:w="1020" w:type="dxa"/>
            <w:vAlign w:val="bottom"/>
          </w:tcPr>
          <w:p>
            <w:pPr>
              <w:jc w:val="center"/>
              <w:spacing w:after="0" w:line="136" w:lineRule="exact"/>
              <w:rPr>
                <w:sz w:val="20"/>
                <w:szCs w:val="20"/>
                <w:color w:val="auto"/>
              </w:rPr>
            </w:pPr>
            <w:r>
              <w:rPr>
                <w:rFonts w:ascii="Arial" w:cs="Arial" w:eastAsia="Arial" w:hAnsi="Arial"/>
                <w:sz w:val="13"/>
                <w:szCs w:val="13"/>
                <w:color w:val="auto"/>
              </w:rPr>
              <w:t>26 pbs</w:t>
            </w: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line="151" w:lineRule="exact"/>
              <w:rPr>
                <w:sz w:val="20"/>
                <w:szCs w:val="20"/>
                <w:color w:val="auto"/>
              </w:rPr>
            </w:pPr>
            <w:r>
              <w:rPr>
                <w:rFonts w:ascii="Arial" w:cs="Arial" w:eastAsia="Arial" w:hAnsi="Arial"/>
                <w:sz w:val="11"/>
                <w:szCs w:val="11"/>
                <w:color w:val="auto"/>
              </w:rPr>
              <w:t xml:space="preserve">NPL ratio </w:t>
            </w:r>
            <w:r>
              <w:rPr>
                <w:rFonts w:ascii="Arial" w:cs="Arial" w:eastAsia="Arial" w:hAnsi="Arial"/>
                <w:sz w:val="17"/>
                <w:szCs w:val="17"/>
                <w:color w:val="auto"/>
                <w:vertAlign w:val="superscript"/>
              </w:rPr>
              <w:t>(2)</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4.98%</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5.32%</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5.41%</w:t>
            </w:r>
          </w:p>
        </w:tc>
        <w:tc>
          <w:tcPr>
            <w:tcW w:w="780" w:type="dxa"/>
            <w:vAlign w:val="bottom"/>
          </w:tcPr>
          <w:p>
            <w:pPr>
              <w:jc w:val="center"/>
              <w:spacing w:after="0"/>
              <w:rPr>
                <w:sz w:val="20"/>
                <w:szCs w:val="20"/>
                <w:color w:val="auto"/>
              </w:rPr>
            </w:pPr>
            <w:r>
              <w:rPr>
                <w:rFonts w:ascii="Arial" w:cs="Arial" w:eastAsia="Arial" w:hAnsi="Arial"/>
                <w:sz w:val="13"/>
                <w:szCs w:val="13"/>
                <w:color w:val="auto"/>
              </w:rPr>
              <w:t>9 pbs</w:t>
            </w:r>
          </w:p>
        </w:tc>
        <w:tc>
          <w:tcPr>
            <w:tcW w:w="960" w:type="dxa"/>
            <w:vAlign w:val="bottom"/>
          </w:tcPr>
          <w:p>
            <w:pPr>
              <w:jc w:val="center"/>
              <w:spacing w:after="0"/>
              <w:rPr>
                <w:sz w:val="20"/>
                <w:szCs w:val="20"/>
                <w:color w:val="auto"/>
              </w:rPr>
            </w:pPr>
            <w:r>
              <w:rPr>
                <w:rFonts w:ascii="Arial" w:cs="Arial" w:eastAsia="Arial" w:hAnsi="Arial"/>
                <w:sz w:val="13"/>
                <w:szCs w:val="13"/>
                <w:color w:val="auto"/>
              </w:rPr>
              <w:t>43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4.98%</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5.41%</w:t>
            </w:r>
          </w:p>
        </w:tc>
        <w:tc>
          <w:tcPr>
            <w:tcW w:w="1020" w:type="dxa"/>
            <w:vAlign w:val="bottom"/>
          </w:tcPr>
          <w:p>
            <w:pPr>
              <w:jc w:val="center"/>
              <w:spacing w:after="0"/>
              <w:rPr>
                <w:sz w:val="20"/>
                <w:szCs w:val="20"/>
                <w:color w:val="auto"/>
              </w:rPr>
            </w:pPr>
            <w:r>
              <w:rPr>
                <w:rFonts w:ascii="Arial" w:cs="Arial" w:eastAsia="Arial" w:hAnsi="Arial"/>
                <w:sz w:val="13"/>
                <w:szCs w:val="13"/>
                <w:color w:val="auto"/>
              </w:rPr>
              <w:t>43 pbs</w:t>
            </w:r>
          </w:p>
        </w:tc>
        <w:tc>
          <w:tcPr>
            <w:tcW w:w="0" w:type="dxa"/>
            <w:vAlign w:val="bottom"/>
          </w:tcPr>
          <w:p>
            <w:pPr>
              <w:spacing w:after="0"/>
              <w:rPr>
                <w:sz w:val="1"/>
                <w:szCs w:val="1"/>
                <w:color w:val="auto"/>
              </w:rPr>
            </w:pPr>
          </w:p>
        </w:tc>
      </w:tr>
      <w:tr>
        <w:trPr>
          <w:trHeight w:val="166"/>
        </w:trPr>
        <w:tc>
          <w:tcPr>
            <w:tcW w:w="3180" w:type="dxa"/>
            <w:vAlign w:val="bottom"/>
          </w:tcPr>
          <w:p>
            <w:pPr>
              <w:ind w:left="40"/>
              <w:spacing w:after="0" w:line="166" w:lineRule="exact"/>
              <w:rPr>
                <w:sz w:val="20"/>
                <w:szCs w:val="20"/>
                <w:color w:val="auto"/>
              </w:rPr>
            </w:pPr>
            <w:r>
              <w:rPr>
                <w:rFonts w:ascii="Arial" w:cs="Arial" w:eastAsia="Arial" w:hAnsi="Arial"/>
                <w:sz w:val="12"/>
                <w:szCs w:val="12"/>
                <w:color w:val="auto"/>
              </w:rPr>
              <w:t xml:space="preserve">Cost of risk </w:t>
            </w:r>
            <w:r>
              <w:rPr>
                <w:rFonts w:ascii="Arial" w:cs="Arial" w:eastAsia="Arial" w:hAnsi="Arial"/>
                <w:sz w:val="19"/>
                <w:szCs w:val="19"/>
                <w:color w:val="auto"/>
                <w:vertAlign w:val="superscript"/>
              </w:rPr>
              <w:t>(3)</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0.34%</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1.22%</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1.97%</w:t>
            </w:r>
          </w:p>
        </w:tc>
        <w:tc>
          <w:tcPr>
            <w:tcW w:w="780" w:type="dxa"/>
            <w:vAlign w:val="bottom"/>
          </w:tcPr>
          <w:p>
            <w:pPr>
              <w:jc w:val="center"/>
              <w:spacing w:after="0"/>
              <w:rPr>
                <w:sz w:val="20"/>
                <w:szCs w:val="20"/>
                <w:color w:val="auto"/>
              </w:rPr>
            </w:pPr>
            <w:r>
              <w:rPr>
                <w:rFonts w:ascii="Arial" w:cs="Arial" w:eastAsia="Arial" w:hAnsi="Arial"/>
                <w:sz w:val="13"/>
                <w:szCs w:val="13"/>
                <w:color w:val="auto"/>
              </w:rPr>
              <w:t>75 pbs</w:t>
            </w:r>
          </w:p>
        </w:tc>
        <w:tc>
          <w:tcPr>
            <w:tcW w:w="960" w:type="dxa"/>
            <w:vAlign w:val="bottom"/>
          </w:tcPr>
          <w:p>
            <w:pPr>
              <w:jc w:val="center"/>
              <w:spacing w:after="0"/>
              <w:rPr>
                <w:sz w:val="20"/>
                <w:szCs w:val="20"/>
                <w:color w:val="auto"/>
              </w:rPr>
            </w:pPr>
            <w:r>
              <w:rPr>
                <w:rFonts w:ascii="Arial" w:cs="Arial" w:eastAsia="Arial" w:hAnsi="Arial"/>
                <w:sz w:val="13"/>
                <w:szCs w:val="13"/>
                <w:color w:val="auto"/>
              </w:rPr>
              <w:t>163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0.82%</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1.22%</w:t>
            </w:r>
          </w:p>
        </w:tc>
        <w:tc>
          <w:tcPr>
            <w:tcW w:w="1020" w:type="dxa"/>
            <w:vAlign w:val="bottom"/>
          </w:tcPr>
          <w:p>
            <w:pPr>
              <w:jc w:val="center"/>
              <w:spacing w:after="0"/>
              <w:rPr>
                <w:sz w:val="20"/>
                <w:szCs w:val="20"/>
                <w:color w:val="auto"/>
              </w:rPr>
            </w:pPr>
            <w:r>
              <w:rPr>
                <w:rFonts w:ascii="Arial" w:cs="Arial" w:eastAsia="Arial" w:hAnsi="Arial"/>
                <w:sz w:val="13"/>
                <w:szCs w:val="13"/>
                <w:color w:val="auto"/>
              </w:rPr>
              <w:t>40 pbs</w:t>
            </w: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rPr>
                <w:sz w:val="20"/>
                <w:szCs w:val="20"/>
                <w:color w:val="auto"/>
              </w:rPr>
            </w:pPr>
            <w:r>
              <w:rPr>
                <w:rFonts w:ascii="Arial" w:cs="Arial" w:eastAsia="Arial" w:hAnsi="Arial"/>
                <w:sz w:val="13"/>
                <w:szCs w:val="13"/>
                <w:color w:val="auto"/>
              </w:rPr>
              <w:t>Coverage ratio of IOLs</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152.7%</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128.5%</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132.5%</w:t>
            </w:r>
          </w:p>
        </w:tc>
        <w:tc>
          <w:tcPr>
            <w:tcW w:w="780" w:type="dxa"/>
            <w:vAlign w:val="bottom"/>
          </w:tcPr>
          <w:p>
            <w:pPr>
              <w:jc w:val="center"/>
              <w:spacing w:after="0"/>
              <w:rPr>
                <w:sz w:val="20"/>
                <w:szCs w:val="20"/>
                <w:color w:val="auto"/>
              </w:rPr>
            </w:pPr>
            <w:r>
              <w:rPr>
                <w:rFonts w:ascii="Arial" w:cs="Arial" w:eastAsia="Arial" w:hAnsi="Arial"/>
                <w:sz w:val="13"/>
                <w:szCs w:val="13"/>
                <w:color w:val="auto"/>
              </w:rPr>
              <w:t>400 pbs</w:t>
            </w:r>
          </w:p>
        </w:tc>
        <w:tc>
          <w:tcPr>
            <w:tcW w:w="960" w:type="dxa"/>
            <w:vAlign w:val="bottom"/>
          </w:tcPr>
          <w:p>
            <w:pPr>
              <w:jc w:val="center"/>
              <w:spacing w:after="0"/>
              <w:rPr>
                <w:sz w:val="20"/>
                <w:szCs w:val="20"/>
                <w:color w:val="auto"/>
              </w:rPr>
            </w:pPr>
            <w:r>
              <w:rPr>
                <w:rFonts w:ascii="Arial" w:cs="Arial" w:eastAsia="Arial" w:hAnsi="Arial"/>
                <w:sz w:val="13"/>
                <w:szCs w:val="13"/>
                <w:color w:val="auto"/>
              </w:rPr>
              <w:t>-2020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152.7%</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132.5%</w:t>
            </w:r>
          </w:p>
        </w:tc>
        <w:tc>
          <w:tcPr>
            <w:tcW w:w="1020" w:type="dxa"/>
            <w:vAlign w:val="bottom"/>
          </w:tcPr>
          <w:p>
            <w:pPr>
              <w:jc w:val="center"/>
              <w:spacing w:after="0"/>
              <w:rPr>
                <w:sz w:val="20"/>
                <w:szCs w:val="20"/>
                <w:color w:val="auto"/>
              </w:rPr>
            </w:pPr>
            <w:r>
              <w:rPr>
                <w:rFonts w:ascii="Arial" w:cs="Arial" w:eastAsia="Arial" w:hAnsi="Arial"/>
                <w:sz w:val="13"/>
                <w:szCs w:val="13"/>
                <w:color w:val="auto"/>
              </w:rPr>
              <w:t>-2020 pbs</w:t>
            </w: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Coverage ratio of NPLs</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115.3%</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99.6%</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97.9%</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-170 pbs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-1740 pbs</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115.3%</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97.9%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-1740 pbs</w:t>
            </w:r>
          </w:p>
        </w:tc>
        <w:tc>
          <w:tcPr>
            <w:tcW w:w="0" w:type="dxa"/>
            <w:vAlign w:val="bottom"/>
          </w:tcPr>
          <w:p>
            <w:pPr>
              <w:spacing w:after="0"/>
              <w:rPr>
                <w:sz w:val="1"/>
                <w:szCs w:val="1"/>
                <w:color w:val="auto"/>
              </w:rPr>
            </w:pPr>
          </w:p>
        </w:tc>
      </w:tr>
      <w:tr>
        <w:trPr>
          <w:trHeight w:val="121"/>
        </w:trPr>
        <w:tc>
          <w:tcPr>
            <w:tcW w:w="3180" w:type="dxa"/>
            <w:vAlign w:val="bottom"/>
          </w:tcPr>
          <w:p>
            <w:pPr>
              <w:ind w:left="40"/>
              <w:spacing w:after="0" w:line="121" w:lineRule="exact"/>
              <w:rPr>
                <w:sz w:val="20"/>
                <w:szCs w:val="20"/>
                <w:color w:val="auto"/>
              </w:rPr>
            </w:pPr>
            <w:r>
              <w:rPr>
                <w:rFonts w:ascii="Arial" w:cs="Arial" w:eastAsia="Arial" w:hAnsi="Arial"/>
                <w:sz w:val="13"/>
                <w:szCs w:val="13"/>
                <w:b w:val="1"/>
                <w:bCs w:val="1"/>
                <w:color w:val="auto"/>
              </w:rPr>
              <w:t>Operating efficiency</w:t>
            </w: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180" w:type="dxa"/>
            <w:vAlign w:val="bottom"/>
          </w:tcPr>
          <w:p>
            <w:pPr>
              <w:ind w:left="40"/>
              <w:spacing w:after="0" w:line="166" w:lineRule="exact"/>
              <w:rPr>
                <w:sz w:val="20"/>
                <w:szCs w:val="20"/>
                <w:color w:val="auto"/>
              </w:rPr>
            </w:pPr>
            <w:r>
              <w:rPr>
                <w:rFonts w:ascii="Arial" w:cs="Arial" w:eastAsia="Arial" w:hAnsi="Arial"/>
                <w:sz w:val="12"/>
                <w:szCs w:val="12"/>
                <w:color w:val="auto"/>
              </w:rPr>
              <w:t xml:space="preserve">Efficiency ratio </w:t>
            </w:r>
            <w:r>
              <w:rPr>
                <w:rFonts w:ascii="Arial" w:cs="Arial" w:eastAsia="Arial" w:hAnsi="Arial"/>
                <w:sz w:val="19"/>
                <w:szCs w:val="19"/>
                <w:color w:val="auto"/>
                <w:vertAlign w:val="superscript"/>
              </w:rPr>
              <w:t>(4)</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49.4%</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42.8%</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46.0%</w:t>
            </w:r>
          </w:p>
        </w:tc>
        <w:tc>
          <w:tcPr>
            <w:tcW w:w="780" w:type="dxa"/>
            <w:vAlign w:val="bottom"/>
          </w:tcPr>
          <w:p>
            <w:pPr>
              <w:jc w:val="center"/>
              <w:spacing w:after="0"/>
              <w:rPr>
                <w:sz w:val="20"/>
                <w:szCs w:val="20"/>
                <w:color w:val="auto"/>
              </w:rPr>
            </w:pPr>
            <w:r>
              <w:rPr>
                <w:rFonts w:ascii="Arial" w:cs="Arial" w:eastAsia="Arial" w:hAnsi="Arial"/>
                <w:sz w:val="13"/>
                <w:szCs w:val="13"/>
                <w:color w:val="auto"/>
              </w:rPr>
              <w:t>320 pbs</w:t>
            </w:r>
          </w:p>
        </w:tc>
        <w:tc>
          <w:tcPr>
            <w:tcW w:w="960" w:type="dxa"/>
            <w:vAlign w:val="bottom"/>
          </w:tcPr>
          <w:p>
            <w:pPr>
              <w:jc w:val="center"/>
              <w:spacing w:after="0"/>
              <w:rPr>
                <w:sz w:val="20"/>
                <w:szCs w:val="20"/>
                <w:color w:val="auto"/>
              </w:rPr>
            </w:pPr>
            <w:r>
              <w:rPr>
                <w:rFonts w:ascii="Arial" w:cs="Arial" w:eastAsia="Arial" w:hAnsi="Arial"/>
                <w:sz w:val="13"/>
                <w:szCs w:val="13"/>
                <w:color w:val="auto"/>
              </w:rPr>
              <w:t>-340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45.9%</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44.4%</w:t>
            </w:r>
          </w:p>
        </w:tc>
        <w:tc>
          <w:tcPr>
            <w:tcW w:w="1020" w:type="dxa"/>
            <w:vAlign w:val="bottom"/>
          </w:tcPr>
          <w:p>
            <w:pPr>
              <w:jc w:val="center"/>
              <w:spacing w:after="0"/>
              <w:rPr>
                <w:sz w:val="20"/>
                <w:szCs w:val="20"/>
                <w:color w:val="auto"/>
              </w:rPr>
            </w:pPr>
            <w:r>
              <w:rPr>
                <w:rFonts w:ascii="Arial" w:cs="Arial" w:eastAsia="Arial" w:hAnsi="Arial"/>
                <w:sz w:val="13"/>
                <w:szCs w:val="13"/>
                <w:color w:val="auto"/>
              </w:rPr>
              <w:t>-150 pbs</w:t>
            </w: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Operating expenses / Total average assets</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3.56%</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3.57%</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4.00%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43 pbs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44 pbs</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3.19%</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3.56%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40 pbs</w:t>
            </w:r>
          </w:p>
        </w:tc>
        <w:tc>
          <w:tcPr>
            <w:tcW w:w="0" w:type="dxa"/>
            <w:vAlign w:val="bottom"/>
          </w:tcPr>
          <w:p>
            <w:pPr>
              <w:spacing w:after="0"/>
              <w:rPr>
                <w:sz w:val="1"/>
                <w:szCs w:val="1"/>
                <w:color w:val="auto"/>
              </w:rPr>
            </w:pPr>
          </w:p>
        </w:tc>
      </w:tr>
      <w:tr>
        <w:trPr>
          <w:trHeight w:val="121"/>
        </w:trPr>
        <w:tc>
          <w:tcPr>
            <w:tcW w:w="3180" w:type="dxa"/>
            <w:vAlign w:val="bottom"/>
          </w:tcPr>
          <w:p>
            <w:pPr>
              <w:ind w:left="40"/>
              <w:spacing w:after="0" w:line="121" w:lineRule="exact"/>
              <w:rPr>
                <w:sz w:val="20"/>
                <w:szCs w:val="20"/>
                <w:color w:val="auto"/>
              </w:rPr>
            </w:pPr>
            <w:r>
              <w:rPr>
                <w:rFonts w:ascii="Arial" w:cs="Arial" w:eastAsia="Arial" w:hAnsi="Arial"/>
                <w:sz w:val="13"/>
                <w:szCs w:val="13"/>
                <w:b w:val="1"/>
                <w:bCs w:val="1"/>
                <w:color w:val="auto"/>
              </w:rPr>
              <w:t>Insurance ratios</w:t>
            </w: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180" w:type="dxa"/>
            <w:vAlign w:val="bottom"/>
          </w:tcPr>
          <w:p>
            <w:pPr>
              <w:ind w:left="40"/>
              <w:spacing w:after="0" w:line="166" w:lineRule="exact"/>
              <w:rPr>
                <w:sz w:val="20"/>
                <w:szCs w:val="20"/>
                <w:color w:val="auto"/>
              </w:rPr>
            </w:pPr>
            <w:r>
              <w:rPr>
                <w:rFonts w:ascii="Arial" w:cs="Arial" w:eastAsia="Arial" w:hAnsi="Arial"/>
                <w:sz w:val="12"/>
                <w:szCs w:val="12"/>
                <w:color w:val="auto"/>
              </w:rPr>
              <w:t xml:space="preserve">Combined ratio of P&amp;C </w:t>
            </w:r>
            <w:r>
              <w:rPr>
                <w:rFonts w:ascii="Arial" w:cs="Arial" w:eastAsia="Arial" w:hAnsi="Arial"/>
                <w:sz w:val="19"/>
                <w:szCs w:val="19"/>
                <w:color w:val="auto"/>
                <w:vertAlign w:val="superscript"/>
              </w:rPr>
              <w:t>(5) (6)</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87.0%</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91.2%</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93.1%</w:t>
            </w:r>
          </w:p>
        </w:tc>
        <w:tc>
          <w:tcPr>
            <w:tcW w:w="780" w:type="dxa"/>
            <w:vAlign w:val="bottom"/>
          </w:tcPr>
          <w:p>
            <w:pPr>
              <w:jc w:val="center"/>
              <w:spacing w:after="0"/>
              <w:rPr>
                <w:sz w:val="20"/>
                <w:szCs w:val="20"/>
                <w:color w:val="auto"/>
              </w:rPr>
            </w:pPr>
            <w:r>
              <w:rPr>
                <w:rFonts w:ascii="Arial" w:cs="Arial" w:eastAsia="Arial" w:hAnsi="Arial"/>
                <w:sz w:val="13"/>
                <w:szCs w:val="13"/>
                <w:color w:val="auto"/>
              </w:rPr>
              <w:t>190 pbs</w:t>
            </w:r>
          </w:p>
        </w:tc>
        <w:tc>
          <w:tcPr>
            <w:tcW w:w="960" w:type="dxa"/>
            <w:vAlign w:val="bottom"/>
          </w:tcPr>
          <w:p>
            <w:pPr>
              <w:jc w:val="center"/>
              <w:spacing w:after="0"/>
              <w:rPr>
                <w:sz w:val="20"/>
                <w:szCs w:val="20"/>
                <w:color w:val="auto"/>
              </w:rPr>
            </w:pPr>
            <w:r>
              <w:rPr>
                <w:rFonts w:ascii="Arial" w:cs="Arial" w:eastAsia="Arial" w:hAnsi="Arial"/>
                <w:sz w:val="13"/>
                <w:szCs w:val="13"/>
                <w:color w:val="auto"/>
              </w:rPr>
              <w:t>610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87.0%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93.1%</w:t>
            </w:r>
          </w:p>
        </w:tc>
        <w:tc>
          <w:tcPr>
            <w:tcW w:w="1020" w:type="dxa"/>
            <w:vAlign w:val="bottom"/>
          </w:tcPr>
          <w:p>
            <w:pPr>
              <w:jc w:val="center"/>
              <w:spacing w:after="0"/>
              <w:rPr>
                <w:sz w:val="20"/>
                <w:szCs w:val="20"/>
                <w:color w:val="auto"/>
              </w:rPr>
            </w:pPr>
            <w:r>
              <w:rPr>
                <w:rFonts w:ascii="Arial" w:cs="Arial" w:eastAsia="Arial" w:hAnsi="Arial"/>
                <w:sz w:val="13"/>
                <w:szCs w:val="13"/>
                <w:color w:val="auto"/>
              </w:rPr>
              <w:t>610 pbs</w:t>
            </w: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Loss ratio</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1.5%</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63.6%</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65.4%</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180 pbs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-610 pbs</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87.7%</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67.2%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-2050 pbs</w:t>
            </w:r>
          </w:p>
        </w:tc>
        <w:tc>
          <w:tcPr>
            <w:tcW w:w="0" w:type="dxa"/>
            <w:vAlign w:val="bottom"/>
          </w:tcPr>
          <w:p>
            <w:pPr>
              <w:spacing w:after="0"/>
              <w:rPr>
                <w:sz w:val="1"/>
                <w:szCs w:val="1"/>
                <w:color w:val="auto"/>
              </w:rPr>
            </w:pPr>
          </w:p>
        </w:tc>
      </w:tr>
      <w:tr>
        <w:trPr>
          <w:trHeight w:val="121"/>
        </w:trPr>
        <w:tc>
          <w:tcPr>
            <w:tcW w:w="3180" w:type="dxa"/>
            <w:vAlign w:val="bottom"/>
          </w:tcPr>
          <w:p>
            <w:pPr>
              <w:ind w:left="40"/>
              <w:spacing w:after="0" w:line="121" w:lineRule="exact"/>
              <w:rPr>
                <w:sz w:val="20"/>
                <w:szCs w:val="20"/>
                <w:color w:val="auto"/>
              </w:rPr>
            </w:pPr>
            <w:r>
              <w:rPr>
                <w:rFonts w:ascii="Arial" w:cs="Arial" w:eastAsia="Arial" w:hAnsi="Arial"/>
                <w:sz w:val="13"/>
                <w:szCs w:val="13"/>
                <w:b w:val="1"/>
                <w:bCs w:val="1"/>
                <w:color w:val="auto"/>
              </w:rPr>
              <w:t>Capital adequacy - BCP Stand-alone</w:t>
            </w: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line="151" w:lineRule="exact"/>
              <w:rPr>
                <w:sz w:val="20"/>
                <w:szCs w:val="20"/>
                <w:color w:val="auto"/>
              </w:rPr>
            </w:pPr>
            <w:r>
              <w:rPr>
                <w:rFonts w:ascii="Arial" w:cs="Arial" w:eastAsia="Arial" w:hAnsi="Arial"/>
                <w:sz w:val="11"/>
                <w:szCs w:val="11"/>
                <w:color w:val="auto"/>
              </w:rPr>
              <w:t xml:space="preserve">Global Capital ratio </w:t>
            </w:r>
            <w:r>
              <w:rPr>
                <w:rFonts w:ascii="Arial" w:cs="Arial" w:eastAsia="Arial" w:hAnsi="Arial"/>
                <w:sz w:val="17"/>
                <w:szCs w:val="17"/>
                <w:color w:val="auto"/>
                <w:vertAlign w:val="superscript"/>
              </w:rPr>
              <w:t>(7)</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14.94%</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14.93%</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14.43%</w:t>
            </w:r>
          </w:p>
        </w:tc>
        <w:tc>
          <w:tcPr>
            <w:tcW w:w="780" w:type="dxa"/>
            <w:vAlign w:val="bottom"/>
          </w:tcPr>
          <w:p>
            <w:pPr>
              <w:jc w:val="center"/>
              <w:spacing w:after="0"/>
              <w:rPr>
                <w:sz w:val="20"/>
                <w:szCs w:val="20"/>
                <w:color w:val="auto"/>
              </w:rPr>
            </w:pPr>
            <w:r>
              <w:rPr>
                <w:rFonts w:ascii="Arial" w:cs="Arial" w:eastAsia="Arial" w:hAnsi="Arial"/>
                <w:sz w:val="13"/>
                <w:szCs w:val="13"/>
                <w:color w:val="auto"/>
              </w:rPr>
              <w:t>-50 pbs</w:t>
            </w:r>
          </w:p>
        </w:tc>
        <w:tc>
          <w:tcPr>
            <w:tcW w:w="960" w:type="dxa"/>
            <w:vAlign w:val="bottom"/>
          </w:tcPr>
          <w:p>
            <w:pPr>
              <w:jc w:val="center"/>
              <w:spacing w:after="0"/>
              <w:rPr>
                <w:sz w:val="20"/>
                <w:szCs w:val="20"/>
                <w:color w:val="auto"/>
              </w:rPr>
            </w:pPr>
            <w:r>
              <w:rPr>
                <w:rFonts w:ascii="Arial" w:cs="Arial" w:eastAsia="Arial" w:hAnsi="Arial"/>
                <w:sz w:val="13"/>
                <w:szCs w:val="13"/>
                <w:color w:val="auto"/>
              </w:rPr>
              <w:t>-51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15.16%</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14.93%</w:t>
            </w:r>
          </w:p>
        </w:tc>
        <w:tc>
          <w:tcPr>
            <w:tcW w:w="1020" w:type="dxa"/>
            <w:vAlign w:val="bottom"/>
          </w:tcPr>
          <w:p>
            <w:pPr>
              <w:jc w:val="center"/>
              <w:spacing w:after="0"/>
              <w:rPr>
                <w:sz w:val="20"/>
                <w:szCs w:val="20"/>
                <w:color w:val="auto"/>
              </w:rPr>
            </w:pPr>
            <w:r>
              <w:rPr>
                <w:rFonts w:ascii="Arial" w:cs="Arial" w:eastAsia="Arial" w:hAnsi="Arial"/>
                <w:sz w:val="13"/>
                <w:szCs w:val="13"/>
                <w:color w:val="auto"/>
              </w:rPr>
              <w:t>-23 pbs</w:t>
            </w: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line="151" w:lineRule="exact"/>
              <w:rPr>
                <w:sz w:val="20"/>
                <w:szCs w:val="20"/>
                <w:color w:val="auto"/>
              </w:rPr>
            </w:pPr>
            <w:r>
              <w:rPr>
                <w:rFonts w:ascii="Arial" w:cs="Arial" w:eastAsia="Arial" w:hAnsi="Arial"/>
                <w:sz w:val="11"/>
                <w:szCs w:val="11"/>
                <w:color w:val="auto"/>
              </w:rPr>
              <w:t xml:space="preserve">Tier 1 ratio </w:t>
            </w:r>
            <w:r>
              <w:rPr>
                <w:rFonts w:ascii="Arial" w:cs="Arial" w:eastAsia="Arial" w:hAnsi="Arial"/>
                <w:sz w:val="17"/>
                <w:szCs w:val="17"/>
                <w:color w:val="auto"/>
                <w:vertAlign w:val="superscript"/>
              </w:rPr>
              <w:t>(8)</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9.94%</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9.94%</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10.02%</w:t>
            </w:r>
          </w:p>
        </w:tc>
        <w:tc>
          <w:tcPr>
            <w:tcW w:w="780" w:type="dxa"/>
            <w:vAlign w:val="bottom"/>
          </w:tcPr>
          <w:p>
            <w:pPr>
              <w:jc w:val="center"/>
              <w:ind w:right="13"/>
              <w:spacing w:after="0"/>
              <w:rPr>
                <w:sz w:val="20"/>
                <w:szCs w:val="20"/>
                <w:color w:val="auto"/>
              </w:rPr>
            </w:pPr>
            <w:r>
              <w:rPr>
                <w:rFonts w:ascii="Arial" w:cs="Arial" w:eastAsia="Arial" w:hAnsi="Arial"/>
                <w:sz w:val="13"/>
                <w:szCs w:val="13"/>
                <w:color w:val="auto"/>
              </w:rPr>
              <w:t>8 pbs</w:t>
            </w:r>
          </w:p>
        </w:tc>
        <w:tc>
          <w:tcPr>
            <w:tcW w:w="960" w:type="dxa"/>
            <w:vAlign w:val="bottom"/>
          </w:tcPr>
          <w:p>
            <w:pPr>
              <w:jc w:val="center"/>
              <w:ind w:right="13"/>
              <w:spacing w:after="0"/>
              <w:rPr>
                <w:sz w:val="20"/>
                <w:szCs w:val="20"/>
                <w:color w:val="auto"/>
              </w:rPr>
            </w:pPr>
            <w:r>
              <w:rPr>
                <w:rFonts w:ascii="Arial" w:cs="Arial" w:eastAsia="Arial" w:hAnsi="Arial"/>
                <w:sz w:val="13"/>
                <w:szCs w:val="13"/>
                <w:color w:val="auto"/>
              </w:rPr>
              <w:t>8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9.94%</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10.02%</w:t>
            </w:r>
          </w:p>
        </w:tc>
        <w:tc>
          <w:tcPr>
            <w:tcW w:w="1020" w:type="dxa"/>
            <w:vAlign w:val="bottom"/>
          </w:tcPr>
          <w:p>
            <w:pPr>
              <w:jc w:val="center"/>
              <w:spacing w:after="0"/>
              <w:rPr>
                <w:sz w:val="20"/>
                <w:szCs w:val="20"/>
                <w:color w:val="auto"/>
              </w:rPr>
            </w:pPr>
            <w:r>
              <w:rPr>
                <w:rFonts w:ascii="Arial" w:cs="Arial" w:eastAsia="Arial" w:hAnsi="Arial"/>
                <w:sz w:val="13"/>
                <w:szCs w:val="13"/>
                <w:color w:val="auto"/>
              </w:rPr>
              <w:t>8 pbs</w:t>
            </w:r>
          </w:p>
        </w:tc>
        <w:tc>
          <w:tcPr>
            <w:tcW w:w="0" w:type="dxa"/>
            <w:vAlign w:val="bottom"/>
          </w:tcPr>
          <w:p>
            <w:pPr>
              <w:spacing w:after="0"/>
              <w:rPr>
                <w:sz w:val="1"/>
                <w:szCs w:val="1"/>
                <w:color w:val="auto"/>
              </w:rPr>
            </w:pPr>
          </w:p>
        </w:tc>
      </w:tr>
      <w:tr>
        <w:trPr>
          <w:trHeight w:val="174"/>
        </w:trPr>
        <w:tc>
          <w:tcPr>
            <w:tcW w:w="3180" w:type="dxa"/>
            <w:vAlign w:val="bottom"/>
            <w:tcBorders>
              <w:bottom w:val="single" w:sz="8" w:color="auto"/>
            </w:tcBorders>
          </w:tcPr>
          <w:p>
            <w:pPr>
              <w:ind w:left="40"/>
              <w:spacing w:after="0" w:line="174" w:lineRule="exact"/>
              <w:rPr>
                <w:sz w:val="20"/>
                <w:szCs w:val="20"/>
                <w:color w:val="auto"/>
              </w:rPr>
            </w:pPr>
            <w:r>
              <w:rPr>
                <w:rFonts w:ascii="Arial" w:cs="Arial" w:eastAsia="Arial" w:hAnsi="Arial"/>
                <w:sz w:val="12"/>
                <w:szCs w:val="12"/>
                <w:color w:val="auto"/>
              </w:rPr>
              <w:t xml:space="preserve">Common equity tier 1 ratio </w:t>
            </w:r>
            <w:r>
              <w:rPr>
                <w:rFonts w:ascii="Arial" w:cs="Arial" w:eastAsia="Arial" w:hAnsi="Arial"/>
                <w:sz w:val="20"/>
                <w:szCs w:val="20"/>
                <w:color w:val="auto"/>
                <w:vertAlign w:val="superscript"/>
              </w:rPr>
              <w:t>(9) (11)</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11.91%</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11.83%</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12.59%</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76 pbs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68 pbs</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11.91%</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12.59%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68 pbs</w:t>
            </w:r>
          </w:p>
        </w:tc>
        <w:tc>
          <w:tcPr>
            <w:tcW w:w="0" w:type="dxa"/>
            <w:vAlign w:val="bottom"/>
          </w:tcPr>
          <w:p>
            <w:pPr>
              <w:spacing w:after="0"/>
              <w:rPr>
                <w:sz w:val="1"/>
                <w:szCs w:val="1"/>
                <w:color w:val="auto"/>
              </w:rPr>
            </w:pPr>
          </w:p>
        </w:tc>
      </w:tr>
      <w:tr>
        <w:trPr>
          <w:trHeight w:val="121"/>
        </w:trPr>
        <w:tc>
          <w:tcPr>
            <w:tcW w:w="3180" w:type="dxa"/>
            <w:vAlign w:val="bottom"/>
          </w:tcPr>
          <w:p>
            <w:pPr>
              <w:ind w:left="40"/>
              <w:spacing w:after="0" w:line="121" w:lineRule="exact"/>
              <w:rPr>
                <w:sz w:val="20"/>
                <w:szCs w:val="20"/>
                <w:color w:val="auto"/>
              </w:rPr>
            </w:pPr>
            <w:r>
              <w:rPr>
                <w:rFonts w:ascii="Arial" w:cs="Arial" w:eastAsia="Arial" w:hAnsi="Arial"/>
                <w:sz w:val="13"/>
                <w:szCs w:val="13"/>
                <w:b w:val="1"/>
                <w:bCs w:val="1"/>
                <w:color w:val="auto"/>
              </w:rPr>
              <w:t>Capital adequacy - Mibanco</w:t>
            </w: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line="151" w:lineRule="exact"/>
              <w:rPr>
                <w:sz w:val="20"/>
                <w:szCs w:val="20"/>
                <w:color w:val="auto"/>
              </w:rPr>
            </w:pPr>
            <w:r>
              <w:rPr>
                <w:rFonts w:ascii="Arial" w:cs="Arial" w:eastAsia="Arial" w:hAnsi="Arial"/>
                <w:sz w:val="11"/>
                <w:szCs w:val="11"/>
                <w:color w:val="auto"/>
              </w:rPr>
              <w:t xml:space="preserve">Global Capital ratio </w:t>
            </w:r>
            <w:r>
              <w:rPr>
                <w:rFonts w:ascii="Arial" w:cs="Arial" w:eastAsia="Arial" w:hAnsi="Arial"/>
                <w:sz w:val="17"/>
                <w:szCs w:val="17"/>
                <w:color w:val="auto"/>
                <w:vertAlign w:val="superscript"/>
              </w:rPr>
              <w:t>(7)</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16.40%</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14.61%</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14.69%</w:t>
            </w:r>
          </w:p>
        </w:tc>
        <w:tc>
          <w:tcPr>
            <w:tcW w:w="780" w:type="dxa"/>
            <w:vAlign w:val="bottom"/>
          </w:tcPr>
          <w:p>
            <w:pPr>
              <w:jc w:val="center"/>
              <w:spacing w:after="0"/>
              <w:rPr>
                <w:sz w:val="20"/>
                <w:szCs w:val="20"/>
                <w:color w:val="auto"/>
              </w:rPr>
            </w:pPr>
            <w:r>
              <w:rPr>
                <w:rFonts w:ascii="Arial" w:cs="Arial" w:eastAsia="Arial" w:hAnsi="Arial"/>
                <w:sz w:val="13"/>
                <w:szCs w:val="13"/>
                <w:color w:val="auto"/>
              </w:rPr>
              <w:t>8 pbs</w:t>
            </w:r>
          </w:p>
        </w:tc>
        <w:tc>
          <w:tcPr>
            <w:tcW w:w="960" w:type="dxa"/>
            <w:vAlign w:val="bottom"/>
          </w:tcPr>
          <w:p>
            <w:pPr>
              <w:jc w:val="center"/>
              <w:spacing w:after="0"/>
              <w:rPr>
                <w:sz w:val="20"/>
                <w:szCs w:val="20"/>
                <w:color w:val="auto"/>
              </w:rPr>
            </w:pPr>
            <w:r>
              <w:rPr>
                <w:rFonts w:ascii="Arial" w:cs="Arial" w:eastAsia="Arial" w:hAnsi="Arial"/>
                <w:sz w:val="13"/>
                <w:szCs w:val="13"/>
                <w:color w:val="auto"/>
              </w:rPr>
              <w:t>-171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16.40%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14.69%</w:t>
            </w:r>
          </w:p>
        </w:tc>
        <w:tc>
          <w:tcPr>
            <w:tcW w:w="1020" w:type="dxa"/>
            <w:vAlign w:val="bottom"/>
          </w:tcPr>
          <w:p>
            <w:pPr>
              <w:jc w:val="center"/>
              <w:spacing w:after="0"/>
              <w:rPr>
                <w:sz w:val="20"/>
                <w:szCs w:val="20"/>
                <w:color w:val="auto"/>
              </w:rPr>
            </w:pPr>
            <w:r>
              <w:rPr>
                <w:rFonts w:ascii="Arial" w:cs="Arial" w:eastAsia="Arial" w:hAnsi="Arial"/>
                <w:sz w:val="13"/>
                <w:szCs w:val="13"/>
                <w:color w:val="auto"/>
              </w:rPr>
              <w:t>-171 pbs</w:t>
            </w:r>
          </w:p>
        </w:tc>
        <w:tc>
          <w:tcPr>
            <w:tcW w:w="0" w:type="dxa"/>
            <w:vAlign w:val="bottom"/>
          </w:tcPr>
          <w:p>
            <w:pPr>
              <w:spacing w:after="0"/>
              <w:rPr>
                <w:sz w:val="1"/>
                <w:szCs w:val="1"/>
                <w:color w:val="auto"/>
              </w:rPr>
            </w:pPr>
          </w:p>
        </w:tc>
      </w:tr>
      <w:tr>
        <w:trPr>
          <w:trHeight w:val="151"/>
        </w:trPr>
        <w:tc>
          <w:tcPr>
            <w:tcW w:w="3180" w:type="dxa"/>
            <w:vAlign w:val="bottom"/>
          </w:tcPr>
          <w:p>
            <w:pPr>
              <w:ind w:left="40"/>
              <w:spacing w:after="0" w:line="151" w:lineRule="exact"/>
              <w:rPr>
                <w:sz w:val="20"/>
                <w:szCs w:val="20"/>
                <w:color w:val="auto"/>
              </w:rPr>
            </w:pPr>
            <w:r>
              <w:rPr>
                <w:rFonts w:ascii="Arial" w:cs="Arial" w:eastAsia="Arial" w:hAnsi="Arial"/>
                <w:sz w:val="11"/>
                <w:szCs w:val="11"/>
                <w:color w:val="auto"/>
              </w:rPr>
              <w:t xml:space="preserve">Tier 1 ratio </w:t>
            </w:r>
            <w:r>
              <w:rPr>
                <w:rFonts w:ascii="Arial" w:cs="Arial" w:eastAsia="Arial" w:hAnsi="Arial"/>
                <w:sz w:val="17"/>
                <w:szCs w:val="17"/>
                <w:color w:val="auto"/>
                <w:vertAlign w:val="superscript"/>
              </w:rPr>
              <w:t>(8)</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13.96%</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12.36%</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12.38%</w:t>
            </w:r>
          </w:p>
        </w:tc>
        <w:tc>
          <w:tcPr>
            <w:tcW w:w="780" w:type="dxa"/>
            <w:vAlign w:val="bottom"/>
          </w:tcPr>
          <w:p>
            <w:pPr>
              <w:jc w:val="center"/>
              <w:ind w:right="13"/>
              <w:spacing w:after="0"/>
              <w:rPr>
                <w:sz w:val="20"/>
                <w:szCs w:val="20"/>
                <w:color w:val="auto"/>
              </w:rPr>
            </w:pPr>
            <w:r>
              <w:rPr>
                <w:rFonts w:ascii="Arial" w:cs="Arial" w:eastAsia="Arial" w:hAnsi="Arial"/>
                <w:sz w:val="13"/>
                <w:szCs w:val="13"/>
                <w:color w:val="auto"/>
              </w:rPr>
              <w:t>2 pbs</w:t>
            </w:r>
          </w:p>
        </w:tc>
        <w:tc>
          <w:tcPr>
            <w:tcW w:w="960" w:type="dxa"/>
            <w:vAlign w:val="bottom"/>
          </w:tcPr>
          <w:p>
            <w:pPr>
              <w:jc w:val="center"/>
              <w:ind w:right="13"/>
              <w:spacing w:after="0"/>
              <w:rPr>
                <w:sz w:val="20"/>
                <w:szCs w:val="20"/>
                <w:color w:val="auto"/>
              </w:rPr>
            </w:pPr>
            <w:r>
              <w:rPr>
                <w:rFonts w:ascii="Arial" w:cs="Arial" w:eastAsia="Arial" w:hAnsi="Arial"/>
                <w:sz w:val="13"/>
                <w:szCs w:val="13"/>
                <w:color w:val="auto"/>
              </w:rPr>
              <w:t>-158 pbs</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13.96%</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12.38%</w:t>
            </w:r>
          </w:p>
        </w:tc>
        <w:tc>
          <w:tcPr>
            <w:tcW w:w="1020" w:type="dxa"/>
            <w:vAlign w:val="bottom"/>
          </w:tcPr>
          <w:p>
            <w:pPr>
              <w:jc w:val="center"/>
              <w:spacing w:after="0"/>
              <w:rPr>
                <w:sz w:val="20"/>
                <w:szCs w:val="20"/>
                <w:color w:val="auto"/>
              </w:rPr>
            </w:pPr>
            <w:r>
              <w:rPr>
                <w:rFonts w:ascii="Arial" w:cs="Arial" w:eastAsia="Arial" w:hAnsi="Arial"/>
                <w:sz w:val="13"/>
                <w:szCs w:val="13"/>
                <w:color w:val="auto"/>
              </w:rPr>
              <w:t>-158 pbs</w:t>
            </w:r>
          </w:p>
        </w:tc>
        <w:tc>
          <w:tcPr>
            <w:tcW w:w="0" w:type="dxa"/>
            <w:vAlign w:val="bottom"/>
          </w:tcPr>
          <w:p>
            <w:pPr>
              <w:spacing w:after="0"/>
              <w:rPr>
                <w:sz w:val="1"/>
                <w:szCs w:val="1"/>
                <w:color w:val="auto"/>
              </w:rPr>
            </w:pPr>
          </w:p>
        </w:tc>
      </w:tr>
      <w:tr>
        <w:trPr>
          <w:trHeight w:val="174"/>
        </w:trPr>
        <w:tc>
          <w:tcPr>
            <w:tcW w:w="3180" w:type="dxa"/>
            <w:vAlign w:val="bottom"/>
            <w:tcBorders>
              <w:bottom w:val="single" w:sz="8" w:color="auto"/>
            </w:tcBorders>
          </w:tcPr>
          <w:p>
            <w:pPr>
              <w:ind w:left="40"/>
              <w:spacing w:after="0" w:line="174" w:lineRule="exact"/>
              <w:rPr>
                <w:sz w:val="20"/>
                <w:szCs w:val="20"/>
                <w:color w:val="auto"/>
              </w:rPr>
            </w:pPr>
            <w:r>
              <w:rPr>
                <w:rFonts w:ascii="Arial" w:cs="Arial" w:eastAsia="Arial" w:hAnsi="Arial"/>
                <w:sz w:val="12"/>
                <w:szCs w:val="12"/>
                <w:color w:val="auto"/>
              </w:rPr>
              <w:t xml:space="preserve">Common equity tier 1 ratio </w:t>
            </w:r>
            <w:r>
              <w:rPr>
                <w:rFonts w:ascii="Arial" w:cs="Arial" w:eastAsia="Arial" w:hAnsi="Arial"/>
                <w:sz w:val="20"/>
                <w:szCs w:val="20"/>
                <w:color w:val="auto"/>
                <w:vertAlign w:val="superscript"/>
              </w:rPr>
              <w:t>(9) (11)</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15.24%</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16.00%</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16.46%</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46 pbs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122 pbs</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15.24%</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16.46%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122 pbs</w:t>
            </w:r>
          </w:p>
        </w:tc>
        <w:tc>
          <w:tcPr>
            <w:tcW w:w="0" w:type="dxa"/>
            <w:vAlign w:val="bottom"/>
          </w:tcPr>
          <w:p>
            <w:pPr>
              <w:spacing w:after="0"/>
              <w:rPr>
                <w:sz w:val="1"/>
                <w:szCs w:val="1"/>
                <w:color w:val="auto"/>
              </w:rPr>
            </w:pPr>
          </w:p>
        </w:tc>
      </w:tr>
      <w:tr>
        <w:trPr>
          <w:trHeight w:val="144"/>
        </w:trPr>
        <w:tc>
          <w:tcPr>
            <w:tcW w:w="3180" w:type="dxa"/>
            <w:vAlign w:val="bottom"/>
            <w:tcBorders>
              <w:bottom w:val="single" w:sz="8" w:color="auto"/>
            </w:tcBorders>
          </w:tcPr>
          <w:p>
            <w:pPr>
              <w:ind w:left="40"/>
              <w:spacing w:after="0" w:line="144" w:lineRule="exact"/>
              <w:rPr>
                <w:sz w:val="20"/>
                <w:szCs w:val="20"/>
                <w:color w:val="auto"/>
              </w:rPr>
            </w:pPr>
            <w:r>
              <w:rPr>
                <w:rFonts w:ascii="Arial" w:cs="Arial" w:eastAsia="Arial" w:hAnsi="Arial"/>
                <w:sz w:val="13"/>
                <w:szCs w:val="13"/>
                <w:b w:val="1"/>
                <w:bCs w:val="1"/>
                <w:color w:val="auto"/>
              </w:rPr>
              <w:t>Employees</w:t>
            </w:r>
          </w:p>
        </w:tc>
        <w:tc>
          <w:tcPr>
            <w:tcW w:w="1120" w:type="dxa"/>
            <w:vAlign w:val="bottom"/>
            <w:tcBorders>
              <w:bottom w:val="single" w:sz="8" w:color="auto"/>
            </w:tcBorders>
          </w:tcPr>
          <w:p>
            <w:pPr>
              <w:jc w:val="right"/>
              <w:ind w:right="53"/>
              <w:spacing w:after="0" w:line="144" w:lineRule="exact"/>
              <w:rPr>
                <w:sz w:val="20"/>
                <w:szCs w:val="20"/>
                <w:color w:val="auto"/>
              </w:rPr>
            </w:pPr>
            <w:r>
              <w:rPr>
                <w:rFonts w:ascii="Arial" w:cs="Arial" w:eastAsia="Arial" w:hAnsi="Arial"/>
                <w:sz w:val="13"/>
                <w:szCs w:val="13"/>
                <w:color w:val="auto"/>
              </w:rPr>
              <w:t>36,358</w:t>
            </w:r>
          </w:p>
        </w:tc>
        <w:tc>
          <w:tcPr>
            <w:tcW w:w="1020" w:type="dxa"/>
            <w:vAlign w:val="bottom"/>
            <w:tcBorders>
              <w:bottom w:val="single" w:sz="8" w:color="auto"/>
            </w:tcBorders>
          </w:tcPr>
          <w:p>
            <w:pPr>
              <w:jc w:val="right"/>
              <w:ind w:right="73"/>
              <w:spacing w:after="0" w:line="144" w:lineRule="exact"/>
              <w:rPr>
                <w:sz w:val="20"/>
                <w:szCs w:val="20"/>
                <w:color w:val="auto"/>
              </w:rPr>
            </w:pPr>
            <w:r>
              <w:rPr>
                <w:rFonts w:ascii="Arial" w:cs="Arial" w:eastAsia="Arial" w:hAnsi="Arial"/>
                <w:sz w:val="13"/>
                <w:szCs w:val="13"/>
                <w:color w:val="auto"/>
              </w:rPr>
              <w:t>35,692</w:t>
            </w:r>
          </w:p>
        </w:tc>
        <w:tc>
          <w:tcPr>
            <w:tcW w:w="1020" w:type="dxa"/>
            <w:vAlign w:val="bottom"/>
            <w:tcBorders>
              <w:bottom w:val="single" w:sz="8" w:color="auto"/>
            </w:tcBorders>
          </w:tcPr>
          <w:p>
            <w:pPr>
              <w:jc w:val="right"/>
              <w:ind w:right="53"/>
              <w:spacing w:after="0" w:line="144" w:lineRule="exact"/>
              <w:rPr>
                <w:sz w:val="20"/>
                <w:szCs w:val="20"/>
                <w:color w:val="auto"/>
              </w:rPr>
            </w:pPr>
            <w:r>
              <w:rPr>
                <w:rFonts w:ascii="Arial" w:cs="Arial" w:eastAsia="Arial" w:hAnsi="Arial"/>
                <w:sz w:val="13"/>
                <w:szCs w:val="13"/>
                <w:color w:val="auto"/>
              </w:rPr>
              <w:t>36,968</w:t>
            </w:r>
          </w:p>
        </w:tc>
        <w:tc>
          <w:tcPr>
            <w:tcW w:w="780" w:type="dxa"/>
            <w:vAlign w:val="bottom"/>
            <w:tcBorders>
              <w:bottom w:val="single" w:sz="8" w:color="auto"/>
            </w:tcBorders>
          </w:tcPr>
          <w:p>
            <w:pPr>
              <w:jc w:val="center"/>
              <w:ind w:right="13"/>
              <w:spacing w:after="0" w:line="144" w:lineRule="exact"/>
              <w:rPr>
                <w:sz w:val="20"/>
                <w:szCs w:val="20"/>
                <w:color w:val="auto"/>
              </w:rPr>
            </w:pPr>
            <w:r>
              <w:rPr>
                <w:rFonts w:ascii="Arial" w:cs="Arial" w:eastAsia="Arial" w:hAnsi="Arial"/>
                <w:sz w:val="13"/>
                <w:szCs w:val="13"/>
                <w:color w:val="auto"/>
              </w:rPr>
              <w:t>3.6%</w:t>
            </w:r>
          </w:p>
        </w:tc>
        <w:tc>
          <w:tcPr>
            <w:tcW w:w="960" w:type="dxa"/>
            <w:vAlign w:val="bottom"/>
            <w:tcBorders>
              <w:bottom w:val="single" w:sz="8" w:color="auto"/>
            </w:tcBorders>
          </w:tcPr>
          <w:p>
            <w:pPr>
              <w:jc w:val="center"/>
              <w:ind w:right="33"/>
              <w:spacing w:after="0" w:line="144" w:lineRule="exact"/>
              <w:rPr>
                <w:sz w:val="20"/>
                <w:szCs w:val="20"/>
                <w:color w:val="auto"/>
              </w:rPr>
            </w:pPr>
            <w:r>
              <w:rPr>
                <w:rFonts w:ascii="Arial" w:cs="Arial" w:eastAsia="Arial" w:hAnsi="Arial"/>
                <w:sz w:val="13"/>
                <w:szCs w:val="13"/>
                <w:color w:val="auto"/>
              </w:rPr>
              <w:t>1.7%</w:t>
            </w:r>
          </w:p>
        </w:tc>
        <w:tc>
          <w:tcPr>
            <w:tcW w:w="1220" w:type="dxa"/>
            <w:vAlign w:val="bottom"/>
            <w:tcBorders>
              <w:bottom w:val="single" w:sz="8" w:color="auto"/>
            </w:tcBorders>
          </w:tcPr>
          <w:p>
            <w:pPr>
              <w:jc w:val="right"/>
              <w:ind w:right="193"/>
              <w:spacing w:after="0" w:line="144" w:lineRule="exact"/>
              <w:rPr>
                <w:sz w:val="20"/>
                <w:szCs w:val="20"/>
                <w:color w:val="auto"/>
              </w:rPr>
            </w:pPr>
            <w:r>
              <w:rPr>
                <w:rFonts w:ascii="Arial" w:cs="Arial" w:eastAsia="Arial" w:hAnsi="Arial"/>
                <w:sz w:val="13"/>
                <w:szCs w:val="13"/>
                <w:color w:val="auto"/>
              </w:rPr>
              <w:t>36,358</w:t>
            </w:r>
          </w:p>
        </w:tc>
        <w:tc>
          <w:tcPr>
            <w:tcW w:w="920" w:type="dxa"/>
            <w:vAlign w:val="bottom"/>
            <w:tcBorders>
              <w:bottom w:val="single" w:sz="8" w:color="auto"/>
            </w:tcBorders>
          </w:tcPr>
          <w:p>
            <w:pPr>
              <w:jc w:val="right"/>
              <w:ind w:right="53"/>
              <w:spacing w:after="0" w:line="144" w:lineRule="exact"/>
              <w:rPr>
                <w:sz w:val="20"/>
                <w:szCs w:val="20"/>
                <w:color w:val="auto"/>
              </w:rPr>
            </w:pPr>
            <w:r>
              <w:rPr>
                <w:rFonts w:ascii="Arial" w:cs="Arial" w:eastAsia="Arial" w:hAnsi="Arial"/>
                <w:sz w:val="13"/>
                <w:szCs w:val="13"/>
                <w:color w:val="auto"/>
              </w:rPr>
              <w:t>36,968</w:t>
            </w:r>
          </w:p>
        </w:tc>
        <w:tc>
          <w:tcPr>
            <w:tcW w:w="1020" w:type="dxa"/>
            <w:vAlign w:val="bottom"/>
            <w:tcBorders>
              <w:bottom w:val="single" w:sz="8" w:color="auto"/>
            </w:tcBorders>
          </w:tcPr>
          <w:p>
            <w:pPr>
              <w:jc w:val="center"/>
              <w:ind w:right="13"/>
              <w:spacing w:after="0" w:line="14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6"/>
        </w:trPr>
        <w:tc>
          <w:tcPr>
            <w:tcW w:w="3180" w:type="dxa"/>
            <w:vAlign w:val="bottom"/>
          </w:tcPr>
          <w:p>
            <w:pPr>
              <w:ind w:left="40"/>
              <w:spacing w:after="0" w:line="136" w:lineRule="exact"/>
              <w:rPr>
                <w:sz w:val="20"/>
                <w:szCs w:val="20"/>
                <w:color w:val="auto"/>
              </w:rPr>
            </w:pPr>
            <w:r>
              <w:rPr>
                <w:rFonts w:ascii="Arial" w:cs="Arial" w:eastAsia="Arial" w:hAnsi="Arial"/>
                <w:sz w:val="13"/>
                <w:szCs w:val="13"/>
                <w:b w:val="1"/>
                <w:bCs w:val="1"/>
                <w:color w:val="auto"/>
              </w:rPr>
              <w:t>Share Information</w:t>
            </w: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ind w:left="40"/>
              <w:spacing w:after="0" w:line="136" w:lineRule="exact"/>
              <w:rPr>
                <w:sz w:val="20"/>
                <w:szCs w:val="20"/>
                <w:color w:val="auto"/>
              </w:rPr>
            </w:pPr>
            <w:r>
              <w:rPr>
                <w:rFonts w:ascii="Arial" w:cs="Arial" w:eastAsia="Arial" w:hAnsi="Arial"/>
                <w:sz w:val="13"/>
                <w:szCs w:val="13"/>
                <w:color w:val="auto"/>
              </w:rPr>
              <w:t>Issued Shares</w:t>
            </w:r>
          </w:p>
        </w:tc>
        <w:tc>
          <w:tcPr>
            <w:tcW w:w="11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94,382</w:t>
            </w:r>
          </w:p>
        </w:tc>
        <w:tc>
          <w:tcPr>
            <w:tcW w:w="1020" w:type="dxa"/>
            <w:vAlign w:val="bottom"/>
          </w:tcPr>
          <w:p>
            <w:pPr>
              <w:jc w:val="right"/>
              <w:ind w:right="73"/>
              <w:spacing w:after="0" w:line="136" w:lineRule="exact"/>
              <w:rPr>
                <w:sz w:val="20"/>
                <w:szCs w:val="20"/>
                <w:color w:val="auto"/>
              </w:rPr>
            </w:pPr>
            <w:r>
              <w:rPr>
                <w:rFonts w:ascii="Arial" w:cs="Arial" w:eastAsia="Arial" w:hAnsi="Arial"/>
                <w:sz w:val="13"/>
                <w:szCs w:val="13"/>
                <w:color w:val="auto"/>
              </w:rPr>
              <w:t>94,382</w:t>
            </w:r>
          </w:p>
        </w:tc>
        <w:tc>
          <w:tcPr>
            <w:tcW w:w="10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94,382</w:t>
            </w:r>
          </w:p>
        </w:tc>
        <w:tc>
          <w:tcPr>
            <w:tcW w:w="780" w:type="dxa"/>
            <w:vAlign w:val="bottom"/>
          </w:tcPr>
          <w:p>
            <w:pPr>
              <w:jc w:val="center"/>
              <w:ind w:right="13"/>
              <w:spacing w:after="0" w:line="136" w:lineRule="exact"/>
              <w:rPr>
                <w:sz w:val="20"/>
                <w:szCs w:val="20"/>
                <w:color w:val="auto"/>
              </w:rPr>
            </w:pPr>
            <w:r>
              <w:rPr>
                <w:rFonts w:ascii="Arial" w:cs="Arial" w:eastAsia="Arial" w:hAnsi="Arial"/>
                <w:sz w:val="13"/>
                <w:szCs w:val="13"/>
                <w:color w:val="auto"/>
              </w:rPr>
              <w:t>0.0%</w:t>
            </w:r>
          </w:p>
        </w:tc>
        <w:tc>
          <w:tcPr>
            <w:tcW w:w="960" w:type="dxa"/>
            <w:vAlign w:val="bottom"/>
          </w:tcPr>
          <w:p>
            <w:pPr>
              <w:jc w:val="center"/>
              <w:ind w:right="33"/>
              <w:spacing w:after="0" w:line="136" w:lineRule="exact"/>
              <w:rPr>
                <w:sz w:val="20"/>
                <w:szCs w:val="20"/>
                <w:color w:val="auto"/>
              </w:rPr>
            </w:pPr>
            <w:r>
              <w:rPr>
                <w:rFonts w:ascii="Arial" w:cs="Arial" w:eastAsia="Arial" w:hAnsi="Arial"/>
                <w:sz w:val="13"/>
                <w:szCs w:val="13"/>
                <w:color w:val="auto"/>
              </w:rPr>
              <w:t>0.0%</w:t>
            </w:r>
          </w:p>
        </w:tc>
        <w:tc>
          <w:tcPr>
            <w:tcW w:w="1220" w:type="dxa"/>
            <w:vAlign w:val="bottom"/>
          </w:tcPr>
          <w:p>
            <w:pPr>
              <w:jc w:val="right"/>
              <w:ind w:right="193"/>
              <w:spacing w:after="0" w:line="136" w:lineRule="exact"/>
              <w:rPr>
                <w:sz w:val="20"/>
                <w:szCs w:val="20"/>
                <w:color w:val="auto"/>
              </w:rPr>
            </w:pPr>
            <w:r>
              <w:rPr>
                <w:rFonts w:ascii="Arial" w:cs="Arial" w:eastAsia="Arial" w:hAnsi="Arial"/>
                <w:sz w:val="13"/>
                <w:szCs w:val="13"/>
                <w:color w:val="auto"/>
              </w:rPr>
              <w:t>94,382</w:t>
            </w:r>
          </w:p>
        </w:tc>
        <w:tc>
          <w:tcPr>
            <w:tcW w:w="9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94,382</w:t>
            </w:r>
          </w:p>
        </w:tc>
        <w:tc>
          <w:tcPr>
            <w:tcW w:w="1020" w:type="dxa"/>
            <w:vAlign w:val="bottom"/>
          </w:tcPr>
          <w:p>
            <w:pPr>
              <w:jc w:val="center"/>
              <w:ind w:right="13"/>
              <w:spacing w:after="0" w:line="136"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6"/>
        </w:trPr>
        <w:tc>
          <w:tcPr>
            <w:tcW w:w="3180" w:type="dxa"/>
            <w:vAlign w:val="bottom"/>
          </w:tcPr>
          <w:p>
            <w:pPr>
              <w:ind w:left="40"/>
              <w:spacing w:after="0" w:line="166" w:lineRule="exact"/>
              <w:rPr>
                <w:sz w:val="20"/>
                <w:szCs w:val="20"/>
                <w:color w:val="auto"/>
              </w:rPr>
            </w:pPr>
            <w:r>
              <w:rPr>
                <w:rFonts w:ascii="Arial" w:cs="Arial" w:eastAsia="Arial" w:hAnsi="Arial"/>
                <w:sz w:val="12"/>
                <w:szCs w:val="12"/>
                <w:color w:val="auto"/>
              </w:rPr>
              <w:t xml:space="preserve">Treasury Shares </w:t>
            </w:r>
            <w:r>
              <w:rPr>
                <w:rFonts w:ascii="Arial" w:cs="Arial" w:eastAsia="Arial" w:hAnsi="Arial"/>
                <w:sz w:val="19"/>
                <w:szCs w:val="19"/>
                <w:color w:val="auto"/>
                <w:vertAlign w:val="superscript"/>
              </w:rPr>
              <w:t>(10)</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14,850</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14,849</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14,849</w:t>
            </w:r>
          </w:p>
        </w:tc>
        <w:tc>
          <w:tcPr>
            <w:tcW w:w="780" w:type="dxa"/>
            <w:vAlign w:val="bottom"/>
          </w:tcPr>
          <w:p>
            <w:pPr>
              <w:jc w:val="center"/>
              <w:ind w:right="13"/>
              <w:spacing w:after="0"/>
              <w:rPr>
                <w:sz w:val="20"/>
                <w:szCs w:val="20"/>
                <w:color w:val="auto"/>
              </w:rPr>
            </w:pPr>
            <w:r>
              <w:rPr>
                <w:rFonts w:ascii="Arial" w:cs="Arial" w:eastAsia="Arial" w:hAnsi="Arial"/>
                <w:sz w:val="13"/>
                <w:szCs w:val="13"/>
                <w:color w:val="auto"/>
              </w:rPr>
              <w:t>0.0%</w:t>
            </w:r>
          </w:p>
        </w:tc>
        <w:tc>
          <w:tcPr>
            <w:tcW w:w="960" w:type="dxa"/>
            <w:vAlign w:val="bottom"/>
          </w:tcPr>
          <w:p>
            <w:pPr>
              <w:jc w:val="center"/>
              <w:ind w:right="33"/>
              <w:spacing w:after="0"/>
              <w:rPr>
                <w:sz w:val="20"/>
                <w:szCs w:val="20"/>
                <w:color w:val="auto"/>
              </w:rPr>
            </w:pPr>
            <w:r>
              <w:rPr>
                <w:rFonts w:ascii="Arial" w:cs="Arial" w:eastAsia="Arial" w:hAnsi="Arial"/>
                <w:sz w:val="13"/>
                <w:szCs w:val="13"/>
                <w:color w:val="auto"/>
              </w:rPr>
              <w:t>0.0%</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14,850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14,849</w:t>
            </w:r>
          </w:p>
        </w:tc>
        <w:tc>
          <w:tcPr>
            <w:tcW w:w="1020" w:type="dxa"/>
            <w:vAlign w:val="bottom"/>
          </w:tcPr>
          <w:p>
            <w:pPr>
              <w:jc w:val="center"/>
              <w:ind w:right="13"/>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6"/>
        </w:trPr>
        <w:tc>
          <w:tcPr>
            <w:tcW w:w="3180" w:type="dxa"/>
            <w:vAlign w:val="bottom"/>
          </w:tcPr>
          <w:p>
            <w:pPr>
              <w:ind w:left="40"/>
              <w:spacing w:after="0"/>
              <w:rPr>
                <w:sz w:val="20"/>
                <w:szCs w:val="20"/>
                <w:color w:val="auto"/>
              </w:rPr>
            </w:pPr>
            <w:r>
              <w:rPr>
                <w:rFonts w:ascii="Arial" w:cs="Arial" w:eastAsia="Arial" w:hAnsi="Arial"/>
                <w:sz w:val="13"/>
                <w:szCs w:val="13"/>
                <w:color w:val="auto"/>
              </w:rPr>
              <w:t>Outstanding Shares</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79,532</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79,533</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79,533</w:t>
            </w:r>
          </w:p>
        </w:tc>
        <w:tc>
          <w:tcPr>
            <w:tcW w:w="780" w:type="dxa"/>
            <w:vAlign w:val="bottom"/>
          </w:tcPr>
          <w:p>
            <w:pPr>
              <w:jc w:val="center"/>
              <w:ind w:right="13"/>
              <w:spacing w:after="0"/>
              <w:rPr>
                <w:sz w:val="20"/>
                <w:szCs w:val="20"/>
                <w:color w:val="auto"/>
              </w:rPr>
            </w:pPr>
            <w:r>
              <w:rPr>
                <w:rFonts w:ascii="Arial" w:cs="Arial" w:eastAsia="Arial" w:hAnsi="Arial"/>
                <w:sz w:val="13"/>
                <w:szCs w:val="13"/>
                <w:color w:val="auto"/>
              </w:rPr>
              <w:t>0.0%</w:t>
            </w:r>
          </w:p>
        </w:tc>
        <w:tc>
          <w:tcPr>
            <w:tcW w:w="960" w:type="dxa"/>
            <w:vAlign w:val="bottom"/>
          </w:tcPr>
          <w:p>
            <w:pPr>
              <w:jc w:val="center"/>
              <w:ind w:right="33"/>
              <w:spacing w:after="0"/>
              <w:rPr>
                <w:sz w:val="20"/>
                <w:szCs w:val="20"/>
                <w:color w:val="auto"/>
              </w:rPr>
            </w:pPr>
            <w:r>
              <w:rPr>
                <w:rFonts w:ascii="Arial" w:cs="Arial" w:eastAsia="Arial" w:hAnsi="Arial"/>
                <w:sz w:val="13"/>
                <w:szCs w:val="13"/>
                <w:color w:val="auto"/>
              </w:rPr>
              <w:t>0.0%</w:t>
            </w:r>
          </w:p>
        </w:tc>
        <w:tc>
          <w:tcPr>
            <w:tcW w:w="1220" w:type="dxa"/>
            <w:vAlign w:val="bottom"/>
          </w:tcPr>
          <w:p>
            <w:pPr>
              <w:jc w:val="right"/>
              <w:ind w:right="193"/>
              <w:spacing w:after="0"/>
              <w:rPr>
                <w:sz w:val="20"/>
                <w:szCs w:val="20"/>
                <w:color w:val="auto"/>
              </w:rPr>
            </w:pPr>
            <w:r>
              <w:rPr>
                <w:rFonts w:ascii="Arial" w:cs="Arial" w:eastAsia="Arial" w:hAnsi="Arial"/>
                <w:sz w:val="13"/>
                <w:szCs w:val="13"/>
                <w:color w:val="auto"/>
              </w:rPr>
              <w:t>79,532</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79,533</w:t>
            </w:r>
          </w:p>
        </w:tc>
        <w:tc>
          <w:tcPr>
            <w:tcW w:w="1020" w:type="dxa"/>
            <w:vAlign w:val="bottom"/>
          </w:tcPr>
          <w:p>
            <w:pPr>
              <w:jc w:val="center"/>
              <w:ind w:right="13"/>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bl>
    <w:p>
      <w:pPr>
        <w:ind w:left="180" w:hanging="179"/>
        <w:spacing w:after="0" w:line="218" w:lineRule="auto"/>
        <w:tabs>
          <w:tab w:leader="none" w:pos="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Internal overdue loans include overdue loans and loans under legal collection, according to our internal policy for overdue loans. Internal Overdue ratio: Internal overdue loans / Total loans.</w:t>
      </w:r>
    </w:p>
    <w:p>
      <w:pPr>
        <w:ind w:left="180" w:hanging="179"/>
        <w:spacing w:after="0" w:line="218" w:lineRule="auto"/>
        <w:tabs>
          <w:tab w:leader="none" w:pos="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Non-performing loans (NPL): Internal overdue loans + Refinanced loans. NPL ratio: NPL / Total loans.</w:t>
      </w:r>
    </w:p>
    <w:p>
      <w:pPr>
        <w:ind w:left="180" w:hanging="179"/>
        <w:spacing w:after="0" w:line="218" w:lineRule="auto"/>
        <w:tabs>
          <w:tab w:leader="none" w:pos="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Cost of risk: Annualized provision for loan losses, net of recoveries / Total loans.</w:t>
      </w:r>
    </w:p>
    <w:p>
      <w:pPr>
        <w:ind w:right="240" w:firstLine="1"/>
        <w:spacing w:after="0" w:line="218"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Efficiency ratio = (Salaries and employee benefits + Administrative expenses + Depreciation and amortization + Association in participation + Acquisition cost) / (Net interest, similar income and expenses + Fee Income + Net gain on foreign exchange transactions + Net Gain From associates + Net gain on derivatives held for trading + Result on exchange differences + Net Premiums Earned).</w:t>
      </w:r>
    </w:p>
    <w:p>
      <w:pPr>
        <w:ind w:left="180" w:hanging="179"/>
        <w:spacing w:after="0" w:line="218" w:lineRule="auto"/>
        <w:tabs>
          <w:tab w:leader="none" w:pos="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Combined ratio = (Net claims / Net earned premiums) + [(Acquisition cost + Operating expenses) / Net earned premiums]. Does not include Life insurance business.</w:t>
      </w:r>
    </w:p>
    <w:p>
      <w:pPr>
        <w:ind w:left="180" w:hanging="179"/>
        <w:spacing w:after="0" w:line="218" w:lineRule="auto"/>
        <w:tabs>
          <w:tab w:leader="none" w:pos="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Considers Grupo Pacifico's figures before eliminations for consolidation to Credicorp.</w:t>
      </w:r>
    </w:p>
    <w:p>
      <w:pPr>
        <w:ind w:left="180" w:hanging="179"/>
        <w:spacing w:after="0" w:line="218" w:lineRule="auto"/>
        <w:tabs>
          <w:tab w:leader="none" w:pos="1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Regulatory Capital / Risk-weighted assets (legal minimum = 10% since July 2011).</w:t>
      </w:r>
    </w:p>
    <w:p>
      <w:pPr>
        <w:ind w:right="180" w:firstLine="1"/>
        <w:spacing w:after="0" w:line="218"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2"/>
          <w:szCs w:val="12"/>
          <w:color w:val="auto"/>
        </w:rPr>
      </w:pPr>
    </w:p>
    <w:p>
      <w:pPr>
        <w:jc w:val="both"/>
        <w:ind w:right="60" w:firstLine="1"/>
        <w:spacing w:after="0" w:line="218"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Common Equity Tier I = Capital + Reserves – 100% of applicable deductions (investment in subsidiaries, goodwill, intangibles and net deferred taxes that rely on future profitability) + retained earnings + unrealized gains. 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spacing w:after="0" w:line="1" w:lineRule="exact"/>
        <w:rPr>
          <w:rFonts w:ascii="Arial" w:cs="Arial" w:eastAsia="Arial" w:hAnsi="Arial"/>
          <w:sz w:val="12"/>
          <w:szCs w:val="12"/>
          <w:color w:val="auto"/>
        </w:rPr>
      </w:pPr>
    </w:p>
    <w:p>
      <w:pPr>
        <w:ind w:left="240" w:hanging="239"/>
        <w:spacing w:after="0" w:line="218" w:lineRule="auto"/>
        <w:tabs>
          <w:tab w:leader="none" w:pos="2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Consider shares held by Atlantic Security Holding Corporation (ASHC) and stock awards.</w:t>
      </w:r>
    </w:p>
    <w:p>
      <w:pPr>
        <w:ind w:left="240" w:hanging="239"/>
        <w:spacing w:after="0"/>
        <w:tabs>
          <w:tab w:leader="none" w:pos="2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Common Equity Tier I calculated based on IFRS Accounting.</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13" w:name="page14"/>
    <w:bookmarkEnd w:id="13"/>
    <w:p>
      <w:pPr>
        <w:ind w:left="3140"/>
        <w:spacing w:after="0"/>
        <w:rPr>
          <w:sz w:val="20"/>
          <w:szCs w:val="20"/>
          <w:color w:val="auto"/>
        </w:rPr>
      </w:pPr>
      <w:r>
        <w:rPr>
          <w:rFonts w:ascii="Arial" w:cs="Arial" w:eastAsia="Arial" w:hAnsi="Arial"/>
          <w:sz w:val="17"/>
          <w:szCs w:val="17"/>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59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845" cy="559435"/>
                    </a:xfrm>
                    <a:prstGeom prst="rect">
                      <a:avLst/>
                    </a:prstGeom>
                    <a:noFill/>
                  </pic:spPr>
                </pic:pic>
              </a:graphicData>
            </a:graphic>
          </wp:anchor>
        </w:drawing>
        <w:t>Earnings Release 4Q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229870</wp:posOffset>
            </wp:positionV>
            <wp:extent cx="7141845" cy="255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845" cy="2559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Credicorp’s Strategy Update</w:t>
      </w:r>
    </w:p>
    <w:p>
      <w:pPr>
        <w:spacing w:after="0" w:line="311" w:lineRule="exact"/>
        <w:rPr>
          <w:sz w:val="20"/>
          <w:szCs w:val="20"/>
          <w:color w:val="auto"/>
        </w:rPr>
      </w:pPr>
    </w:p>
    <w:p>
      <w:pPr>
        <w:spacing w:after="0"/>
        <w:rPr>
          <w:sz w:val="20"/>
          <w:szCs w:val="20"/>
          <w:color w:val="auto"/>
        </w:rPr>
      </w:pPr>
      <w:r>
        <w:rPr>
          <w:rFonts w:ascii="Arial" w:cs="Arial" w:eastAsia="Arial" w:hAnsi="Arial"/>
          <w:sz w:val="30"/>
          <w:szCs w:val="30"/>
          <w:color w:val="E93CAC"/>
        </w:rPr>
        <w:t>Credicorp Strategy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Despite a challenging environment market by more uncertainty, Credicorp continues to fulfill its purpose as it successfully executes its strategy.</w:t>
      </w:r>
    </w:p>
    <w:p>
      <w:pPr>
        <w:spacing w:after="0" w:line="18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2022, Credicorp rolled out an expansion of its appetite for innovation investment, which impacted the cost to income ratio by 290bps. Credicorp leverages its competitive advantages to be a key enabler of financial inclusion and financial education in the Andean region and is driving multiple initiatives across subsidiaries. Over this period, Credicorp has financially included more than 1.1 million people through Yape while BCP’s financial education web series topped 47MM views.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this first stage, investments in innovation mainly prioritize the domains of payments, digital loans, neobanks, acquisition and value-added services to SMEs. Regarding the Krealo portfolio, our corporate venture capital center registered significant growth at Tenpo in 2022, which added 1 million new clients in Chile this year. Additionally, Krealo added 2 ventures to its portfolio: Samishop in Peru, whose aim is to reinforce the ecosystem of value-added services that we offer to SMEs, and Monokera in Colombia, whose objective is to drive penetration of digital insurance products in the region. Going forward, our innovation initiatives will begin to generate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 KPIs of Credicorp’s Strategy</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392"/>
        </w:trPr>
        <w:tc>
          <w:tcPr>
            <w:tcW w:w="3700" w:type="dxa"/>
            <w:vAlign w:val="bottom"/>
            <w:tcBorders>
              <w:left w:val="single" w:sz="8" w:color="2AD2C9"/>
              <w:bottom w:val="single" w:sz="8" w:color="auto"/>
            </w:tcBorders>
            <w:shd w:val="clear" w:color="auto" w:fill="2AD2C9"/>
          </w:tcPr>
          <w:p>
            <w:pPr>
              <w:ind w:left="1220"/>
              <w:spacing w:after="0"/>
              <w:rPr>
                <w:sz w:val="20"/>
                <w:szCs w:val="20"/>
                <w:color w:val="auto"/>
              </w:rPr>
            </w:pPr>
            <w:r>
              <w:rPr>
                <w:rFonts w:ascii="Arial" w:cs="Arial" w:eastAsia="Arial" w:hAnsi="Arial"/>
                <w:sz w:val="18"/>
                <w:szCs w:val="18"/>
                <w:b w:val="1"/>
                <w:bCs w:val="1"/>
                <w:color w:val="FFFFFF"/>
              </w:rPr>
              <w:t>Experience</w:t>
            </w:r>
          </w:p>
        </w:tc>
        <w:tc>
          <w:tcPr>
            <w:tcW w:w="2760" w:type="dxa"/>
            <w:vAlign w:val="bottom"/>
            <w:tcBorders>
              <w:bottom w:val="single" w:sz="8" w:color="auto"/>
              <w:right w:val="single" w:sz="8" w:color="2AD2C9"/>
            </w:tcBorders>
            <w:shd w:val="clear" w:color="auto" w:fill="2AD2C9"/>
          </w:tcPr>
          <w:p>
            <w:pPr>
              <w:ind w:left="180"/>
              <w:spacing w:after="0"/>
              <w:rPr>
                <w:sz w:val="20"/>
                <w:szCs w:val="20"/>
                <w:color w:val="auto"/>
              </w:rPr>
            </w:pPr>
            <w:r>
              <w:rPr>
                <w:rFonts w:ascii="Arial" w:cs="Arial" w:eastAsia="Arial" w:hAnsi="Arial"/>
                <w:sz w:val="18"/>
                <w:szCs w:val="18"/>
                <w:b w:val="1"/>
                <w:bCs w:val="1"/>
                <w:color w:val="FFFFFF"/>
              </w:rPr>
              <w:t>Efficiency</w:t>
            </w:r>
          </w:p>
        </w:tc>
        <w:tc>
          <w:tcPr>
            <w:tcW w:w="1460" w:type="dxa"/>
            <w:vAlign w:val="bottom"/>
            <w:tcBorders>
              <w:bottom w:val="single" w:sz="8" w:color="auto"/>
              <w:right w:val="single" w:sz="8" w:color="2AD2C9"/>
            </w:tcBorders>
            <w:shd w:val="clear" w:color="auto" w:fill="2AD2C9"/>
          </w:tcPr>
          <w:p>
            <w:pPr>
              <w:ind w:left="760"/>
              <w:spacing w:after="0"/>
              <w:rPr>
                <w:sz w:val="20"/>
                <w:szCs w:val="20"/>
                <w:color w:val="auto"/>
              </w:rPr>
            </w:pPr>
            <w:r>
              <w:rPr>
                <w:rFonts w:ascii="Arial" w:cs="Arial" w:eastAsia="Arial" w:hAnsi="Arial"/>
                <w:sz w:val="18"/>
                <w:szCs w:val="18"/>
                <w:b w:val="1"/>
                <w:bCs w:val="1"/>
                <w:color w:val="FFFFFF"/>
              </w:rPr>
              <w:t>Growth</w:t>
            </w:r>
          </w:p>
        </w:tc>
        <w:tc>
          <w:tcPr>
            <w:tcW w:w="1100" w:type="dxa"/>
            <w:vAlign w:val="bottom"/>
            <w:tcBorders>
              <w:bottom w:val="single" w:sz="8" w:color="auto"/>
            </w:tcBorders>
            <w:shd w:val="clear" w:color="auto" w:fill="2AD2C9"/>
          </w:tcPr>
          <w:p>
            <w:pPr>
              <w:spacing w:after="0"/>
              <w:rPr>
                <w:sz w:val="24"/>
                <w:szCs w:val="24"/>
                <w:color w:val="auto"/>
              </w:rPr>
            </w:pPr>
          </w:p>
        </w:tc>
        <w:tc>
          <w:tcPr>
            <w:tcW w:w="1100" w:type="dxa"/>
            <w:vAlign w:val="bottom"/>
            <w:tcBorders>
              <w:bottom w:val="single" w:sz="8" w:color="auto"/>
            </w:tcBorders>
            <w:shd w:val="clear" w:color="auto" w:fill="2AD2C9"/>
          </w:tcPr>
          <w:p>
            <w:pPr>
              <w:spacing w:after="0"/>
              <w:rPr>
                <w:sz w:val="24"/>
                <w:szCs w:val="24"/>
                <w:color w:val="auto"/>
              </w:rPr>
            </w:pPr>
          </w:p>
        </w:tc>
        <w:tc>
          <w:tcPr>
            <w:tcW w:w="1120" w:type="dxa"/>
            <w:vAlign w:val="bottom"/>
            <w:tcBorders>
              <w:bottom w:val="single" w:sz="8" w:color="auto"/>
              <w:right w:val="single" w:sz="8" w:color="2AD2C9"/>
            </w:tcBorders>
            <w:shd w:val="clear" w:color="auto" w:fill="2AD2C9"/>
          </w:tcPr>
          <w:p>
            <w:pPr>
              <w:spacing w:after="0"/>
              <w:rPr>
                <w:sz w:val="24"/>
                <w:szCs w:val="24"/>
                <w:color w:val="auto"/>
              </w:rPr>
            </w:pPr>
          </w:p>
        </w:tc>
      </w:tr>
      <w:tr>
        <w:trPr>
          <w:trHeight w:val="214"/>
        </w:trPr>
        <w:tc>
          <w:tcPr>
            <w:tcW w:w="3700" w:type="dxa"/>
            <w:vAlign w:val="bottom"/>
            <w:tcBorders>
              <w:top w:val="single" w:sz="8" w:color="2AD2C9"/>
              <w:left w:val="single" w:sz="8" w:color="auto"/>
              <w:bottom w:val="single" w:sz="8" w:color="auto"/>
            </w:tcBorders>
            <w:shd w:val="clear" w:color="auto" w:fill="2AD2C9"/>
          </w:tcPr>
          <w:p>
            <w:pPr>
              <w:ind w:left="80"/>
              <w:spacing w:after="0" w:line="209" w:lineRule="exact"/>
              <w:rPr>
                <w:sz w:val="20"/>
                <w:szCs w:val="20"/>
                <w:color w:val="auto"/>
              </w:rPr>
            </w:pPr>
            <w:r>
              <w:rPr>
                <w:rFonts w:ascii="Arial" w:cs="Arial" w:eastAsia="Arial" w:hAnsi="Arial"/>
                <w:sz w:val="15"/>
                <w:szCs w:val="15"/>
                <w:b w:val="1"/>
                <w:bCs w:val="1"/>
                <w:i w:val="1"/>
                <w:iCs w:val="1"/>
                <w:color w:val="auto"/>
              </w:rPr>
              <w:t xml:space="preserve">Traditional Business Transformation </w:t>
            </w:r>
            <w:r>
              <w:rPr>
                <w:rFonts w:ascii="Arial" w:cs="Arial" w:eastAsia="Arial" w:hAnsi="Arial"/>
                <w:sz w:val="24"/>
                <w:szCs w:val="24"/>
                <w:b w:val="1"/>
                <w:bCs w:val="1"/>
                <w:i w:val="1"/>
                <w:iCs w:val="1"/>
                <w:color w:val="auto"/>
                <w:vertAlign w:val="superscript"/>
              </w:rPr>
              <w:t>(1)</w:t>
            </w:r>
          </w:p>
        </w:tc>
        <w:tc>
          <w:tcPr>
            <w:tcW w:w="2760" w:type="dxa"/>
            <w:vAlign w:val="bottom"/>
            <w:tcBorders>
              <w:top w:val="single" w:sz="8" w:color="2AD2C9"/>
              <w:bottom w:val="single" w:sz="8" w:color="auto"/>
              <w:right w:val="single" w:sz="8" w:color="auto"/>
            </w:tcBorders>
            <w:shd w:val="clear" w:color="auto" w:fill="2AD2C9"/>
          </w:tcPr>
          <w:p>
            <w:pPr>
              <w:spacing w:after="0"/>
              <w:rPr>
                <w:sz w:val="18"/>
                <w:szCs w:val="18"/>
                <w:color w:val="auto"/>
              </w:rPr>
            </w:pPr>
          </w:p>
        </w:tc>
        <w:tc>
          <w:tcPr>
            <w:tcW w:w="1460" w:type="dxa"/>
            <w:vAlign w:val="bottom"/>
            <w:tcBorders>
              <w:top w:val="single" w:sz="8" w:color="auto"/>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8"/>
                <w:szCs w:val="18"/>
                <w:b w:val="1"/>
                <w:bCs w:val="1"/>
                <w:i w:val="1"/>
                <w:iCs w:val="1"/>
                <w:color w:val="auto"/>
              </w:rPr>
              <w:t>Subsidiary</w:t>
            </w:r>
          </w:p>
        </w:tc>
        <w:tc>
          <w:tcPr>
            <w:tcW w:w="110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rPr>
              <w:t>4Q20</w:t>
            </w:r>
          </w:p>
        </w:tc>
        <w:tc>
          <w:tcPr>
            <w:tcW w:w="110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rPr>
              <w:t>4Q21</w:t>
            </w:r>
          </w:p>
        </w:tc>
        <w:tc>
          <w:tcPr>
            <w:tcW w:w="112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rPr>
              <w:t>4Q22</w:t>
            </w:r>
          </w:p>
        </w:tc>
      </w:tr>
      <w:tr>
        <w:trPr>
          <w:trHeight w:val="251"/>
        </w:trPr>
        <w:tc>
          <w:tcPr>
            <w:tcW w:w="37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Day to Day</w:t>
            </w:r>
          </w:p>
        </w:tc>
        <w:tc>
          <w:tcPr>
            <w:tcW w:w="27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313"/>
        </w:trPr>
        <w:tc>
          <w:tcPr>
            <w:tcW w:w="3700" w:type="dxa"/>
            <w:vAlign w:val="bottom"/>
            <w:tcBorders>
              <w:left w:val="single" w:sz="8" w:color="auto"/>
            </w:tcBorders>
          </w:tcPr>
          <w:p>
            <w:pPr>
              <w:ind w:left="80"/>
              <w:spacing w:after="0" w:line="312" w:lineRule="exact"/>
              <w:rPr>
                <w:sz w:val="20"/>
                <w:szCs w:val="20"/>
                <w:color w:val="auto"/>
              </w:rPr>
            </w:pPr>
            <w:r>
              <w:rPr>
                <w:rFonts w:ascii="Arial" w:cs="Arial" w:eastAsia="Arial" w:hAnsi="Arial"/>
                <w:sz w:val="18"/>
                <w:szCs w:val="18"/>
                <w:color w:val="auto"/>
              </w:rPr>
              <w:t xml:space="preserve">Digital clients </w:t>
            </w:r>
            <w:r>
              <w:rPr>
                <w:rFonts w:ascii="Arial" w:cs="Arial" w:eastAsia="Arial" w:hAnsi="Arial"/>
                <w:sz w:val="30"/>
                <w:szCs w:val="30"/>
                <w:color w:val="auto"/>
                <w:vertAlign w:val="superscript"/>
              </w:rPr>
              <w:t>(2)</w:t>
            </w:r>
          </w:p>
        </w:tc>
        <w:tc>
          <w:tcPr>
            <w:tcW w:w="276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BCP</w:t>
            </w:r>
          </w:p>
        </w:tc>
        <w:tc>
          <w:tcPr>
            <w:tcW w:w="1100" w:type="dxa"/>
            <w:vAlign w:val="bottom"/>
          </w:tcPr>
          <w:p>
            <w:pPr>
              <w:jc w:val="center"/>
              <w:spacing w:after="0"/>
              <w:rPr>
                <w:sz w:val="20"/>
                <w:szCs w:val="20"/>
                <w:color w:val="auto"/>
              </w:rPr>
            </w:pPr>
            <w:r>
              <w:rPr>
                <w:rFonts w:ascii="Arial" w:cs="Arial" w:eastAsia="Arial" w:hAnsi="Arial"/>
                <w:sz w:val="18"/>
                <w:szCs w:val="18"/>
                <w:color w:val="auto"/>
              </w:rPr>
              <w:t>40%</w:t>
            </w:r>
          </w:p>
        </w:tc>
        <w:tc>
          <w:tcPr>
            <w:tcW w:w="1100" w:type="dxa"/>
            <w:vAlign w:val="bottom"/>
          </w:tcPr>
          <w:p>
            <w:pPr>
              <w:jc w:val="center"/>
              <w:spacing w:after="0"/>
              <w:rPr>
                <w:sz w:val="20"/>
                <w:szCs w:val="20"/>
                <w:color w:val="auto"/>
              </w:rPr>
            </w:pPr>
            <w:r>
              <w:rPr>
                <w:rFonts w:ascii="Arial" w:cs="Arial" w:eastAsia="Arial" w:hAnsi="Arial"/>
                <w:sz w:val="18"/>
                <w:szCs w:val="18"/>
                <w:color w:val="auto"/>
              </w:rPr>
              <w:t>54%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67%</w:t>
            </w:r>
          </w:p>
        </w:tc>
      </w:tr>
      <w:tr>
        <w:trPr>
          <w:trHeight w:val="258"/>
        </w:trPr>
        <w:tc>
          <w:tcPr>
            <w:tcW w:w="3700" w:type="dxa"/>
            <w:vAlign w:val="bottom"/>
            <w:tcBorders>
              <w:left w:val="single" w:sz="8" w:color="auto"/>
            </w:tcBorders>
          </w:tcPr>
          <w:p>
            <w:pPr>
              <w:ind w:left="80"/>
              <w:spacing w:after="0" w:line="258" w:lineRule="exact"/>
              <w:rPr>
                <w:sz w:val="20"/>
                <w:szCs w:val="20"/>
                <w:color w:val="auto"/>
              </w:rPr>
            </w:pPr>
            <w:r>
              <w:rPr>
                <w:rFonts w:ascii="Arial" w:cs="Arial" w:eastAsia="Arial" w:hAnsi="Arial"/>
                <w:sz w:val="18"/>
                <w:szCs w:val="18"/>
                <w:color w:val="auto"/>
              </w:rPr>
              <w:t xml:space="preserve">Digital monetary transactions </w:t>
            </w:r>
            <w:r>
              <w:rPr>
                <w:rFonts w:ascii="Arial" w:cs="Arial" w:eastAsia="Arial" w:hAnsi="Arial"/>
                <w:sz w:val="29"/>
                <w:szCs w:val="29"/>
                <w:color w:val="auto"/>
                <w:vertAlign w:val="superscript"/>
              </w:rPr>
              <w:t>(3)</w:t>
            </w:r>
          </w:p>
        </w:tc>
        <w:tc>
          <w:tcPr>
            <w:tcW w:w="276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BCP</w:t>
            </w:r>
          </w:p>
        </w:tc>
        <w:tc>
          <w:tcPr>
            <w:tcW w:w="1100" w:type="dxa"/>
            <w:vAlign w:val="bottom"/>
          </w:tcPr>
          <w:p>
            <w:pPr>
              <w:jc w:val="center"/>
              <w:spacing w:after="0"/>
              <w:rPr>
                <w:sz w:val="20"/>
                <w:szCs w:val="20"/>
                <w:color w:val="auto"/>
              </w:rPr>
            </w:pPr>
            <w:r>
              <w:rPr>
                <w:rFonts w:ascii="Arial" w:cs="Arial" w:eastAsia="Arial" w:hAnsi="Arial"/>
                <w:sz w:val="18"/>
                <w:szCs w:val="18"/>
                <w:color w:val="auto"/>
              </w:rPr>
              <w:t>44%</w:t>
            </w:r>
          </w:p>
        </w:tc>
        <w:tc>
          <w:tcPr>
            <w:tcW w:w="1100" w:type="dxa"/>
            <w:vAlign w:val="bottom"/>
          </w:tcPr>
          <w:p>
            <w:pPr>
              <w:jc w:val="center"/>
              <w:spacing w:after="0"/>
              <w:rPr>
                <w:sz w:val="20"/>
                <w:szCs w:val="20"/>
                <w:color w:val="auto"/>
              </w:rPr>
            </w:pPr>
            <w:r>
              <w:rPr>
                <w:rFonts w:ascii="Arial" w:cs="Arial" w:eastAsia="Arial" w:hAnsi="Arial"/>
                <w:sz w:val="18"/>
                <w:szCs w:val="18"/>
                <w:color w:val="auto"/>
              </w:rPr>
              <w:t>51%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66%</w:t>
            </w:r>
          </w:p>
        </w:tc>
      </w:tr>
      <w:tr>
        <w:trPr>
          <w:trHeight w:val="243"/>
        </w:trPr>
        <w:tc>
          <w:tcPr>
            <w:tcW w:w="37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Transactional cost by unit</w:t>
            </w:r>
          </w:p>
        </w:tc>
        <w:tc>
          <w:tcPr>
            <w:tcW w:w="27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BCP</w:t>
            </w:r>
          </w:p>
        </w:tc>
        <w:tc>
          <w:tcPr>
            <w:tcW w:w="1100" w:type="dxa"/>
            <w:vAlign w:val="bottom"/>
          </w:tcPr>
          <w:p>
            <w:pPr>
              <w:jc w:val="center"/>
              <w:spacing w:after="0"/>
              <w:rPr>
                <w:sz w:val="20"/>
                <w:szCs w:val="20"/>
                <w:color w:val="auto"/>
              </w:rPr>
            </w:pPr>
            <w:r>
              <w:rPr>
                <w:rFonts w:ascii="Arial" w:cs="Arial" w:eastAsia="Arial" w:hAnsi="Arial"/>
                <w:sz w:val="18"/>
                <w:szCs w:val="18"/>
                <w:color w:val="auto"/>
              </w:rPr>
              <w:t>0.29</w:t>
            </w:r>
          </w:p>
        </w:tc>
        <w:tc>
          <w:tcPr>
            <w:tcW w:w="1100" w:type="dxa"/>
            <w:vAlign w:val="bottom"/>
          </w:tcPr>
          <w:p>
            <w:pPr>
              <w:jc w:val="center"/>
              <w:spacing w:after="0"/>
              <w:rPr>
                <w:sz w:val="20"/>
                <w:szCs w:val="20"/>
                <w:color w:val="auto"/>
              </w:rPr>
            </w:pPr>
            <w:r>
              <w:rPr>
                <w:rFonts w:ascii="Arial" w:cs="Arial" w:eastAsia="Arial" w:hAnsi="Arial"/>
                <w:sz w:val="18"/>
                <w:szCs w:val="18"/>
                <w:color w:val="auto"/>
              </w:rPr>
              <w:t>0.19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0.08</w:t>
            </w:r>
          </w:p>
        </w:tc>
      </w:tr>
      <w:tr>
        <w:trPr>
          <w:trHeight w:val="330"/>
        </w:trPr>
        <w:tc>
          <w:tcPr>
            <w:tcW w:w="3700" w:type="dxa"/>
            <w:vAlign w:val="bottom"/>
            <w:tcBorders>
              <w:left w:val="single" w:sz="8" w:color="auto"/>
            </w:tcBorders>
          </w:tcPr>
          <w:p>
            <w:pPr>
              <w:ind w:left="80"/>
              <w:spacing w:after="0" w:line="330" w:lineRule="exact"/>
              <w:rPr>
                <w:sz w:val="20"/>
                <w:szCs w:val="20"/>
                <w:color w:val="auto"/>
              </w:rPr>
            </w:pPr>
            <w:r>
              <w:rPr>
                <w:rFonts w:ascii="Arial" w:cs="Arial" w:eastAsia="Arial" w:hAnsi="Arial"/>
                <w:sz w:val="18"/>
                <w:szCs w:val="18"/>
                <w:color w:val="auto"/>
              </w:rPr>
              <w:t xml:space="preserve">Disbursements through leads </w:t>
            </w:r>
            <w:r>
              <w:rPr>
                <w:rFonts w:ascii="Arial" w:cs="Arial" w:eastAsia="Arial" w:hAnsi="Arial"/>
                <w:sz w:val="30"/>
                <w:szCs w:val="30"/>
                <w:color w:val="auto"/>
                <w:vertAlign w:val="superscript"/>
              </w:rPr>
              <w:t>(4)</w:t>
            </w:r>
          </w:p>
        </w:tc>
        <w:tc>
          <w:tcPr>
            <w:tcW w:w="276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Mibanco</w:t>
            </w:r>
          </w:p>
        </w:tc>
        <w:tc>
          <w:tcPr>
            <w:tcW w:w="1100" w:type="dxa"/>
            <w:vAlign w:val="bottom"/>
          </w:tcPr>
          <w:p>
            <w:pPr>
              <w:jc w:val="center"/>
              <w:spacing w:after="0"/>
              <w:rPr>
                <w:sz w:val="20"/>
                <w:szCs w:val="20"/>
                <w:color w:val="auto"/>
              </w:rPr>
            </w:pPr>
            <w:r>
              <w:rPr>
                <w:rFonts w:ascii="Arial" w:cs="Arial" w:eastAsia="Arial" w:hAnsi="Arial"/>
                <w:sz w:val="18"/>
                <w:szCs w:val="18"/>
                <w:color w:val="auto"/>
              </w:rPr>
              <w:t>46%</w:t>
            </w:r>
          </w:p>
        </w:tc>
        <w:tc>
          <w:tcPr>
            <w:tcW w:w="1100" w:type="dxa"/>
            <w:vAlign w:val="bottom"/>
          </w:tcPr>
          <w:p>
            <w:pPr>
              <w:jc w:val="center"/>
              <w:spacing w:after="0"/>
              <w:rPr>
                <w:sz w:val="20"/>
                <w:szCs w:val="20"/>
                <w:color w:val="auto"/>
              </w:rPr>
            </w:pPr>
            <w:r>
              <w:rPr>
                <w:rFonts w:ascii="Arial" w:cs="Arial" w:eastAsia="Arial" w:hAnsi="Arial"/>
                <w:sz w:val="18"/>
                <w:szCs w:val="18"/>
                <w:color w:val="auto"/>
              </w:rPr>
              <w:t>73%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76%</w:t>
            </w:r>
          </w:p>
        </w:tc>
      </w:tr>
      <w:tr>
        <w:trPr>
          <w:trHeight w:val="289"/>
        </w:trPr>
        <w:tc>
          <w:tcPr>
            <w:tcW w:w="6460" w:type="dxa"/>
            <w:vAlign w:val="bottom"/>
            <w:tcBorders>
              <w:left w:val="single" w:sz="8" w:color="auto"/>
              <w:right w:val="single" w:sz="8" w:color="auto"/>
            </w:tcBorders>
            <w:gridSpan w:val="2"/>
          </w:tcPr>
          <w:p>
            <w:pPr>
              <w:ind w:left="80"/>
              <w:spacing w:after="0" w:line="289" w:lineRule="exact"/>
              <w:rPr>
                <w:sz w:val="20"/>
                <w:szCs w:val="20"/>
                <w:color w:val="auto"/>
              </w:rPr>
            </w:pPr>
            <w:r>
              <w:rPr>
                <w:rFonts w:ascii="Arial" w:cs="Arial" w:eastAsia="Arial" w:hAnsi="Arial"/>
                <w:sz w:val="18"/>
                <w:szCs w:val="18"/>
                <w:color w:val="auto"/>
              </w:rPr>
              <w:t xml:space="preserve">Disbursements through alternative channels </w:t>
            </w:r>
            <w:r>
              <w:rPr>
                <w:rFonts w:ascii="Arial" w:cs="Arial" w:eastAsia="Arial" w:hAnsi="Arial"/>
                <w:sz w:val="30"/>
                <w:szCs w:val="30"/>
                <w:color w:val="auto"/>
                <w:vertAlign w:val="superscript"/>
              </w:rPr>
              <w:t>(5)</w:t>
            </w: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Mibanco</w:t>
            </w:r>
          </w:p>
        </w:tc>
        <w:tc>
          <w:tcPr>
            <w:tcW w:w="1100" w:type="dxa"/>
            <w:vAlign w:val="bottom"/>
          </w:tcPr>
          <w:p>
            <w:pPr>
              <w:jc w:val="center"/>
              <w:spacing w:after="0"/>
              <w:rPr>
                <w:sz w:val="20"/>
                <w:szCs w:val="20"/>
                <w:color w:val="auto"/>
              </w:rPr>
            </w:pPr>
            <w:r>
              <w:rPr>
                <w:rFonts w:ascii="Arial" w:cs="Arial" w:eastAsia="Arial" w:hAnsi="Arial"/>
                <w:sz w:val="18"/>
                <w:szCs w:val="18"/>
                <w:color w:val="auto"/>
              </w:rPr>
              <w:t>16%</w:t>
            </w:r>
          </w:p>
        </w:tc>
        <w:tc>
          <w:tcPr>
            <w:tcW w:w="1100" w:type="dxa"/>
            <w:vAlign w:val="bottom"/>
          </w:tcPr>
          <w:p>
            <w:pPr>
              <w:jc w:val="center"/>
              <w:spacing w:after="0"/>
              <w:rPr>
                <w:sz w:val="20"/>
                <w:szCs w:val="20"/>
                <w:color w:val="auto"/>
              </w:rPr>
            </w:pPr>
            <w:r>
              <w:rPr>
                <w:rFonts w:ascii="Arial" w:cs="Arial" w:eastAsia="Arial" w:hAnsi="Arial"/>
                <w:sz w:val="18"/>
                <w:szCs w:val="18"/>
                <w:color w:val="auto"/>
              </w:rPr>
              <w:t>44%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45%</w:t>
            </w:r>
          </w:p>
        </w:tc>
      </w:tr>
      <w:tr>
        <w:trPr>
          <w:trHeight w:val="246"/>
        </w:trPr>
        <w:tc>
          <w:tcPr>
            <w:tcW w:w="3700" w:type="dxa"/>
            <w:vAlign w:val="bottom"/>
            <w:tcBorders>
              <w:left w:val="single" w:sz="8" w:color="auto"/>
              <w:bottom w:val="single" w:sz="8" w:color="auto"/>
            </w:tcBorders>
          </w:tcPr>
          <w:p>
            <w:pPr>
              <w:ind w:left="80"/>
              <w:spacing w:after="0" w:line="241" w:lineRule="exact"/>
              <w:rPr>
                <w:sz w:val="20"/>
                <w:szCs w:val="20"/>
                <w:color w:val="auto"/>
              </w:rPr>
            </w:pPr>
            <w:r>
              <w:rPr>
                <w:rFonts w:ascii="Arial" w:cs="Arial" w:eastAsia="Arial" w:hAnsi="Arial"/>
                <w:sz w:val="17"/>
                <w:szCs w:val="17"/>
                <w:color w:val="auto"/>
              </w:rPr>
              <w:t xml:space="preserve">Mibanco Productivity </w:t>
            </w:r>
            <w:r>
              <w:rPr>
                <w:rFonts w:ascii="Arial" w:cs="Arial" w:eastAsia="Arial" w:hAnsi="Arial"/>
                <w:sz w:val="27"/>
                <w:szCs w:val="27"/>
                <w:color w:val="auto"/>
                <w:vertAlign w:val="superscript"/>
              </w:rPr>
              <w:t>(6)</w:t>
            </w:r>
          </w:p>
        </w:tc>
        <w:tc>
          <w:tcPr>
            <w:tcW w:w="276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Mibanco</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13.1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24.4</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25.9</w:t>
            </w:r>
          </w:p>
        </w:tc>
      </w:tr>
      <w:tr>
        <w:trPr>
          <w:trHeight w:val="237"/>
        </w:trPr>
        <w:tc>
          <w:tcPr>
            <w:tcW w:w="37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Cashless</w:t>
            </w:r>
          </w:p>
        </w:tc>
        <w:tc>
          <w:tcPr>
            <w:tcW w:w="27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r>
      <w:tr>
        <w:trPr>
          <w:trHeight w:val="295"/>
        </w:trPr>
        <w:tc>
          <w:tcPr>
            <w:tcW w:w="3700" w:type="dxa"/>
            <w:vAlign w:val="bottom"/>
            <w:tcBorders>
              <w:left w:val="single" w:sz="8" w:color="auto"/>
            </w:tcBorders>
          </w:tcPr>
          <w:p>
            <w:pPr>
              <w:ind w:left="80"/>
              <w:spacing w:after="0" w:line="295" w:lineRule="exact"/>
              <w:rPr>
                <w:sz w:val="20"/>
                <w:szCs w:val="20"/>
                <w:color w:val="auto"/>
              </w:rPr>
            </w:pPr>
            <w:r>
              <w:rPr>
                <w:rFonts w:ascii="Arial" w:cs="Arial" w:eastAsia="Arial" w:hAnsi="Arial"/>
                <w:sz w:val="18"/>
                <w:szCs w:val="18"/>
                <w:color w:val="auto"/>
              </w:rPr>
              <w:t xml:space="preserve">Cashless transactions </w:t>
            </w:r>
            <w:r>
              <w:rPr>
                <w:rFonts w:ascii="Arial" w:cs="Arial" w:eastAsia="Arial" w:hAnsi="Arial"/>
                <w:sz w:val="30"/>
                <w:szCs w:val="30"/>
                <w:color w:val="auto"/>
                <w:vertAlign w:val="superscript"/>
              </w:rPr>
              <w:t>(7)</w:t>
            </w:r>
          </w:p>
        </w:tc>
        <w:tc>
          <w:tcPr>
            <w:tcW w:w="276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BCP</w:t>
            </w:r>
          </w:p>
        </w:tc>
        <w:tc>
          <w:tcPr>
            <w:tcW w:w="1100" w:type="dxa"/>
            <w:vAlign w:val="bottom"/>
          </w:tcPr>
          <w:p>
            <w:pPr>
              <w:jc w:val="center"/>
              <w:spacing w:after="0"/>
              <w:rPr>
                <w:sz w:val="20"/>
                <w:szCs w:val="20"/>
                <w:color w:val="auto"/>
              </w:rPr>
            </w:pPr>
            <w:r>
              <w:rPr>
                <w:rFonts w:ascii="Arial" w:cs="Arial" w:eastAsia="Arial" w:hAnsi="Arial"/>
                <w:sz w:val="18"/>
                <w:szCs w:val="18"/>
                <w:color w:val="auto"/>
              </w:rPr>
              <w:t>36%</w:t>
            </w:r>
          </w:p>
        </w:tc>
        <w:tc>
          <w:tcPr>
            <w:tcW w:w="1100" w:type="dxa"/>
            <w:vAlign w:val="bottom"/>
          </w:tcPr>
          <w:p>
            <w:pPr>
              <w:jc w:val="center"/>
              <w:spacing w:after="0"/>
              <w:rPr>
                <w:sz w:val="20"/>
                <w:szCs w:val="20"/>
                <w:color w:val="auto"/>
              </w:rPr>
            </w:pPr>
            <w:r>
              <w:rPr>
                <w:rFonts w:ascii="Arial" w:cs="Arial" w:eastAsia="Arial" w:hAnsi="Arial"/>
                <w:sz w:val="18"/>
                <w:szCs w:val="18"/>
                <w:color w:val="auto"/>
              </w:rPr>
              <w:t>41%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48%</w:t>
            </w:r>
          </w:p>
        </w:tc>
      </w:tr>
      <w:tr>
        <w:trPr>
          <w:trHeight w:val="240"/>
        </w:trPr>
        <w:tc>
          <w:tcPr>
            <w:tcW w:w="37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Mobile Banking rating Apple</w:t>
            </w:r>
          </w:p>
        </w:tc>
        <w:tc>
          <w:tcPr>
            <w:tcW w:w="27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BCP</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3.1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3.7</w:t>
            </w:r>
          </w:p>
        </w:tc>
      </w:tr>
      <w:tr>
        <w:trPr>
          <w:trHeight w:val="251"/>
        </w:trPr>
        <w:tc>
          <w:tcPr>
            <w:tcW w:w="37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i w:val="1"/>
                <w:iCs w:val="1"/>
                <w:color w:val="auto"/>
              </w:rPr>
              <w:t>Digital Acquisition</w:t>
            </w:r>
          </w:p>
        </w:tc>
        <w:tc>
          <w:tcPr>
            <w:tcW w:w="27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70"/>
        </w:trPr>
        <w:tc>
          <w:tcPr>
            <w:tcW w:w="3700" w:type="dxa"/>
            <w:vAlign w:val="bottom"/>
            <w:tcBorders>
              <w:left w:val="single" w:sz="8" w:color="auto"/>
              <w:bottom w:val="single" w:sz="8" w:color="auto"/>
            </w:tcBorders>
          </w:tcPr>
          <w:p>
            <w:pPr>
              <w:ind w:left="80"/>
              <w:spacing w:after="0" w:line="265" w:lineRule="exact"/>
              <w:rPr>
                <w:sz w:val="20"/>
                <w:szCs w:val="20"/>
                <w:color w:val="auto"/>
              </w:rPr>
            </w:pPr>
            <w:r>
              <w:rPr>
                <w:rFonts w:ascii="Arial" w:cs="Arial" w:eastAsia="Arial" w:hAnsi="Arial"/>
                <w:sz w:val="18"/>
                <w:szCs w:val="18"/>
                <w:color w:val="auto"/>
              </w:rPr>
              <w:t xml:space="preserve">Digital sales </w:t>
            </w:r>
            <w:r>
              <w:rPr>
                <w:rFonts w:ascii="Arial" w:cs="Arial" w:eastAsia="Arial" w:hAnsi="Arial"/>
                <w:sz w:val="30"/>
                <w:szCs w:val="30"/>
                <w:color w:val="auto"/>
                <w:vertAlign w:val="superscript"/>
              </w:rPr>
              <w:t>(8)</w:t>
            </w:r>
          </w:p>
        </w:tc>
        <w:tc>
          <w:tcPr>
            <w:tcW w:w="276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BCP</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47%</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-2483485</wp:posOffset>
            </wp:positionV>
            <wp:extent cx="183515" cy="191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3515" cy="19177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-2467610</wp:posOffset>
            </wp:positionV>
            <wp:extent cx="247650" cy="175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7650" cy="17589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-2467610</wp:posOffset>
            </wp:positionV>
            <wp:extent cx="175895" cy="175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5895" cy="175895"/>
                    </a:xfrm>
                    <a:prstGeom prst="rect">
                      <a:avLst/>
                    </a:prstGeom>
                    <a:noFill/>
                  </pic:spPr>
                </pic:pic>
              </a:graphicData>
            </a:graphic>
          </wp:anchor>
        </w:drawing>
        <w:drawing>
          <wp:anchor simplePos="0" relativeHeight="251657728" behindDoc="1" locked="0" layoutInCell="0" allowOverlap="1">
            <wp:simplePos x="0" y="0"/>
            <wp:positionH relativeFrom="column">
              <wp:posOffset>3898900</wp:posOffset>
            </wp:positionH>
            <wp:positionV relativeFrom="paragraph">
              <wp:posOffset>-1932305</wp:posOffset>
            </wp:positionV>
            <wp:extent cx="135890" cy="143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5890" cy="14351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-1748790</wp:posOffset>
            </wp:positionV>
            <wp:extent cx="135890" cy="143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5890" cy="14351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-1565275</wp:posOffset>
            </wp:positionV>
            <wp:extent cx="13589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5890" cy="12001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-1405255</wp:posOffset>
            </wp:positionV>
            <wp:extent cx="135890" cy="143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5890" cy="14351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-1221740</wp:posOffset>
            </wp:positionV>
            <wp:extent cx="135890" cy="143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5890" cy="14351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-1037590</wp:posOffset>
            </wp:positionV>
            <wp:extent cx="135890" cy="143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5890" cy="14351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-694055</wp:posOffset>
            </wp:positionV>
            <wp:extent cx="135890"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5890" cy="12001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-534670</wp:posOffset>
            </wp:positionV>
            <wp:extent cx="135890" cy="143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5890" cy="14351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-191135</wp:posOffset>
            </wp:positionV>
            <wp:extent cx="135890" cy="143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5890" cy="143510"/>
                    </a:xfrm>
                    <a:prstGeom prst="rect">
                      <a:avLst/>
                    </a:prstGeom>
                    <a:noFill/>
                  </pic:spPr>
                </pic:pic>
              </a:graphicData>
            </a:graphic>
          </wp:anchor>
        </w:drawing>
      </w:r>
    </w:p>
    <w:p>
      <w:pPr>
        <w:ind w:left="180" w:hanging="179"/>
        <w:spacing w:after="0"/>
        <w:tabs>
          <w:tab w:leader="none" w:pos="180" w:val="left"/>
        </w:tabs>
        <w:numPr>
          <w:ilvl w:val="0"/>
          <w:numId w:val="5"/>
        </w:numPr>
        <w:rPr>
          <w:rFonts w:ascii="Arial" w:cs="Arial" w:eastAsia="Arial" w:hAnsi="Arial"/>
          <w:sz w:val="12"/>
          <w:szCs w:val="12"/>
          <w:color w:val="auto"/>
        </w:rPr>
      </w:pPr>
      <w:r>
        <w:rPr>
          <w:rFonts w:ascii="Arial" w:cs="Arial" w:eastAsia="Arial" w:hAnsi="Arial"/>
          <w:sz w:val="12"/>
          <w:szCs w:val="12"/>
          <w:color w:val="auto"/>
        </w:rPr>
        <w:t>Figures for December 2019, 2021, and 2022</w:t>
      </w:r>
    </w:p>
    <w:p>
      <w:pPr>
        <w:ind w:firstLine="1"/>
        <w:spacing w:after="0" w:line="218" w:lineRule="auto"/>
        <w:tabs>
          <w:tab w:leader="none" w:pos="178" w:val="left"/>
        </w:tabs>
        <w:numPr>
          <w:ilvl w:val="0"/>
          <w:numId w:val="5"/>
        </w:numPr>
        <w:rPr>
          <w:rFonts w:ascii="Arial" w:cs="Arial" w:eastAsia="Arial" w:hAnsi="Arial"/>
          <w:sz w:val="12"/>
          <w:szCs w:val="12"/>
          <w:color w:val="auto"/>
        </w:rPr>
      </w:pPr>
      <w:r>
        <w:rPr>
          <w:rFonts w:ascii="Arial" w:cs="Arial" w:eastAsia="Arial" w:hAnsi="Arial"/>
          <w:sz w:val="12"/>
          <w:szCs w:val="12"/>
          <w:color w:val="auto"/>
        </w:rPr>
        <w:t>Digital Client: Retail Banking clients that conduct 50% of their monetary transactions through digital channels or have purchased an online in the last 12 months. Since this quarter Digital Clients includes Yapecard Clients. Digital clients/ Total Retail Banking clients.</w:t>
      </w:r>
    </w:p>
    <w:p>
      <w:pPr>
        <w:ind w:left="180" w:hanging="179"/>
        <w:spacing w:after="0" w:line="218" w:lineRule="auto"/>
        <w:tabs>
          <w:tab w:leader="none" w:pos="18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Retail Monetary Transactions conducted through Retail Banking, Internet Banking, Yape and Telecredito/Total Retail Monetary Transactions in Retail Banking.</w:t>
      </w:r>
    </w:p>
    <w:p>
      <w:pPr>
        <w:ind w:left="180" w:hanging="179"/>
        <w:spacing w:after="0" w:line="218" w:lineRule="auto"/>
        <w:tabs>
          <w:tab w:leader="none" w:pos="18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Disbursements generated through leads/Total disbursements.</w:t>
      </w:r>
    </w:p>
    <w:p>
      <w:pPr>
        <w:ind w:left="180" w:hanging="179"/>
        <w:spacing w:after="0" w:line="218" w:lineRule="auto"/>
        <w:tabs>
          <w:tab w:leader="none" w:pos="18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Disbursements conducted through alternative channels/Total disbursements.</w:t>
      </w:r>
    </w:p>
    <w:p>
      <w:pPr>
        <w:ind w:left="180" w:hanging="179"/>
        <w:spacing w:after="0" w:line="218" w:lineRule="auto"/>
        <w:tabs>
          <w:tab w:leader="none" w:pos="180" w:val="left"/>
        </w:tabs>
        <w:numPr>
          <w:ilvl w:val="0"/>
          <w:numId w:val="5"/>
        </w:numPr>
        <w:rPr>
          <w:rFonts w:ascii="Arial" w:cs="Arial" w:eastAsia="Arial" w:hAnsi="Arial"/>
          <w:sz w:val="12"/>
          <w:szCs w:val="12"/>
          <w:color w:val="auto"/>
        </w:rPr>
      </w:pPr>
      <w:r>
        <w:rPr>
          <w:rFonts w:ascii="Arial" w:cs="Arial" w:eastAsia="Arial" w:hAnsi="Arial"/>
          <w:sz w:val="12"/>
          <w:szCs w:val="12"/>
          <w:color w:val="auto"/>
        </w:rPr>
        <w:t>Number of loans disbursed/ Total relationship managers.</w:t>
      </w:r>
    </w:p>
    <w:p>
      <w:pPr>
        <w:ind w:left="180" w:hanging="179"/>
        <w:spacing w:after="0" w:line="218" w:lineRule="auto"/>
        <w:tabs>
          <w:tab w:leader="none" w:pos="180" w:val="left"/>
        </w:tabs>
        <w:numPr>
          <w:ilvl w:val="0"/>
          <w:numId w:val="5"/>
        </w:numPr>
        <w:rPr>
          <w:rFonts w:ascii="Arial" w:cs="Arial" w:eastAsia="Arial" w:hAnsi="Arial"/>
          <w:sz w:val="12"/>
          <w:szCs w:val="12"/>
          <w:color w:val="auto"/>
        </w:rPr>
      </w:pPr>
      <w:r>
        <w:rPr>
          <w:rFonts w:ascii="Arial" w:cs="Arial" w:eastAsia="Arial" w:hAnsi="Arial"/>
          <w:sz w:val="12"/>
          <w:szCs w:val="12"/>
          <w:color w:val="auto"/>
        </w:rPr>
        <w:t>Amount transacted through Mobile Banking, Internet Banking, Yape y POS/ Total amount transacted through Retail Banking.</w:t>
      </w:r>
    </w:p>
    <w:p>
      <w:pPr>
        <w:ind w:left="180" w:hanging="179"/>
        <w:spacing w:after="0" w:line="218" w:lineRule="auto"/>
        <w:tabs>
          <w:tab w:leader="none" w:pos="180" w:val="left"/>
        </w:tabs>
        <w:numPr>
          <w:ilvl w:val="0"/>
          <w:numId w:val="5"/>
        </w:numPr>
        <w:rPr>
          <w:rFonts w:ascii="Arial" w:cs="Arial" w:eastAsia="Arial" w:hAnsi="Arial"/>
          <w:sz w:val="12"/>
          <w:szCs w:val="12"/>
          <w:color w:val="auto"/>
        </w:rPr>
      </w:pPr>
      <w:r>
        <w:rPr>
          <w:rFonts w:ascii="Arial" w:cs="Arial" w:eastAsia="Arial" w:hAnsi="Arial"/>
          <w:sz w:val="12"/>
          <w:szCs w:val="12"/>
          <w:color w:val="auto"/>
        </w:rPr>
        <w:t>Units sold by Retail Banking through digital channels/ Total number of units sold by Retail Banking.</w:t>
      </w:r>
    </w:p>
    <w:p>
      <w:pPr>
        <w:ind w:left="180" w:hanging="179"/>
        <w:spacing w:after="0"/>
        <w:tabs>
          <w:tab w:leader="none" w:pos="18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Retail Banking loans disbursed through digital channels/ Total Retail banking loans disbursed.</w:t>
      </w:r>
    </w:p>
    <w:p>
      <w:pPr>
        <w:spacing w:after="0" w:line="338"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714184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14" w:name="page15"/>
    <w:bookmarkEnd w:id="14"/>
    <w:p>
      <w:pPr>
        <w:ind w:left="2960"/>
        <w:spacing w:after="0"/>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336550</wp:posOffset>
            </wp:positionV>
            <wp:extent cx="7141845" cy="535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141845" cy="239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845" cy="239395"/>
                    </a:xfrm>
                    <a:prstGeom prst="rect">
                      <a:avLst/>
                    </a:prstGeom>
                    <a:noFill/>
                  </pic:spPr>
                </pic:pic>
              </a:graphicData>
            </a:graphic>
          </wp:anchor>
        </w:drawing>
      </w:r>
    </w:p>
    <w:p>
      <w:pPr>
        <w:spacing w:after="0" w:line="36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FFFFFF"/>
        </w:rPr>
        <w:t>Credicorp’s Strategy Update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Disruptive Initiatives: Yape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Yape continues to grow focused on three sustaining pillars: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 the main payment method used in the country:</w:t>
      </w:r>
    </w:p>
    <w:p>
      <w:pPr>
        <w:spacing w:after="0" w:line="180" w:lineRule="exact"/>
        <w:rPr>
          <w:sz w:val="20"/>
          <w:szCs w:val="20"/>
          <w:color w:val="auto"/>
        </w:rPr>
      </w:pPr>
    </w:p>
    <w:p>
      <w:pPr>
        <w:jc w:val="both"/>
        <w:ind w:left="300"/>
        <w:spacing w:after="0" w:line="242" w:lineRule="auto"/>
        <w:rPr>
          <w:sz w:val="20"/>
          <w:szCs w:val="20"/>
          <w:color w:val="auto"/>
        </w:rPr>
      </w:pPr>
      <w:r>
        <w:rPr>
          <w:rFonts w:ascii="Arial" w:cs="Arial" w:eastAsia="Arial" w:hAnsi="Arial"/>
          <w:sz w:val="17"/>
          <w:szCs w:val="17"/>
          <w:color w:val="auto"/>
        </w:rPr>
        <w:t>At the end of 2022, Yape’s user base topped 11.9 million, more than 70% of whom are active users. To bolster the user base and levels of usability, Yape continues to roll out campaigns to encourage affiliation; increase the use of the application at different microbusinesses; and boost the use of QR codes provided by POS. In 2022, 13 million payments were made with QR from POS for a total of S/484 million. This number of payments represents 7% of total payments through POS at BCP.</w:t>
      </w:r>
    </w:p>
    <w:p>
      <w:pPr>
        <w:spacing w:after="0" w:line="155" w:lineRule="exact"/>
        <w:rPr>
          <w:sz w:val="20"/>
          <w:szCs w:val="20"/>
          <w:color w:val="auto"/>
        </w:rPr>
      </w:pPr>
    </w:p>
    <w:p>
      <w:pPr>
        <w:jc w:val="both"/>
        <w:ind w:left="300"/>
        <w:spacing w:after="0" w:line="263" w:lineRule="auto"/>
        <w:rPr>
          <w:sz w:val="20"/>
          <w:szCs w:val="20"/>
          <w:color w:val="auto"/>
        </w:rPr>
      </w:pPr>
      <w:r>
        <w:rPr>
          <w:rFonts w:ascii="Arial" w:cs="Arial" w:eastAsia="Arial" w:hAnsi="Arial"/>
          <w:sz w:val="17"/>
          <w:szCs w:val="17"/>
          <w:color w:val="auto"/>
        </w:rPr>
        <w:t>On the mobile top-off front, we continued to make considerable headway. Since its launch in November 2021, more than 63 million top-offs have been made. This led YAPE to register an MS of 25% of the mobile phone top-off market.</w:t>
      </w:r>
    </w:p>
    <w:p>
      <w:pPr>
        <w:spacing w:after="0" w:line="138" w:lineRule="exact"/>
        <w:rPr>
          <w:sz w:val="20"/>
          <w:szCs w:val="20"/>
          <w:color w:val="auto"/>
        </w:rPr>
      </w:pPr>
    </w:p>
    <w:p>
      <w:pPr>
        <w:jc w:val="both"/>
        <w:ind w:left="300"/>
        <w:spacing w:after="0" w:line="247" w:lineRule="auto"/>
        <w:rPr>
          <w:sz w:val="20"/>
          <w:szCs w:val="20"/>
          <w:color w:val="auto"/>
        </w:rPr>
      </w:pPr>
      <w:r>
        <w:rPr>
          <w:rFonts w:ascii="Arial" w:cs="Arial" w:eastAsia="Arial" w:hAnsi="Arial"/>
          <w:sz w:val="17"/>
          <w:szCs w:val="17"/>
          <w:color w:val="auto"/>
        </w:rPr>
        <w:t>On November 1st, Yape rolled out a web-based payment application. More than 180 businesses signed up for this functionality in only two months and more than 180 thousand transactions were processed. It is important to note that this was achieved without the need for advertising campaigns.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 present in the daily lives of all Yaperos:</w:t>
      </w:r>
    </w:p>
    <w:p>
      <w:pPr>
        <w:spacing w:after="0" w:line="180" w:lineRule="exact"/>
        <w:rPr>
          <w:sz w:val="20"/>
          <w:szCs w:val="20"/>
          <w:color w:val="auto"/>
        </w:rPr>
      </w:pPr>
    </w:p>
    <w:p>
      <w:pPr>
        <w:jc w:val="both"/>
        <w:ind w:left="300"/>
        <w:spacing w:after="0" w:line="247" w:lineRule="auto"/>
        <w:rPr>
          <w:sz w:val="20"/>
          <w:szCs w:val="20"/>
          <w:color w:val="auto"/>
        </w:rPr>
      </w:pPr>
      <w:r>
        <w:rPr>
          <w:rFonts w:ascii="Arial" w:cs="Arial" w:eastAsia="Arial" w:hAnsi="Arial"/>
          <w:sz w:val="17"/>
          <w:szCs w:val="17"/>
          <w:color w:val="auto"/>
        </w:rPr>
        <w:t>In September, we launched Yape Promos, a functionality that allows clients to utilize discounts at different establishments, including restaurants, healthcare providers, transportation companies and affiliated entertainment centers. In the 4 months since it was rolled out, Yape Promos registered 270,000 transactions for a total of S/ 5.6 million.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Solve the financial needs of Yaperos:</w:t>
      </w:r>
    </w:p>
    <w:p>
      <w:pPr>
        <w:spacing w:after="0" w:line="180" w:lineRule="exact"/>
        <w:rPr>
          <w:sz w:val="20"/>
          <w:szCs w:val="20"/>
          <w:color w:val="auto"/>
        </w:rPr>
      </w:pPr>
    </w:p>
    <w:p>
      <w:pPr>
        <w:jc w:val="both"/>
        <w:ind w:left="300"/>
        <w:spacing w:after="0" w:line="263" w:lineRule="auto"/>
        <w:rPr>
          <w:sz w:val="20"/>
          <w:szCs w:val="20"/>
          <w:color w:val="auto"/>
        </w:rPr>
      </w:pPr>
      <w:r>
        <w:rPr>
          <w:rFonts w:ascii="Arial" w:cs="Arial" w:eastAsia="Arial" w:hAnsi="Arial"/>
          <w:sz w:val="17"/>
          <w:szCs w:val="17"/>
          <w:color w:val="auto"/>
        </w:rPr>
        <w:t>Yape launched a Microloan functionality at the end of August. At the close of 2022, 130 thousand loans were disbursed. This functionality has successfully referred Yaperos with higher financing needs to the corresponding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7141845" cy="20053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845" cy="200533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Borders>
              <w:top w:val="single" w:sz="8" w:color="auto"/>
              <w:bottom w:val="single" w:sz="8" w:color="auto"/>
            </w:tcBorders>
          </w:tcPr>
          <w:p>
            <w:pPr>
              <w:spacing w:after="0"/>
              <w:rPr>
                <w:sz w:val="22"/>
                <w:szCs w:val="22"/>
                <w:color w:val="auto"/>
              </w:rPr>
            </w:pPr>
          </w:p>
        </w:tc>
        <w:tc>
          <w:tcPr>
            <w:tcW w:w="5400" w:type="dxa"/>
            <w:vAlign w:val="bottom"/>
            <w:tcBorders>
              <w:top w:val="single" w:sz="8" w:color="auto"/>
              <w:bottom w:val="single" w:sz="8" w:color="auto"/>
            </w:tcBorders>
            <w:shd w:val="clear" w:color="auto" w:fill="2AD2C9"/>
          </w:tcPr>
          <w:p>
            <w:pPr>
              <w:ind w:left="100"/>
              <w:spacing w:after="0" w:line="252" w:lineRule="exact"/>
              <w:rPr>
                <w:sz w:val="20"/>
                <w:szCs w:val="20"/>
                <w:color w:val="auto"/>
              </w:rPr>
            </w:pPr>
            <w:r>
              <w:rPr>
                <w:rFonts w:ascii="Arial" w:cs="Arial" w:eastAsia="Arial" w:hAnsi="Arial"/>
                <w:sz w:val="18"/>
                <w:szCs w:val="18"/>
                <w:b w:val="1"/>
                <w:bCs w:val="1"/>
                <w:i w:val="1"/>
                <w:iCs w:val="1"/>
                <w:color w:val="auto"/>
              </w:rPr>
              <w:t xml:space="preserve">Disruptive Initiatives: Yape </w:t>
            </w:r>
            <w:r>
              <w:rPr>
                <w:rFonts w:ascii="Arial" w:cs="Arial" w:eastAsia="Arial" w:hAnsi="Arial"/>
                <w:sz w:val="29"/>
                <w:szCs w:val="29"/>
                <w:b w:val="1"/>
                <w:bCs w:val="1"/>
                <w:i w:val="1"/>
                <w:iCs w:val="1"/>
                <w:color w:val="auto"/>
                <w:vertAlign w:val="superscript"/>
              </w:rPr>
              <w:t>(1)</w:t>
            </w:r>
          </w:p>
        </w:tc>
        <w:tc>
          <w:tcPr>
            <w:tcW w:w="2180" w:type="dxa"/>
            <w:vAlign w:val="bottom"/>
            <w:tcBorders>
              <w:top w:val="single" w:sz="8" w:color="auto"/>
              <w:bottom w:val="single" w:sz="8" w:color="auto"/>
            </w:tcBorders>
            <w:shd w:val="clear" w:color="auto" w:fill="2AD2C9"/>
          </w:tcPr>
          <w:p>
            <w:pPr>
              <w:jc w:val="center"/>
              <w:ind w:left="268"/>
              <w:spacing w:after="0"/>
              <w:rPr>
                <w:sz w:val="20"/>
                <w:szCs w:val="20"/>
                <w:color w:val="auto"/>
              </w:rPr>
            </w:pPr>
            <w:r>
              <w:rPr>
                <w:rFonts w:ascii="Arial" w:cs="Arial" w:eastAsia="Arial" w:hAnsi="Arial"/>
                <w:sz w:val="18"/>
                <w:szCs w:val="18"/>
                <w:b w:val="1"/>
                <w:bCs w:val="1"/>
                <w:i w:val="1"/>
                <w:iCs w:val="1"/>
                <w:color w:val="auto"/>
              </w:rPr>
              <w:t>4Q20</w:t>
            </w:r>
          </w:p>
        </w:tc>
        <w:tc>
          <w:tcPr>
            <w:tcW w:w="180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w w:val="99"/>
              </w:rPr>
              <w:t>4Q21</w:t>
            </w:r>
          </w:p>
        </w:tc>
        <w:tc>
          <w:tcPr>
            <w:tcW w:w="184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i w:val="1"/>
                <w:iCs w:val="1"/>
                <w:color w:val="auto"/>
                <w:w w:val="99"/>
              </w:rPr>
              <w:t>4Q22</w:t>
            </w:r>
          </w:p>
        </w:tc>
      </w:tr>
      <w:tr>
        <w:trPr>
          <w:trHeight w:val="224"/>
        </w:trPr>
        <w:tc>
          <w:tcPr>
            <w:tcW w:w="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Day to Day</w:t>
            </w:r>
          </w:p>
        </w:tc>
        <w:tc>
          <w:tcPr>
            <w:tcW w:w="2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5400" w:type="dxa"/>
            <w:vAlign w:val="bottom"/>
          </w:tcPr>
          <w:p>
            <w:pPr>
              <w:ind w:left="100"/>
              <w:spacing w:after="0" w:line="245" w:lineRule="exact"/>
              <w:rPr>
                <w:sz w:val="20"/>
                <w:szCs w:val="20"/>
                <w:color w:val="auto"/>
              </w:rPr>
            </w:pPr>
            <w:r>
              <w:rPr>
                <w:rFonts w:ascii="Arial" w:cs="Arial" w:eastAsia="Arial" w:hAnsi="Arial"/>
                <w:sz w:val="17"/>
                <w:szCs w:val="17"/>
                <w:color w:val="auto"/>
              </w:rPr>
              <w:t xml:space="preserve">% Microbusiness users </w:t>
            </w:r>
            <w:r>
              <w:rPr>
                <w:rFonts w:ascii="Arial" w:cs="Arial" w:eastAsia="Arial" w:hAnsi="Arial"/>
                <w:sz w:val="28"/>
                <w:szCs w:val="28"/>
                <w:color w:val="auto"/>
                <w:vertAlign w:val="superscript"/>
              </w:rPr>
              <w:t>(2)</w:t>
            </w:r>
          </w:p>
        </w:tc>
        <w:tc>
          <w:tcPr>
            <w:tcW w:w="2180" w:type="dxa"/>
            <w:vAlign w:val="bottom"/>
          </w:tcPr>
          <w:p>
            <w:pPr>
              <w:jc w:val="center"/>
              <w:ind w:left="268"/>
              <w:spacing w:after="0"/>
              <w:rPr>
                <w:sz w:val="20"/>
                <w:szCs w:val="20"/>
                <w:color w:val="auto"/>
              </w:rPr>
            </w:pPr>
            <w:r>
              <w:rPr>
                <w:rFonts w:ascii="Arial" w:cs="Arial" w:eastAsia="Arial" w:hAnsi="Arial"/>
                <w:sz w:val="18"/>
                <w:szCs w:val="18"/>
                <w:color w:val="auto"/>
              </w:rPr>
              <w:t>12%</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19%</w:t>
            </w:r>
          </w:p>
        </w:tc>
      </w:tr>
      <w:tr>
        <w:trPr>
          <w:trHeight w:val="235"/>
        </w:trPr>
        <w:tc>
          <w:tcPr>
            <w:tcW w:w="2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Mobile phone top-ups (thousands)</w:t>
            </w:r>
          </w:p>
        </w:tc>
        <w:tc>
          <w:tcPr>
            <w:tcW w:w="2180" w:type="dxa"/>
            <w:vAlign w:val="bottom"/>
            <w:tcBorders>
              <w:bottom w:val="single" w:sz="8" w:color="auto"/>
            </w:tcBorders>
          </w:tcPr>
          <w:p>
            <w:pPr>
              <w:jc w:val="center"/>
              <w:ind w:left="268"/>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9,887</w:t>
            </w:r>
          </w:p>
        </w:tc>
      </w:tr>
      <w:tr>
        <w:trPr>
          <w:trHeight w:val="223"/>
        </w:trPr>
        <w:tc>
          <w:tcPr>
            <w:tcW w:w="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Cashless</w:t>
            </w:r>
          </w:p>
        </w:tc>
        <w:tc>
          <w:tcPr>
            <w:tcW w:w="2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Users (thousands)</w:t>
            </w:r>
          </w:p>
        </w:tc>
        <w:tc>
          <w:tcPr>
            <w:tcW w:w="2180" w:type="dxa"/>
            <w:vAlign w:val="bottom"/>
          </w:tcPr>
          <w:p>
            <w:pPr>
              <w:jc w:val="center"/>
              <w:ind w:left="268"/>
              <w:spacing w:after="0"/>
              <w:rPr>
                <w:sz w:val="20"/>
                <w:szCs w:val="20"/>
                <w:color w:val="auto"/>
              </w:rPr>
            </w:pPr>
            <w:r>
              <w:rPr>
                <w:rFonts w:ascii="Arial" w:cs="Arial" w:eastAsia="Arial" w:hAnsi="Arial"/>
                <w:sz w:val="18"/>
                <w:szCs w:val="18"/>
                <w:color w:val="auto"/>
              </w:rPr>
              <w:t>5.1</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8.4</w:t>
            </w:r>
          </w:p>
        </w:tc>
        <w:tc>
          <w:tcPr>
            <w:tcW w:w="1840" w:type="dxa"/>
            <w:vAlign w:val="bottom"/>
          </w:tcPr>
          <w:p>
            <w:pPr>
              <w:jc w:val="center"/>
              <w:spacing w:after="0"/>
              <w:rPr>
                <w:sz w:val="20"/>
                <w:szCs w:val="20"/>
                <w:color w:val="auto"/>
              </w:rPr>
            </w:pPr>
            <w:r>
              <w:rPr>
                <w:rFonts w:ascii="Arial" w:cs="Arial" w:eastAsia="Arial" w:hAnsi="Arial"/>
                <w:sz w:val="18"/>
                <w:szCs w:val="18"/>
                <w:color w:val="auto"/>
                <w:w w:val="96"/>
              </w:rPr>
              <w:t>11,9</w:t>
            </w:r>
          </w:p>
        </w:tc>
      </w:tr>
      <w:tr>
        <w:trPr>
          <w:trHeight w:val="239"/>
        </w:trPr>
        <w:tc>
          <w:tcPr>
            <w:tcW w:w="20" w:type="dxa"/>
            <w:vAlign w:val="bottom"/>
          </w:tcPr>
          <w:p>
            <w:pPr>
              <w:spacing w:after="0"/>
              <w:rPr>
                <w:sz w:val="20"/>
                <w:szCs w:val="20"/>
                <w:color w:val="auto"/>
              </w:rPr>
            </w:pPr>
          </w:p>
        </w:tc>
        <w:tc>
          <w:tcPr>
            <w:tcW w:w="5400" w:type="dxa"/>
            <w:vAlign w:val="bottom"/>
          </w:tcPr>
          <w:p>
            <w:pPr>
              <w:ind w:left="100"/>
              <w:spacing w:after="0" w:line="239" w:lineRule="exact"/>
              <w:rPr>
                <w:sz w:val="20"/>
                <w:szCs w:val="20"/>
                <w:color w:val="auto"/>
              </w:rPr>
            </w:pPr>
            <w:r>
              <w:rPr>
                <w:rFonts w:ascii="Arial" w:cs="Arial" w:eastAsia="Arial" w:hAnsi="Arial"/>
                <w:sz w:val="17"/>
                <w:szCs w:val="17"/>
                <w:color w:val="auto"/>
              </w:rPr>
              <w:t xml:space="preserve">% User’s clients of BCP </w:t>
            </w:r>
            <w:r>
              <w:rPr>
                <w:rFonts w:ascii="Arial" w:cs="Arial" w:eastAsia="Arial" w:hAnsi="Arial"/>
                <w:sz w:val="27"/>
                <w:szCs w:val="27"/>
                <w:color w:val="auto"/>
                <w:vertAlign w:val="superscript"/>
              </w:rPr>
              <w:t>(3)</w:t>
            </w:r>
          </w:p>
        </w:tc>
        <w:tc>
          <w:tcPr>
            <w:tcW w:w="2180" w:type="dxa"/>
            <w:vAlign w:val="bottom"/>
          </w:tcPr>
          <w:p>
            <w:pPr>
              <w:jc w:val="center"/>
              <w:ind w:left="268"/>
              <w:spacing w:after="0"/>
              <w:rPr>
                <w:sz w:val="20"/>
                <w:szCs w:val="20"/>
                <w:color w:val="auto"/>
              </w:rPr>
            </w:pPr>
            <w:r>
              <w:rPr>
                <w:rFonts w:ascii="Arial" w:cs="Arial" w:eastAsia="Arial" w:hAnsi="Arial"/>
                <w:sz w:val="18"/>
                <w:szCs w:val="18"/>
                <w:color w:val="auto"/>
                <w:w w:val="99"/>
              </w:rPr>
              <w:t>100%</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79%</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72%</w:t>
            </w:r>
          </w:p>
        </w:tc>
      </w:tr>
      <w:tr>
        <w:trPr>
          <w:trHeight w:val="239"/>
        </w:trPr>
        <w:tc>
          <w:tcPr>
            <w:tcW w:w="20" w:type="dxa"/>
            <w:vAlign w:val="bottom"/>
          </w:tcPr>
          <w:p>
            <w:pPr>
              <w:spacing w:after="0"/>
              <w:rPr>
                <w:sz w:val="20"/>
                <w:szCs w:val="20"/>
                <w:color w:val="auto"/>
              </w:rPr>
            </w:pPr>
          </w:p>
        </w:tc>
        <w:tc>
          <w:tcPr>
            <w:tcW w:w="5400" w:type="dxa"/>
            <w:vAlign w:val="bottom"/>
          </w:tcPr>
          <w:p>
            <w:pPr>
              <w:ind w:left="100"/>
              <w:spacing w:after="0" w:line="239" w:lineRule="exact"/>
              <w:rPr>
                <w:sz w:val="20"/>
                <w:szCs w:val="20"/>
                <w:color w:val="auto"/>
              </w:rPr>
            </w:pPr>
            <w:r>
              <w:rPr>
                <w:rFonts w:ascii="Arial" w:cs="Arial" w:eastAsia="Arial" w:hAnsi="Arial"/>
                <w:sz w:val="17"/>
                <w:szCs w:val="17"/>
                <w:color w:val="auto"/>
              </w:rPr>
              <w:t xml:space="preserve">% of Yapecard Users </w:t>
            </w:r>
            <w:r>
              <w:rPr>
                <w:rFonts w:ascii="Arial" w:cs="Arial" w:eastAsia="Arial" w:hAnsi="Arial"/>
                <w:sz w:val="27"/>
                <w:szCs w:val="27"/>
                <w:color w:val="auto"/>
                <w:vertAlign w:val="superscript"/>
              </w:rPr>
              <w:t>(4)</w:t>
            </w:r>
          </w:p>
        </w:tc>
        <w:tc>
          <w:tcPr>
            <w:tcW w:w="2180" w:type="dxa"/>
            <w:vAlign w:val="bottom"/>
          </w:tcPr>
          <w:p>
            <w:pPr>
              <w:jc w:val="center"/>
              <w:ind w:left="268"/>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24%</w:t>
            </w:r>
          </w:p>
        </w:tc>
      </w:tr>
      <w:tr>
        <w:trPr>
          <w:trHeight w:val="239"/>
        </w:trPr>
        <w:tc>
          <w:tcPr>
            <w:tcW w:w="20" w:type="dxa"/>
            <w:vAlign w:val="bottom"/>
          </w:tcPr>
          <w:p>
            <w:pPr>
              <w:spacing w:after="0"/>
              <w:rPr>
                <w:sz w:val="20"/>
                <w:szCs w:val="20"/>
                <w:color w:val="auto"/>
              </w:rPr>
            </w:pPr>
          </w:p>
        </w:tc>
        <w:tc>
          <w:tcPr>
            <w:tcW w:w="5400" w:type="dxa"/>
            <w:vAlign w:val="bottom"/>
          </w:tcPr>
          <w:p>
            <w:pPr>
              <w:ind w:left="100"/>
              <w:spacing w:after="0" w:line="239" w:lineRule="exact"/>
              <w:rPr>
                <w:sz w:val="20"/>
                <w:szCs w:val="20"/>
                <w:color w:val="auto"/>
              </w:rPr>
            </w:pPr>
            <w:r>
              <w:rPr>
                <w:rFonts w:ascii="Arial" w:cs="Arial" w:eastAsia="Arial" w:hAnsi="Arial"/>
                <w:sz w:val="17"/>
                <w:szCs w:val="17"/>
                <w:color w:val="auto"/>
              </w:rPr>
              <w:t xml:space="preserve">Active users (thousands) </w:t>
            </w:r>
            <w:r>
              <w:rPr>
                <w:rFonts w:ascii="Arial" w:cs="Arial" w:eastAsia="Arial" w:hAnsi="Arial"/>
                <w:sz w:val="27"/>
                <w:szCs w:val="27"/>
                <w:color w:val="auto"/>
                <w:vertAlign w:val="superscript"/>
              </w:rPr>
              <w:t>(5)</w:t>
            </w:r>
          </w:p>
        </w:tc>
        <w:tc>
          <w:tcPr>
            <w:tcW w:w="2180" w:type="dxa"/>
            <w:vAlign w:val="bottom"/>
          </w:tcPr>
          <w:p>
            <w:pPr>
              <w:jc w:val="center"/>
              <w:ind w:left="268"/>
              <w:spacing w:after="0"/>
              <w:rPr>
                <w:sz w:val="20"/>
                <w:szCs w:val="20"/>
                <w:color w:val="auto"/>
              </w:rPr>
            </w:pPr>
            <w:r>
              <w:rPr>
                <w:rFonts w:ascii="Arial" w:cs="Arial" w:eastAsia="Arial" w:hAnsi="Arial"/>
                <w:sz w:val="18"/>
                <w:szCs w:val="18"/>
                <w:color w:val="auto"/>
              </w:rPr>
              <w:t>2.4</w:t>
            </w:r>
          </w:p>
        </w:tc>
        <w:tc>
          <w:tcPr>
            <w:tcW w:w="180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840" w:type="dxa"/>
            <w:vAlign w:val="bottom"/>
          </w:tcPr>
          <w:p>
            <w:pPr>
              <w:jc w:val="center"/>
              <w:spacing w:after="0"/>
              <w:rPr>
                <w:sz w:val="20"/>
                <w:szCs w:val="20"/>
                <w:color w:val="auto"/>
              </w:rPr>
            </w:pPr>
            <w:r>
              <w:rPr>
                <w:rFonts w:ascii="Arial" w:cs="Arial" w:eastAsia="Arial" w:hAnsi="Arial"/>
                <w:sz w:val="18"/>
                <w:szCs w:val="18"/>
                <w:color w:val="auto"/>
              </w:rPr>
              <w:t>8.3</w:t>
            </w:r>
          </w:p>
        </w:tc>
      </w:tr>
      <w:tr>
        <w:trPr>
          <w:trHeight w:val="245"/>
        </w:trPr>
        <w:tc>
          <w:tcPr>
            <w:tcW w:w="20" w:type="dxa"/>
            <w:vAlign w:val="bottom"/>
          </w:tcPr>
          <w:p>
            <w:pPr>
              <w:spacing w:after="0"/>
              <w:rPr>
                <w:sz w:val="21"/>
                <w:szCs w:val="21"/>
                <w:color w:val="auto"/>
              </w:rPr>
            </w:pPr>
          </w:p>
        </w:tc>
        <w:tc>
          <w:tcPr>
            <w:tcW w:w="5400" w:type="dxa"/>
            <w:vAlign w:val="bottom"/>
          </w:tcPr>
          <w:p>
            <w:pPr>
              <w:ind w:left="100"/>
              <w:spacing w:after="0" w:line="245" w:lineRule="exact"/>
              <w:rPr>
                <w:sz w:val="20"/>
                <w:szCs w:val="20"/>
                <w:color w:val="auto"/>
              </w:rPr>
            </w:pPr>
            <w:r>
              <w:rPr>
                <w:rFonts w:ascii="Arial" w:cs="Arial" w:eastAsia="Arial" w:hAnsi="Arial"/>
                <w:sz w:val="17"/>
                <w:szCs w:val="17"/>
                <w:color w:val="auto"/>
              </w:rPr>
              <w:t xml:space="preserve">% Active users on a monthly basis </w:t>
            </w:r>
            <w:r>
              <w:rPr>
                <w:rFonts w:ascii="Arial" w:cs="Arial" w:eastAsia="Arial" w:hAnsi="Arial"/>
                <w:sz w:val="28"/>
                <w:szCs w:val="28"/>
                <w:color w:val="auto"/>
                <w:vertAlign w:val="superscript"/>
              </w:rPr>
              <w:t>(6)</w:t>
            </w:r>
          </w:p>
        </w:tc>
        <w:tc>
          <w:tcPr>
            <w:tcW w:w="2180" w:type="dxa"/>
            <w:vAlign w:val="bottom"/>
          </w:tcPr>
          <w:p>
            <w:pPr>
              <w:jc w:val="center"/>
              <w:ind w:left="268"/>
              <w:spacing w:after="0"/>
              <w:rPr>
                <w:sz w:val="20"/>
                <w:szCs w:val="20"/>
                <w:color w:val="auto"/>
              </w:rPr>
            </w:pPr>
            <w:r>
              <w:rPr>
                <w:rFonts w:ascii="Arial" w:cs="Arial" w:eastAsia="Arial" w:hAnsi="Arial"/>
                <w:sz w:val="18"/>
                <w:szCs w:val="18"/>
                <w:color w:val="auto"/>
              </w:rPr>
              <w:t>47%</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70%</w:t>
            </w:r>
          </w:p>
        </w:tc>
      </w:tr>
      <w:tr>
        <w:trPr>
          <w:trHeight w:val="239"/>
        </w:trPr>
        <w:tc>
          <w:tcPr>
            <w:tcW w:w="2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No. of monthly Transactions (thousands)</w:t>
            </w:r>
          </w:p>
        </w:tc>
        <w:tc>
          <w:tcPr>
            <w:tcW w:w="2180" w:type="dxa"/>
            <w:vAlign w:val="bottom"/>
          </w:tcPr>
          <w:p>
            <w:pPr>
              <w:jc w:val="center"/>
              <w:ind w:left="248"/>
              <w:spacing w:after="0"/>
              <w:rPr>
                <w:sz w:val="20"/>
                <w:szCs w:val="20"/>
                <w:color w:val="auto"/>
              </w:rPr>
            </w:pPr>
            <w:r>
              <w:rPr>
                <w:rFonts w:ascii="Arial" w:cs="Arial" w:eastAsia="Arial" w:hAnsi="Arial"/>
                <w:sz w:val="18"/>
                <w:szCs w:val="18"/>
                <w:color w:val="auto"/>
              </w:rPr>
              <w:t>20.0</w:t>
            </w:r>
          </w:p>
        </w:tc>
        <w:tc>
          <w:tcPr>
            <w:tcW w:w="1800" w:type="dxa"/>
            <w:vAlign w:val="bottom"/>
          </w:tcPr>
          <w:p>
            <w:pPr>
              <w:jc w:val="center"/>
              <w:spacing w:after="0"/>
              <w:rPr>
                <w:sz w:val="20"/>
                <w:szCs w:val="20"/>
                <w:color w:val="auto"/>
              </w:rPr>
            </w:pPr>
            <w:r>
              <w:rPr>
                <w:rFonts w:ascii="Arial" w:cs="Arial" w:eastAsia="Arial" w:hAnsi="Arial"/>
                <w:sz w:val="18"/>
                <w:szCs w:val="18"/>
                <w:color w:val="auto"/>
              </w:rPr>
              <w:t>57.6</w:t>
            </w:r>
          </w:p>
        </w:tc>
        <w:tc>
          <w:tcPr>
            <w:tcW w:w="1840" w:type="dxa"/>
            <w:vAlign w:val="bottom"/>
          </w:tcPr>
          <w:p>
            <w:pPr>
              <w:jc w:val="center"/>
              <w:spacing w:after="0"/>
              <w:rPr>
                <w:sz w:val="20"/>
                <w:szCs w:val="20"/>
                <w:color w:val="auto"/>
              </w:rPr>
            </w:pPr>
            <w:r>
              <w:rPr>
                <w:rFonts w:ascii="Arial" w:cs="Arial" w:eastAsia="Arial" w:hAnsi="Arial"/>
                <w:sz w:val="18"/>
                <w:szCs w:val="18"/>
                <w:color w:val="auto"/>
              </w:rPr>
              <w:t>162.6</w:t>
            </w:r>
          </w:p>
        </w:tc>
      </w:tr>
      <w:tr>
        <w:trPr>
          <w:trHeight w:val="233"/>
        </w:trPr>
        <w:tc>
          <w:tcPr>
            <w:tcW w:w="2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Monthly transaction amount (millions, S/)</w:t>
            </w:r>
          </w:p>
        </w:tc>
        <w:tc>
          <w:tcPr>
            <w:tcW w:w="2180" w:type="dxa"/>
            <w:vAlign w:val="bottom"/>
          </w:tcPr>
          <w:p>
            <w:pPr>
              <w:jc w:val="center"/>
              <w:ind w:left="268"/>
              <w:spacing w:after="0"/>
              <w:rPr>
                <w:sz w:val="20"/>
                <w:szCs w:val="20"/>
                <w:color w:val="auto"/>
              </w:rPr>
            </w:pPr>
            <w:r>
              <w:rPr>
                <w:rFonts w:ascii="Arial" w:cs="Arial" w:eastAsia="Arial" w:hAnsi="Arial"/>
                <w:sz w:val="18"/>
                <w:szCs w:val="18"/>
                <w:color w:val="auto"/>
              </w:rPr>
              <w:t>1,512</w:t>
            </w:r>
          </w:p>
        </w:tc>
        <w:tc>
          <w:tcPr>
            <w:tcW w:w="1800" w:type="dxa"/>
            <w:vAlign w:val="bottom"/>
          </w:tcPr>
          <w:p>
            <w:pPr>
              <w:jc w:val="center"/>
              <w:spacing w:after="0"/>
              <w:rPr>
                <w:sz w:val="20"/>
                <w:szCs w:val="20"/>
                <w:color w:val="auto"/>
              </w:rPr>
            </w:pPr>
            <w:r>
              <w:rPr>
                <w:rFonts w:ascii="Arial" w:cs="Arial" w:eastAsia="Arial" w:hAnsi="Arial"/>
                <w:sz w:val="18"/>
                <w:szCs w:val="18"/>
                <w:color w:val="auto"/>
              </w:rPr>
              <w:t>3,728</w:t>
            </w:r>
          </w:p>
        </w:tc>
        <w:tc>
          <w:tcPr>
            <w:tcW w:w="1840" w:type="dxa"/>
            <w:vAlign w:val="bottom"/>
          </w:tcPr>
          <w:p>
            <w:pPr>
              <w:jc w:val="center"/>
              <w:spacing w:after="0"/>
              <w:rPr>
                <w:sz w:val="20"/>
                <w:szCs w:val="20"/>
                <w:color w:val="auto"/>
              </w:rPr>
            </w:pPr>
            <w:r>
              <w:rPr>
                <w:rFonts w:ascii="Arial" w:cs="Arial" w:eastAsia="Arial" w:hAnsi="Arial"/>
                <w:sz w:val="18"/>
                <w:szCs w:val="18"/>
                <w:color w:val="auto"/>
              </w:rPr>
              <w:t>8,764</w:t>
            </w:r>
          </w:p>
        </w:tc>
      </w:tr>
      <w:tr>
        <w:trPr>
          <w:trHeight w:val="261"/>
        </w:trPr>
        <w:tc>
          <w:tcPr>
            <w:tcW w:w="20" w:type="dxa"/>
            <w:vAlign w:val="bottom"/>
          </w:tcPr>
          <w:p>
            <w:pPr>
              <w:spacing w:after="0"/>
              <w:rPr>
                <w:sz w:val="22"/>
                <w:szCs w:val="22"/>
                <w:color w:val="auto"/>
              </w:rPr>
            </w:pPr>
          </w:p>
        </w:tc>
        <w:tc>
          <w:tcPr>
            <w:tcW w:w="5400" w:type="dxa"/>
            <w:vAlign w:val="bottom"/>
          </w:tcPr>
          <w:p>
            <w:pPr>
              <w:ind w:left="100"/>
              <w:spacing w:after="0" w:line="261" w:lineRule="exact"/>
              <w:rPr>
                <w:sz w:val="20"/>
                <w:szCs w:val="20"/>
                <w:color w:val="auto"/>
              </w:rPr>
            </w:pPr>
            <w:r>
              <w:rPr>
                <w:rFonts w:ascii="Arial" w:cs="Arial" w:eastAsia="Arial" w:hAnsi="Arial"/>
                <w:sz w:val="18"/>
                <w:szCs w:val="18"/>
                <w:color w:val="auto"/>
              </w:rPr>
              <w:t xml:space="preserve">Number of monthly transactions by Active Yapero </w:t>
            </w:r>
            <w:r>
              <w:rPr>
                <w:rFonts w:ascii="Arial" w:cs="Arial" w:eastAsia="Arial" w:hAnsi="Arial"/>
                <w:sz w:val="30"/>
                <w:szCs w:val="30"/>
                <w:color w:val="auto"/>
                <w:vertAlign w:val="superscript"/>
              </w:rPr>
              <w:t>(7)</w:t>
            </w:r>
          </w:p>
        </w:tc>
        <w:tc>
          <w:tcPr>
            <w:tcW w:w="2180" w:type="dxa"/>
            <w:vAlign w:val="bottom"/>
          </w:tcPr>
          <w:p>
            <w:pPr>
              <w:jc w:val="center"/>
              <w:ind w:left="268"/>
              <w:spacing w:after="0"/>
              <w:rPr>
                <w:sz w:val="20"/>
                <w:szCs w:val="20"/>
                <w:color w:val="auto"/>
              </w:rPr>
            </w:pPr>
            <w:r>
              <w:rPr>
                <w:rFonts w:ascii="Arial" w:cs="Arial" w:eastAsia="Arial" w:hAnsi="Arial"/>
                <w:sz w:val="18"/>
                <w:szCs w:val="18"/>
                <w:color w:val="auto"/>
              </w:rPr>
              <w:t>4.4</w:t>
            </w:r>
          </w:p>
        </w:tc>
        <w:tc>
          <w:tcPr>
            <w:tcW w:w="1800" w:type="dxa"/>
            <w:vAlign w:val="bottom"/>
          </w:tcPr>
          <w:p>
            <w:pPr>
              <w:jc w:val="center"/>
              <w:spacing w:after="0"/>
              <w:rPr>
                <w:sz w:val="20"/>
                <w:szCs w:val="20"/>
                <w:color w:val="auto"/>
              </w:rPr>
            </w:pPr>
            <w:r>
              <w:rPr>
                <w:rFonts w:ascii="Arial" w:cs="Arial" w:eastAsia="Arial" w:hAnsi="Arial"/>
                <w:sz w:val="18"/>
                <w:szCs w:val="18"/>
                <w:color w:val="auto"/>
              </w:rPr>
              <w:t>12.8</w:t>
            </w:r>
          </w:p>
        </w:tc>
        <w:tc>
          <w:tcPr>
            <w:tcW w:w="1840" w:type="dxa"/>
            <w:vAlign w:val="bottom"/>
          </w:tcPr>
          <w:p>
            <w:pPr>
              <w:jc w:val="center"/>
              <w:spacing w:after="0"/>
              <w:rPr>
                <w:sz w:val="20"/>
                <w:szCs w:val="20"/>
                <w:color w:val="auto"/>
              </w:rPr>
            </w:pPr>
            <w:r>
              <w:rPr>
                <w:rFonts w:ascii="Arial" w:cs="Arial" w:eastAsia="Arial" w:hAnsi="Arial"/>
                <w:sz w:val="17"/>
                <w:szCs w:val="17"/>
                <w:color w:val="auto"/>
                <w:w w:val="96"/>
              </w:rPr>
              <w:t>19.5</w:t>
            </w:r>
          </w:p>
        </w:tc>
      </w:tr>
    </w:tbl>
    <w:p>
      <w:pPr>
        <w:ind w:left="180" w:hanging="179"/>
        <w:spacing w:after="0" w:line="218" w:lineRule="auto"/>
        <w:tabs>
          <w:tab w:leader="none" w:pos="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Figures for December 2020, 2021, and 2022</w:t>
      </w:r>
    </w:p>
    <w:p>
      <w:pPr>
        <w:ind w:left="180" w:hanging="179"/>
        <w:spacing w:after="0" w:line="218" w:lineRule="auto"/>
        <w:tabs>
          <w:tab w:leader="none" w:pos="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Yape users that are Microbusinesses/Total Yape users</w:t>
      </w:r>
    </w:p>
    <w:p>
      <w:pPr>
        <w:ind w:left="180" w:hanging="179"/>
        <w:spacing w:after="0" w:line="218" w:lineRule="auto"/>
        <w:tabs>
          <w:tab w:leader="none" w:pos="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BCP clients that are Yape users/Total Yape users</w:t>
      </w:r>
    </w:p>
    <w:p>
      <w:pPr>
        <w:ind w:left="180" w:hanging="179"/>
        <w:spacing w:after="0" w:line="218" w:lineRule="auto"/>
        <w:tabs>
          <w:tab w:leader="none" w:pos="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Yapecard users / Total Yape users</w:t>
      </w:r>
    </w:p>
    <w:p>
      <w:pPr>
        <w:ind w:left="180" w:hanging="179"/>
        <w:spacing w:after="0" w:line="218" w:lineRule="auto"/>
        <w:tabs>
          <w:tab w:leader="none" w:pos="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Yape users that have conducted at least one transaction a month</w:t>
      </w:r>
    </w:p>
    <w:p>
      <w:pPr>
        <w:ind w:left="180" w:hanging="179"/>
        <w:spacing w:after="0" w:line="218" w:lineRule="auto"/>
        <w:tabs>
          <w:tab w:leader="none" w:pos="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Yape users that have conducted at least one transaction in the past month/Total Yape Users</w:t>
      </w:r>
    </w:p>
    <w:p>
      <w:pPr>
        <w:ind w:left="180" w:hanging="179"/>
        <w:spacing w:after="0"/>
        <w:tabs>
          <w:tab w:leader="none" w:pos="180" w:val="left"/>
        </w:tabs>
        <w:numPr>
          <w:ilvl w:val="0"/>
          <w:numId w:val="6"/>
        </w:numPr>
        <w:rPr>
          <w:rFonts w:ascii="Arial" w:cs="Arial" w:eastAsia="Arial" w:hAnsi="Arial"/>
          <w:sz w:val="12"/>
          <w:szCs w:val="12"/>
          <w:color w:val="auto"/>
        </w:rPr>
      </w:pPr>
      <w:r>
        <w:rPr>
          <w:rFonts w:ascii="Arial" w:cs="Arial" w:eastAsia="Arial" w:hAnsi="Arial"/>
          <w:sz w:val="12"/>
          <w:szCs w:val="12"/>
          <w:color w:val="auto"/>
        </w:rPr>
        <w:t>Number of Yape transactions/Active Users</w:t>
      </w:r>
    </w:p>
    <w:p>
      <w:pPr>
        <w:spacing w:after="0" w:line="149"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714184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5" w:name="page16"/>
    <w:bookmarkEnd w:id="15"/>
    <w:p>
      <w:pPr>
        <w:ind w:left="2960"/>
        <w:spacing w:after="0"/>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216535</wp:posOffset>
            </wp:positionV>
            <wp:extent cx="7141845" cy="535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141845" cy="2393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845" cy="239395"/>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Credicorp’s Strategy Update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Integrating sustainability in our businesses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For more information on our sustainability strategy, program and initiatives, please review our “</w:t>
      </w:r>
      <w:r>
        <w:rPr>
          <w:rFonts w:ascii="Arial" w:cs="Arial" w:eastAsia="Arial" w:hAnsi="Arial"/>
          <w:sz w:val="17"/>
          <w:szCs w:val="17"/>
          <w:u w:val="single" w:color="auto"/>
          <w:color w:val="0000FF"/>
        </w:rPr>
        <w:t>2020-25 Sustainability Strategy</w:t>
      </w:r>
      <w:r>
        <w:rPr>
          <w:rFonts w:ascii="Arial" w:cs="Arial" w:eastAsia="Arial" w:hAnsi="Arial"/>
          <w:sz w:val="17"/>
          <w:szCs w:val="17"/>
          <w:color w:val="auto"/>
        </w:rPr>
        <w:t>” and our “</w:t>
      </w:r>
      <w:r>
        <w:rPr>
          <w:rFonts w:ascii="Arial" w:cs="Arial" w:eastAsia="Arial" w:hAnsi="Arial"/>
          <w:sz w:val="17"/>
          <w:szCs w:val="17"/>
          <w:u w:val="single" w:color="auto"/>
          <w:color w:val="0000FF"/>
        </w:rPr>
        <w:t>2021 Annual</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 Sustainability Report</w:t>
      </w:r>
      <w:r>
        <w:rPr>
          <w:rFonts w:ascii="Arial" w:cs="Arial" w:eastAsia="Arial" w:hAnsi="Arial"/>
          <w:sz w:val="17"/>
          <w:szCs w:val="17"/>
          <w:color w:val="000000"/>
        </w:rPr>
        <w:t>”. At the end of 2022, the milestones Credicorp hit regarding the implementation of our Sustainability Program include: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Front – Recognition received in 2022</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Credicorp was recognized as EMPRESA ALAS20 PERU for 2022 given the results of two competition categories: Leading Company in Sustainability and Leading Company in Investor Relations. Additionally, Credicorp Capital placed first in this competition in the category of Leading Investor in Corporate Governance in Peru.</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ALAS20, Sustainable Leader Agenda, is the only Latin American initiative that evaluates, rates and recognizes excellence in public disclosure of information regarding sustainable development, corporate governance and responsible investing by companies and investors in the region. This effort, which began in 2013, is organized by GOVERNART, a think tank and ESG advisory firm.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Front – Driving environmental sustainability from the financial sector</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2022, we committed to becoming a carbon -neutral company at our own operational emissions by 2032. Additionally, we developed our ESG risk management framework, a key tool that uses Sustainable Finance and Responsible Investing initiatives to help our clients transition to sustainable business practices. Our initiatives by subsidiary are described below.</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Sustainable Finance:</w:t>
      </w:r>
    </w:p>
    <w:p>
      <w:pPr>
        <w:spacing w:after="0" w:line="182" w:lineRule="exact"/>
        <w:rPr>
          <w:sz w:val="20"/>
          <w:szCs w:val="20"/>
          <w:color w:val="auto"/>
        </w:rPr>
      </w:pPr>
    </w:p>
    <w:p>
      <w:pPr>
        <w:ind w:left="580" w:hanging="277"/>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At BCP, we began to integrate the retail portfolio under the Framework scope.</w:t>
      </w:r>
    </w:p>
    <w:p>
      <w:pPr>
        <w:spacing w:after="0" w:line="9" w:lineRule="exact"/>
        <w:rPr>
          <w:rFonts w:ascii="Arial" w:cs="Arial" w:eastAsia="Arial" w:hAnsi="Arial"/>
          <w:sz w:val="17"/>
          <w:szCs w:val="17"/>
          <w:color w:val="auto"/>
        </w:rPr>
      </w:pPr>
    </w:p>
    <w:p>
      <w:pPr>
        <w:ind w:left="580" w:hanging="277"/>
        <w:spacing w:after="0" w:line="244"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2022, BCP granted a total of $162 million in green loans. Six of these loans were verified by external auditors and 1 was validated internally via our Environmental Taxonomy and Sustainable Operations Committee.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Responsible Investing:</w:t>
      </w:r>
    </w:p>
    <w:p>
      <w:pPr>
        <w:spacing w:after="0" w:line="182" w:lineRule="exact"/>
        <w:rPr>
          <w:sz w:val="20"/>
          <w:szCs w:val="20"/>
          <w:color w:val="auto"/>
        </w:rPr>
      </w:pPr>
    </w:p>
    <w:p>
      <w:pPr>
        <w:ind w:left="580" w:hanging="277"/>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Credicorp Capital developed Sustainable Investment Guidelines for different investment strategies.</w:t>
      </w:r>
    </w:p>
    <w:p>
      <w:pPr>
        <w:spacing w:after="0" w:line="9" w:lineRule="exact"/>
        <w:rPr>
          <w:rFonts w:ascii="Arial" w:cs="Arial" w:eastAsia="Arial" w:hAnsi="Arial"/>
          <w:sz w:val="17"/>
          <w:szCs w:val="17"/>
          <w:color w:val="auto"/>
        </w:rPr>
      </w:pPr>
    </w:p>
    <w:p>
      <w:pPr>
        <w:ind w:left="580" w:hanging="277"/>
        <w:spacing w:after="0" w:line="231" w:lineRule="auto"/>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Prima analyzed 94% of its portfolio with ESG criteria (outpacing the goal of 80% in 2022).</w:t>
      </w:r>
    </w:p>
    <w:p>
      <w:pPr>
        <w:ind w:left="580" w:hanging="277"/>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Pacifico assessed the 79% of its local portfolio and the 90% of the foreign portfolio with ESG questionnaires based on SASB standards.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Front – Expanding financial inclusion and educating about finance and entrepreneurship</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Financial Inclusion:</w:t>
      </w:r>
    </w:p>
    <w:p>
      <w:pPr>
        <w:spacing w:after="0" w:line="182" w:lineRule="exact"/>
        <w:rPr>
          <w:sz w:val="20"/>
          <w:szCs w:val="20"/>
          <w:color w:val="auto"/>
        </w:rPr>
      </w:pPr>
    </w:p>
    <w:p>
      <w:pPr>
        <w:ind w:left="580" w:hanging="277"/>
        <w:spacing w:after="0" w:line="256"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2022, Yape incorporated more than 1.1 million users into the financial system. At Pacifico, 2.6 million clients now possess inclusive insurance products that cost less than S/20 a month. These products help our clients cover life, oncological, business and credit/debit card risks.</w:t>
      </w:r>
    </w:p>
    <w:p>
      <w:pPr>
        <w:ind w:left="580" w:hanging="277"/>
        <w:spacing w:after="0" w:line="244"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2022, BCP financially included more than 47 thousand SME-Pymes and disbursed in more than S/1,700 million for working capital loans and invoice discounting.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Financial Education:</w:t>
      </w:r>
    </w:p>
    <w:p>
      <w:pPr>
        <w:spacing w:after="0" w:line="182" w:lineRule="exact"/>
        <w:rPr>
          <w:sz w:val="20"/>
          <w:szCs w:val="20"/>
          <w:color w:val="auto"/>
        </w:rPr>
      </w:pPr>
    </w:p>
    <w:p>
      <w:pPr>
        <w:ind w:left="580" w:hanging="277"/>
        <w:spacing w:after="0" w:line="241"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More than 233 thousand people were trained through BCP’s online campus in 2022. This total topped 2021’s figure by 4.3 times. Additionally, 235 thousand individuals were offered financing under the Contigo Emprendedor program.</w:t>
      </w:r>
    </w:p>
    <w:p>
      <w:pPr>
        <w:ind w:left="580" w:hanging="277"/>
        <w:spacing w:after="0" w:line="231"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Mibanco impacted more than 247 thousand entrepreneurs by providing financial and digital education tools and knowledge.</w:t>
      </w:r>
    </w:p>
    <w:p>
      <w:pPr>
        <w:jc w:val="both"/>
        <w:ind w:left="580" w:hanging="277"/>
        <w:spacing w:after="0" w:line="231"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BCP Bolivia signed an agreement with the Emprender Futuro foundation and trained 2,659 women from around the country via online workshops and on-site education. Additionally, more than 19 thousand people were trained through the bank Academia de Clientes program, which targets users in rural communities.</w:t>
      </w:r>
    </w:p>
    <w:p>
      <w:pPr>
        <w:spacing w:after="0" w:line="1" w:lineRule="exact"/>
        <w:rPr>
          <w:rFonts w:ascii="Arial" w:cs="Arial" w:eastAsia="Arial" w:hAnsi="Arial"/>
          <w:sz w:val="17"/>
          <w:szCs w:val="17"/>
          <w:color w:val="auto"/>
        </w:rPr>
      </w:pPr>
    </w:p>
    <w:p>
      <w:pPr>
        <w:ind w:left="580" w:hanging="277"/>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Pacifico closed the year with a total of 11 thousand people trained in risk prevention through its Comunidad Segura program.</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6" w:name="page17"/>
    <w:bookmarkEnd w:id="16"/>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9"/>
          <w:szCs w:val="49"/>
          <w:b w:val="1"/>
          <w:bCs w:val="1"/>
          <w:color w:val="E93CAC"/>
        </w:rPr>
        <w:t xml:space="preserve">01 </w:t>
      </w:r>
      <w:r>
        <w:rPr>
          <w:rFonts w:ascii="Arial" w:cs="Arial" w:eastAsia="Arial" w:hAnsi="Arial"/>
          <w:sz w:val="30"/>
          <w:szCs w:val="30"/>
          <w:color w:val="E93CAC"/>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141845" cy="1557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845" cy="1557655"/>
                    </a:xfrm>
                    <a:prstGeom prst="rect">
                      <a:avLst/>
                    </a:prstGeom>
                    <a:noFill/>
                  </pic:spPr>
                </pic:pic>
              </a:graphicData>
            </a:graphic>
          </wp:anchor>
        </w:drawing>
      </w:r>
    </w:p>
    <w:p>
      <w:pPr>
        <w:spacing w:after="0" w:line="381" w:lineRule="exact"/>
        <w:rPr>
          <w:sz w:val="20"/>
          <w:szCs w:val="20"/>
          <w:color w:val="auto"/>
        </w:rPr>
      </w:pPr>
    </w:p>
    <w:p>
      <w:pPr>
        <w:jc w:val="both"/>
        <w:ind w:left="120" w:right="100"/>
        <w:spacing w:after="0" w:line="237" w:lineRule="auto"/>
        <w:rPr>
          <w:sz w:val="20"/>
          <w:szCs w:val="20"/>
          <w:color w:val="auto"/>
        </w:rPr>
      </w:pPr>
      <w:r>
        <w:rPr>
          <w:rFonts w:ascii="Arial" w:cs="Arial" w:eastAsia="Arial" w:hAnsi="Arial"/>
          <w:sz w:val="17"/>
          <w:szCs w:val="17"/>
          <w:color w:val="FFFFFF"/>
        </w:rPr>
        <w:t>The structural loan balance at BCP Stand-alone registered growth in average daily balances QoQ. This increase was driven primarily by Retail Banking, and SME-Pyme and Mortgage in particular. The uptick in SME-Pyme reflected successful efforts to penetrate new segments while growth in Mortgage was fueled by a drop in prepayments in a context of stable growth. Mibanco also posted growth, bolstered by disbursements through alternative channels. YoY, growth in structural loans was driven by BCP and Mibanco. The increase registered in average daily balances for retail loans- which also offer higher margins- led this loan type’s share of total loans to stand at 41% at quarter-end. FY, growth of 11.3% in structural loans was driven by fishing and agricultural campaigns in Wholesale; an uptick in growth in Consumer; and an improvement in loan growth through the hybrid model at Mibanco, which registered a 9.4% share of Credicorp loan portfolio.</w:t>
      </w:r>
    </w:p>
    <w:p>
      <w:pPr>
        <w:spacing w:after="0" w:line="158" w:lineRule="exact"/>
        <w:rPr>
          <w:sz w:val="20"/>
          <w:szCs w:val="20"/>
          <w:color w:val="auto"/>
        </w:rPr>
      </w:pPr>
    </w:p>
    <w:p>
      <w:pPr>
        <w:jc w:val="both"/>
        <w:ind w:left="120" w:right="100"/>
        <w:spacing w:after="0" w:line="247" w:lineRule="auto"/>
        <w:rPr>
          <w:sz w:val="20"/>
          <w:szCs w:val="20"/>
          <w:color w:val="auto"/>
        </w:rPr>
      </w:pPr>
      <w:r>
        <w:rPr>
          <w:rFonts w:ascii="Arial" w:cs="Arial" w:eastAsia="Arial" w:hAnsi="Arial"/>
          <w:sz w:val="17"/>
          <w:szCs w:val="17"/>
          <w:color w:val="FFFFFF"/>
        </w:rPr>
        <w:t>The structural NPL portfolio grew QoQ and YoY, which was driven by an uptick in refinanced loans in Wholesale Banking and overdue loans in SME-Pyme. The aforementioned was partially offset by the improvement on Mibanco and Consumer segment NPL Portfolio as write-offs were registered this quarter.</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Loans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Structural loans (in Average Daily Balances)</w:t>
      </w:r>
      <w:r>
        <w:rPr>
          <w:rFonts w:ascii="Arial" w:cs="Arial" w:eastAsia="Arial" w:hAnsi="Arial"/>
          <w:sz w:val="27"/>
          <w:szCs w:val="27"/>
          <w:b w:val="1"/>
          <w:bCs w:val="1"/>
          <w:color w:val="auto"/>
          <w:vertAlign w:val="superscript"/>
        </w:rPr>
        <w:t>(1)(2)(3)</w:t>
      </w:r>
    </w:p>
    <w:tbl>
      <w:tblPr>
        <w:tblLayout w:type="fixed"/>
        <w:tblInd w:w="0" w:type="dxa"/>
        <w:tblCellMar>
          <w:top w:w="0" w:type="dxa"/>
          <w:left w:w="0" w:type="dxa"/>
          <w:bottom w:w="0" w:type="dxa"/>
          <w:right w:w="0" w:type="dxa"/>
        </w:tblCellMar>
      </w:tblPr>
      <w:tr>
        <w:trPr>
          <w:trHeight w:val="198"/>
        </w:trPr>
        <w:tc>
          <w:tcPr>
            <w:tcW w:w="2120" w:type="dxa"/>
            <w:vAlign w:val="bottom"/>
            <w:tcBorders>
              <w:top w:val="single" w:sz="8" w:color="auto"/>
            </w:tcBorders>
            <w:vMerge w:val="restart"/>
            <w:shd w:val="clear" w:color="auto" w:fill="2AD2C9"/>
          </w:tcPr>
          <w:p>
            <w:pPr>
              <w:ind w:left="100"/>
              <w:spacing w:after="0"/>
              <w:rPr>
                <w:sz w:val="20"/>
                <w:szCs w:val="20"/>
                <w:color w:val="auto"/>
              </w:rPr>
            </w:pPr>
            <w:r>
              <w:rPr>
                <w:rFonts w:ascii="Arial" w:cs="Arial" w:eastAsia="Arial" w:hAnsi="Arial"/>
                <w:sz w:val="18"/>
                <w:szCs w:val="18"/>
                <w:b w:val="1"/>
                <w:bCs w:val="1"/>
                <w:color w:val="FFFFFF"/>
              </w:rPr>
              <w:t>Structural Loans</w:t>
            </w:r>
          </w:p>
        </w:tc>
        <w:tc>
          <w:tcPr>
            <w:tcW w:w="920" w:type="dxa"/>
            <w:vAlign w:val="bottom"/>
            <w:tcBorders>
              <w:top w:val="single" w:sz="8" w:color="auto"/>
            </w:tcBorders>
            <w:shd w:val="clear" w:color="auto" w:fill="2AD2C9"/>
          </w:tcPr>
          <w:p>
            <w:pPr>
              <w:spacing w:after="0"/>
              <w:rPr>
                <w:sz w:val="17"/>
                <w:szCs w:val="17"/>
                <w:color w:val="auto"/>
              </w:rPr>
            </w:pPr>
          </w:p>
        </w:tc>
        <w:tc>
          <w:tcPr>
            <w:tcW w:w="92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rPr>
              <w:t>As of</w:t>
            </w:r>
          </w:p>
        </w:tc>
        <w:tc>
          <w:tcPr>
            <w:tcW w:w="900" w:type="dxa"/>
            <w:vAlign w:val="bottom"/>
            <w:tcBorders>
              <w:top w:val="single" w:sz="8" w:color="auto"/>
            </w:tcBorders>
            <w:shd w:val="clear" w:color="auto" w:fill="2AD2C9"/>
          </w:tcPr>
          <w:p>
            <w:pPr>
              <w:spacing w:after="0"/>
              <w:rPr>
                <w:sz w:val="17"/>
                <w:szCs w:val="17"/>
                <w:color w:val="auto"/>
              </w:rPr>
            </w:pPr>
          </w:p>
        </w:tc>
        <w:tc>
          <w:tcPr>
            <w:tcW w:w="1800" w:type="dxa"/>
            <w:vAlign w:val="bottom"/>
            <w:tcBorders>
              <w:top w:val="single" w:sz="8" w:color="auto"/>
            </w:tcBorders>
            <w:gridSpan w:val="2"/>
            <w:vMerge w:val="restart"/>
            <w:shd w:val="clear" w:color="auto" w:fill="2AD2C9"/>
          </w:tcPr>
          <w:p>
            <w:pPr>
              <w:ind w:left="240"/>
              <w:spacing w:after="0"/>
              <w:rPr>
                <w:sz w:val="20"/>
                <w:szCs w:val="20"/>
                <w:color w:val="auto"/>
              </w:rPr>
            </w:pPr>
            <w:r>
              <w:rPr>
                <w:rFonts w:ascii="Arial" w:cs="Arial" w:eastAsia="Arial" w:hAnsi="Arial"/>
                <w:sz w:val="18"/>
                <w:szCs w:val="18"/>
                <w:b w:val="1"/>
                <w:bCs w:val="1"/>
                <w:color w:val="FFFFFF"/>
              </w:rPr>
              <w:t>Volume change</w:t>
            </w:r>
          </w:p>
        </w:tc>
        <w:tc>
          <w:tcPr>
            <w:tcW w:w="460" w:type="dxa"/>
            <w:vAlign w:val="bottom"/>
            <w:tcBorders>
              <w:top w:val="single" w:sz="8" w:color="auto"/>
            </w:tcBorders>
            <w:shd w:val="clear" w:color="auto" w:fill="2AD2C9"/>
          </w:tcPr>
          <w:p>
            <w:pPr>
              <w:spacing w:after="0"/>
              <w:rPr>
                <w:sz w:val="17"/>
                <w:szCs w:val="17"/>
                <w:color w:val="auto"/>
              </w:rPr>
            </w:pPr>
          </w:p>
        </w:tc>
        <w:tc>
          <w:tcPr>
            <w:tcW w:w="1300" w:type="dxa"/>
            <w:vAlign w:val="bottom"/>
            <w:tcBorders>
              <w:top w:val="single" w:sz="8" w:color="auto"/>
            </w:tcBorders>
            <w:gridSpan w:val="2"/>
            <w:vMerge w:val="restart"/>
            <w:shd w:val="clear" w:color="auto" w:fill="2AD2C9"/>
          </w:tcPr>
          <w:p>
            <w:pPr>
              <w:ind w:left="20"/>
              <w:spacing w:after="0"/>
              <w:rPr>
                <w:sz w:val="20"/>
                <w:szCs w:val="20"/>
                <w:color w:val="auto"/>
              </w:rPr>
            </w:pPr>
            <w:r>
              <w:rPr>
                <w:rFonts w:ascii="Arial" w:cs="Arial" w:eastAsia="Arial" w:hAnsi="Arial"/>
                <w:sz w:val="18"/>
                <w:szCs w:val="18"/>
                <w:b w:val="1"/>
                <w:bCs w:val="1"/>
                <w:color w:val="FFFFFF"/>
              </w:rPr>
              <w:t>% change</w:t>
            </w:r>
          </w:p>
        </w:tc>
        <w:tc>
          <w:tcPr>
            <w:tcW w:w="2720" w:type="dxa"/>
            <w:vAlign w:val="bottom"/>
            <w:tcBorders>
              <w:top w:val="single" w:sz="8" w:color="auto"/>
            </w:tcBorders>
            <w:gridSpan w:val="3"/>
            <w:shd w:val="clear" w:color="auto" w:fill="2AD2C9"/>
          </w:tcPr>
          <w:p>
            <w:pPr>
              <w:jc w:val="center"/>
              <w:spacing w:after="0" w:line="198" w:lineRule="exact"/>
              <w:rPr>
                <w:sz w:val="20"/>
                <w:szCs w:val="20"/>
                <w:color w:val="auto"/>
              </w:rPr>
            </w:pPr>
            <w:r>
              <w:rPr>
                <w:rFonts w:ascii="Arial" w:cs="Arial" w:eastAsia="Arial" w:hAnsi="Arial"/>
                <w:sz w:val="18"/>
                <w:szCs w:val="18"/>
                <w:b w:val="1"/>
                <w:bCs w:val="1"/>
                <w:color w:val="FFFFFF"/>
              </w:rPr>
              <w:t>% Part. in total structural</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120" w:type="dxa"/>
            <w:vAlign w:val="bottom"/>
            <w:vMerge w:val="continue"/>
            <w:shd w:val="clear" w:color="auto" w:fill="2AD2C9"/>
          </w:tcPr>
          <w:p>
            <w:pPr>
              <w:spacing w:after="0"/>
              <w:rPr>
                <w:sz w:val="8"/>
                <w:szCs w:val="8"/>
                <w:color w:val="auto"/>
              </w:rPr>
            </w:pPr>
          </w:p>
        </w:tc>
        <w:tc>
          <w:tcPr>
            <w:tcW w:w="920" w:type="dxa"/>
            <w:vAlign w:val="bottom"/>
            <w:shd w:val="clear" w:color="auto" w:fill="2AD2C9"/>
          </w:tcPr>
          <w:p>
            <w:pPr>
              <w:spacing w:after="0"/>
              <w:rPr>
                <w:sz w:val="8"/>
                <w:szCs w:val="8"/>
                <w:color w:val="auto"/>
              </w:rPr>
            </w:pPr>
          </w:p>
        </w:tc>
        <w:tc>
          <w:tcPr>
            <w:tcW w:w="920" w:type="dxa"/>
            <w:vAlign w:val="bottom"/>
            <w:vMerge w:val="continue"/>
            <w:shd w:val="clear" w:color="auto" w:fill="2AD2C9"/>
          </w:tcPr>
          <w:p>
            <w:pPr>
              <w:spacing w:after="0"/>
              <w:rPr>
                <w:sz w:val="8"/>
                <w:szCs w:val="8"/>
                <w:color w:val="auto"/>
              </w:rPr>
            </w:pPr>
          </w:p>
        </w:tc>
        <w:tc>
          <w:tcPr>
            <w:tcW w:w="900" w:type="dxa"/>
            <w:vAlign w:val="bottom"/>
            <w:shd w:val="clear" w:color="auto" w:fill="2AD2C9"/>
          </w:tcPr>
          <w:p>
            <w:pPr>
              <w:spacing w:after="0"/>
              <w:rPr>
                <w:sz w:val="8"/>
                <w:szCs w:val="8"/>
                <w:color w:val="auto"/>
              </w:rPr>
            </w:pPr>
          </w:p>
        </w:tc>
        <w:tc>
          <w:tcPr>
            <w:tcW w:w="1800" w:type="dxa"/>
            <w:vAlign w:val="bottom"/>
            <w:gridSpan w:val="2"/>
            <w:vMerge w:val="continue"/>
            <w:shd w:val="clear" w:color="auto" w:fill="2AD2C9"/>
          </w:tcPr>
          <w:p>
            <w:pPr>
              <w:spacing w:after="0"/>
              <w:rPr>
                <w:sz w:val="8"/>
                <w:szCs w:val="8"/>
                <w:color w:val="auto"/>
              </w:rPr>
            </w:pPr>
          </w:p>
        </w:tc>
        <w:tc>
          <w:tcPr>
            <w:tcW w:w="460" w:type="dxa"/>
            <w:vAlign w:val="bottom"/>
            <w:shd w:val="clear" w:color="auto" w:fill="2AD2C9"/>
          </w:tcPr>
          <w:p>
            <w:pPr>
              <w:spacing w:after="0"/>
              <w:rPr>
                <w:sz w:val="8"/>
                <w:szCs w:val="8"/>
                <w:color w:val="auto"/>
              </w:rPr>
            </w:pPr>
          </w:p>
        </w:tc>
        <w:tc>
          <w:tcPr>
            <w:tcW w:w="1300" w:type="dxa"/>
            <w:vAlign w:val="bottom"/>
            <w:gridSpan w:val="2"/>
            <w:vMerge w:val="continue"/>
            <w:shd w:val="clear" w:color="auto" w:fill="2AD2C9"/>
          </w:tcPr>
          <w:p>
            <w:pPr>
              <w:spacing w:after="0"/>
              <w:rPr>
                <w:sz w:val="8"/>
                <w:szCs w:val="8"/>
                <w:color w:val="auto"/>
              </w:rPr>
            </w:pPr>
          </w:p>
        </w:tc>
        <w:tc>
          <w:tcPr>
            <w:tcW w:w="940" w:type="dxa"/>
            <w:vAlign w:val="bottom"/>
            <w:shd w:val="clear" w:color="auto" w:fill="2AD2C9"/>
          </w:tcPr>
          <w:p>
            <w:pPr>
              <w:spacing w:after="0"/>
              <w:rPr>
                <w:sz w:val="8"/>
                <w:szCs w:val="8"/>
                <w:color w:val="auto"/>
              </w:rPr>
            </w:pPr>
          </w:p>
        </w:tc>
        <w:tc>
          <w:tcPr>
            <w:tcW w:w="900" w:type="dxa"/>
            <w:vAlign w:val="bottom"/>
            <w:vMerge w:val="restart"/>
            <w:shd w:val="clear" w:color="auto" w:fill="2AD2C9"/>
          </w:tcPr>
          <w:p>
            <w:pPr>
              <w:jc w:val="center"/>
              <w:spacing w:after="0" w:line="201" w:lineRule="exact"/>
              <w:rPr>
                <w:sz w:val="20"/>
                <w:szCs w:val="20"/>
                <w:color w:val="auto"/>
              </w:rPr>
            </w:pPr>
            <w:r>
              <w:rPr>
                <w:rFonts w:ascii="Arial" w:cs="Arial" w:eastAsia="Arial" w:hAnsi="Arial"/>
                <w:sz w:val="18"/>
                <w:szCs w:val="18"/>
                <w:b w:val="1"/>
                <w:bCs w:val="1"/>
                <w:color w:val="FFFFFF"/>
              </w:rPr>
              <w:t>loans</w:t>
            </w:r>
          </w:p>
        </w:tc>
        <w:tc>
          <w:tcPr>
            <w:tcW w:w="880" w:type="dxa"/>
            <w:vAlign w:val="bottom"/>
            <w:shd w:val="clear" w:color="auto" w:fill="2AD2C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20" w:type="dxa"/>
            <w:vAlign w:val="bottom"/>
            <w:vMerge w:val="restart"/>
            <w:shd w:val="clear" w:color="auto" w:fill="2AD2C9"/>
          </w:tcPr>
          <w:p>
            <w:pPr>
              <w:ind w:left="100"/>
              <w:spacing w:after="0"/>
              <w:rPr>
                <w:sz w:val="20"/>
                <w:szCs w:val="20"/>
                <w:color w:val="auto"/>
              </w:rPr>
            </w:pPr>
            <w:r>
              <w:rPr>
                <w:rFonts w:ascii="Arial" w:cs="Arial" w:eastAsia="Arial" w:hAnsi="Arial"/>
                <w:sz w:val="18"/>
                <w:szCs w:val="18"/>
                <w:color w:val="FFFFFF"/>
              </w:rPr>
              <w:t>(S/ millions)</w:t>
            </w:r>
          </w:p>
        </w:tc>
        <w:tc>
          <w:tcPr>
            <w:tcW w:w="920" w:type="dxa"/>
            <w:vAlign w:val="bottom"/>
            <w:shd w:val="clear" w:color="auto" w:fill="2AD2C9"/>
          </w:tcPr>
          <w:p>
            <w:pPr>
              <w:spacing w:after="0"/>
              <w:rPr>
                <w:sz w:val="8"/>
                <w:szCs w:val="8"/>
                <w:color w:val="auto"/>
              </w:rPr>
            </w:pPr>
          </w:p>
        </w:tc>
        <w:tc>
          <w:tcPr>
            <w:tcW w:w="920" w:type="dxa"/>
            <w:vAlign w:val="bottom"/>
            <w:shd w:val="clear" w:color="auto" w:fill="2AD2C9"/>
          </w:tcPr>
          <w:p>
            <w:pPr>
              <w:spacing w:after="0"/>
              <w:rPr>
                <w:sz w:val="8"/>
                <w:szCs w:val="8"/>
                <w:color w:val="auto"/>
              </w:rPr>
            </w:pPr>
          </w:p>
        </w:tc>
        <w:tc>
          <w:tcPr>
            <w:tcW w:w="900" w:type="dxa"/>
            <w:vAlign w:val="bottom"/>
            <w:shd w:val="clear" w:color="auto" w:fill="2AD2C9"/>
          </w:tcPr>
          <w:p>
            <w:pPr>
              <w:spacing w:after="0"/>
              <w:rPr>
                <w:sz w:val="8"/>
                <w:szCs w:val="8"/>
                <w:color w:val="auto"/>
              </w:rPr>
            </w:pPr>
          </w:p>
        </w:tc>
        <w:tc>
          <w:tcPr>
            <w:tcW w:w="780" w:type="dxa"/>
            <w:vAlign w:val="bottom"/>
            <w:shd w:val="clear" w:color="auto" w:fill="2AD2C9"/>
          </w:tcPr>
          <w:p>
            <w:pPr>
              <w:spacing w:after="0"/>
              <w:rPr>
                <w:sz w:val="8"/>
                <w:szCs w:val="8"/>
                <w:color w:val="auto"/>
              </w:rPr>
            </w:pPr>
          </w:p>
        </w:tc>
        <w:tc>
          <w:tcPr>
            <w:tcW w:w="1020" w:type="dxa"/>
            <w:vAlign w:val="bottom"/>
            <w:shd w:val="clear" w:color="auto" w:fill="2AD2C9"/>
          </w:tcPr>
          <w:p>
            <w:pPr>
              <w:spacing w:after="0"/>
              <w:rPr>
                <w:sz w:val="8"/>
                <w:szCs w:val="8"/>
                <w:color w:val="auto"/>
              </w:rPr>
            </w:pPr>
          </w:p>
        </w:tc>
        <w:tc>
          <w:tcPr>
            <w:tcW w:w="460" w:type="dxa"/>
            <w:vAlign w:val="bottom"/>
            <w:shd w:val="clear" w:color="auto" w:fill="2AD2C9"/>
          </w:tcPr>
          <w:p>
            <w:pPr>
              <w:spacing w:after="0"/>
              <w:rPr>
                <w:sz w:val="8"/>
                <w:szCs w:val="8"/>
                <w:color w:val="auto"/>
              </w:rPr>
            </w:pPr>
          </w:p>
        </w:tc>
        <w:tc>
          <w:tcPr>
            <w:tcW w:w="380" w:type="dxa"/>
            <w:vAlign w:val="bottom"/>
            <w:shd w:val="clear" w:color="auto" w:fill="2AD2C9"/>
          </w:tcPr>
          <w:p>
            <w:pPr>
              <w:spacing w:after="0"/>
              <w:rPr>
                <w:sz w:val="8"/>
                <w:szCs w:val="8"/>
                <w:color w:val="auto"/>
              </w:rPr>
            </w:pPr>
          </w:p>
        </w:tc>
        <w:tc>
          <w:tcPr>
            <w:tcW w:w="920" w:type="dxa"/>
            <w:vAlign w:val="bottom"/>
            <w:shd w:val="clear" w:color="auto" w:fill="2AD2C9"/>
          </w:tcPr>
          <w:p>
            <w:pPr>
              <w:spacing w:after="0"/>
              <w:rPr>
                <w:sz w:val="8"/>
                <w:szCs w:val="8"/>
                <w:color w:val="auto"/>
              </w:rPr>
            </w:pPr>
          </w:p>
        </w:tc>
        <w:tc>
          <w:tcPr>
            <w:tcW w:w="940" w:type="dxa"/>
            <w:vAlign w:val="bottom"/>
            <w:shd w:val="clear" w:color="auto" w:fill="2AD2C9"/>
          </w:tcPr>
          <w:p>
            <w:pPr>
              <w:spacing w:after="0"/>
              <w:rPr>
                <w:sz w:val="8"/>
                <w:szCs w:val="8"/>
                <w:color w:val="auto"/>
              </w:rPr>
            </w:pPr>
          </w:p>
        </w:tc>
        <w:tc>
          <w:tcPr>
            <w:tcW w:w="900" w:type="dxa"/>
            <w:vAlign w:val="bottom"/>
            <w:vMerge w:val="continue"/>
            <w:shd w:val="clear" w:color="auto" w:fill="2AD2C9"/>
          </w:tcPr>
          <w:p>
            <w:pPr>
              <w:spacing w:after="0"/>
              <w:rPr>
                <w:sz w:val="8"/>
                <w:szCs w:val="8"/>
                <w:color w:val="auto"/>
              </w:rPr>
            </w:pPr>
          </w:p>
        </w:tc>
        <w:tc>
          <w:tcPr>
            <w:tcW w:w="880" w:type="dxa"/>
            <w:vAlign w:val="bottom"/>
            <w:shd w:val="clear" w:color="auto" w:fill="2AD2C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120" w:type="dxa"/>
            <w:vAlign w:val="bottom"/>
            <w:vMerge w:val="continue"/>
            <w:shd w:val="clear" w:color="auto" w:fill="2AD2C9"/>
          </w:tcPr>
          <w:p>
            <w:pPr>
              <w:spacing w:after="0"/>
              <w:rPr>
                <w:sz w:val="12"/>
                <w:szCs w:val="12"/>
                <w:color w:val="auto"/>
              </w:rPr>
            </w:pPr>
          </w:p>
        </w:tc>
        <w:tc>
          <w:tcPr>
            <w:tcW w:w="920" w:type="dxa"/>
            <w:vAlign w:val="bottom"/>
            <w:vMerge w:val="restart"/>
            <w:shd w:val="clear" w:color="auto" w:fill="2AD2C9"/>
          </w:tcPr>
          <w:p>
            <w:pPr>
              <w:ind w:left="180"/>
              <w:spacing w:after="0"/>
              <w:rPr>
                <w:sz w:val="20"/>
                <w:szCs w:val="20"/>
                <w:color w:val="auto"/>
              </w:rPr>
            </w:pPr>
            <w:r>
              <w:rPr>
                <w:rFonts w:ascii="Arial" w:cs="Arial" w:eastAsia="Arial" w:hAnsi="Arial"/>
                <w:sz w:val="18"/>
                <w:szCs w:val="18"/>
                <w:b w:val="1"/>
                <w:bCs w:val="1"/>
                <w:color w:val="FFFFFF"/>
              </w:rPr>
              <w:t>Dec 21</w:t>
            </w:r>
          </w:p>
        </w:tc>
        <w:tc>
          <w:tcPr>
            <w:tcW w:w="920" w:type="dxa"/>
            <w:vAlign w:val="bottom"/>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rPr>
              <w:t>Sep 22</w:t>
            </w:r>
          </w:p>
        </w:tc>
        <w:tc>
          <w:tcPr>
            <w:tcW w:w="900" w:type="dxa"/>
            <w:vAlign w:val="bottom"/>
            <w:vMerge w:val="restart"/>
            <w:shd w:val="clear" w:color="auto" w:fill="2AD2C9"/>
          </w:tcPr>
          <w:p>
            <w:pPr>
              <w:ind w:left="140"/>
              <w:spacing w:after="0"/>
              <w:rPr>
                <w:sz w:val="20"/>
                <w:szCs w:val="20"/>
                <w:color w:val="auto"/>
              </w:rPr>
            </w:pPr>
            <w:r>
              <w:rPr>
                <w:rFonts w:ascii="Arial" w:cs="Arial" w:eastAsia="Arial" w:hAnsi="Arial"/>
                <w:sz w:val="18"/>
                <w:szCs w:val="18"/>
                <w:b w:val="1"/>
                <w:bCs w:val="1"/>
                <w:color w:val="FFFFFF"/>
              </w:rPr>
              <w:t>Dec 22</w:t>
            </w:r>
          </w:p>
        </w:tc>
        <w:tc>
          <w:tcPr>
            <w:tcW w:w="780" w:type="dxa"/>
            <w:vAlign w:val="bottom"/>
            <w:vMerge w:val="restart"/>
            <w:shd w:val="clear" w:color="auto" w:fill="2AD2C9"/>
          </w:tcPr>
          <w:p>
            <w:pPr>
              <w:ind w:left="200"/>
              <w:spacing w:after="0"/>
              <w:rPr>
                <w:sz w:val="20"/>
                <w:szCs w:val="20"/>
                <w:color w:val="auto"/>
              </w:rPr>
            </w:pPr>
            <w:r>
              <w:rPr>
                <w:rFonts w:ascii="Arial" w:cs="Arial" w:eastAsia="Arial" w:hAnsi="Arial"/>
                <w:sz w:val="18"/>
                <w:szCs w:val="18"/>
                <w:b w:val="1"/>
                <w:bCs w:val="1"/>
                <w:color w:val="FFFFFF"/>
              </w:rPr>
              <w:t>QoQ</w:t>
            </w:r>
          </w:p>
        </w:tc>
        <w:tc>
          <w:tcPr>
            <w:tcW w:w="1020" w:type="dxa"/>
            <w:vAlign w:val="bottom"/>
            <w:vMerge w:val="restart"/>
            <w:shd w:val="clear" w:color="auto" w:fill="2AD2C9"/>
          </w:tcPr>
          <w:p>
            <w:pPr>
              <w:ind w:left="340"/>
              <w:spacing w:after="0"/>
              <w:rPr>
                <w:sz w:val="20"/>
                <w:szCs w:val="20"/>
                <w:color w:val="auto"/>
              </w:rPr>
            </w:pPr>
            <w:r>
              <w:rPr>
                <w:rFonts w:ascii="Arial" w:cs="Arial" w:eastAsia="Arial" w:hAnsi="Arial"/>
                <w:sz w:val="18"/>
                <w:szCs w:val="18"/>
                <w:b w:val="1"/>
                <w:bCs w:val="1"/>
                <w:color w:val="FFFFFF"/>
              </w:rPr>
              <w:t>YoY</w:t>
            </w:r>
          </w:p>
        </w:tc>
        <w:tc>
          <w:tcPr>
            <w:tcW w:w="840" w:type="dxa"/>
            <w:vAlign w:val="bottom"/>
            <w:gridSpan w:val="2"/>
            <w:vMerge w:val="restart"/>
            <w:shd w:val="clear" w:color="auto" w:fill="2AD2C9"/>
          </w:tcPr>
          <w:p>
            <w:pPr>
              <w:ind w:left="220"/>
              <w:spacing w:after="0"/>
              <w:rPr>
                <w:sz w:val="20"/>
                <w:szCs w:val="20"/>
                <w:color w:val="auto"/>
              </w:rPr>
            </w:pPr>
            <w:r>
              <w:rPr>
                <w:rFonts w:ascii="Arial" w:cs="Arial" w:eastAsia="Arial" w:hAnsi="Arial"/>
                <w:sz w:val="18"/>
                <w:szCs w:val="18"/>
                <w:b w:val="1"/>
                <w:bCs w:val="1"/>
                <w:color w:val="FFFFFF"/>
              </w:rPr>
              <w:t>QoQ</w:t>
            </w:r>
          </w:p>
        </w:tc>
        <w:tc>
          <w:tcPr>
            <w:tcW w:w="920" w:type="dxa"/>
            <w:vAlign w:val="bottom"/>
            <w:vMerge w:val="restart"/>
            <w:shd w:val="clear" w:color="auto" w:fill="2AD2C9"/>
          </w:tcPr>
          <w:p>
            <w:pPr>
              <w:ind w:left="300"/>
              <w:spacing w:after="0"/>
              <w:rPr>
                <w:sz w:val="20"/>
                <w:szCs w:val="20"/>
                <w:color w:val="auto"/>
              </w:rPr>
            </w:pPr>
            <w:r>
              <w:rPr>
                <w:rFonts w:ascii="Arial" w:cs="Arial" w:eastAsia="Arial" w:hAnsi="Arial"/>
                <w:sz w:val="18"/>
                <w:szCs w:val="18"/>
                <w:b w:val="1"/>
                <w:bCs w:val="1"/>
                <w:color w:val="FFFFFF"/>
              </w:rPr>
              <w:t>YoY</w:t>
            </w:r>
          </w:p>
        </w:tc>
        <w:tc>
          <w:tcPr>
            <w:tcW w:w="940" w:type="dxa"/>
            <w:vAlign w:val="bottom"/>
            <w:vMerge w:val="restart"/>
            <w:shd w:val="clear" w:color="auto" w:fill="2AD2C9"/>
          </w:tcPr>
          <w:p>
            <w:pPr>
              <w:ind w:left="200"/>
              <w:spacing w:after="0"/>
              <w:rPr>
                <w:sz w:val="20"/>
                <w:szCs w:val="20"/>
                <w:color w:val="auto"/>
              </w:rPr>
            </w:pPr>
            <w:r>
              <w:rPr>
                <w:rFonts w:ascii="Arial" w:cs="Arial" w:eastAsia="Arial" w:hAnsi="Arial"/>
                <w:sz w:val="18"/>
                <w:szCs w:val="18"/>
                <w:b w:val="1"/>
                <w:bCs w:val="1"/>
                <w:color w:val="FFFFFF"/>
              </w:rPr>
              <w:t>Dec 21</w:t>
            </w:r>
          </w:p>
        </w:tc>
        <w:tc>
          <w:tcPr>
            <w:tcW w:w="900" w:type="dxa"/>
            <w:vAlign w:val="bottom"/>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rPr>
              <w:t>Sep 22</w:t>
            </w:r>
          </w:p>
        </w:tc>
        <w:tc>
          <w:tcPr>
            <w:tcW w:w="880" w:type="dxa"/>
            <w:vAlign w:val="bottom"/>
            <w:vMerge w:val="restart"/>
            <w:shd w:val="clear" w:color="auto" w:fill="2AD2C9"/>
          </w:tcPr>
          <w:p>
            <w:pPr>
              <w:ind w:left="140"/>
              <w:spacing w:after="0"/>
              <w:rPr>
                <w:sz w:val="20"/>
                <w:szCs w:val="20"/>
                <w:color w:val="auto"/>
              </w:rPr>
            </w:pPr>
            <w:r>
              <w:rPr>
                <w:rFonts w:ascii="Arial" w:cs="Arial" w:eastAsia="Arial" w:hAnsi="Arial"/>
                <w:sz w:val="18"/>
                <w:szCs w:val="18"/>
                <w:b w:val="1"/>
                <w:bCs w:val="1"/>
                <w:color w:val="FFFFFF"/>
              </w:rPr>
              <w:t>Dec 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120" w:type="dxa"/>
            <w:vAlign w:val="bottom"/>
            <w:tcBorders>
              <w:bottom w:val="single" w:sz="8" w:color="auto"/>
            </w:tcBorders>
            <w:shd w:val="clear" w:color="auto" w:fill="2AD2C9"/>
          </w:tcPr>
          <w:p>
            <w:pPr>
              <w:spacing w:after="0"/>
              <w:rPr>
                <w:sz w:val="6"/>
                <w:szCs w:val="6"/>
                <w:color w:val="auto"/>
              </w:rPr>
            </w:pPr>
          </w:p>
        </w:tc>
        <w:tc>
          <w:tcPr>
            <w:tcW w:w="920" w:type="dxa"/>
            <w:vAlign w:val="bottom"/>
            <w:tcBorders>
              <w:bottom w:val="single" w:sz="8" w:color="auto"/>
            </w:tcBorders>
            <w:vMerge w:val="continue"/>
            <w:shd w:val="clear" w:color="auto" w:fill="2AD2C9"/>
          </w:tcPr>
          <w:p>
            <w:pPr>
              <w:spacing w:after="0"/>
              <w:rPr>
                <w:sz w:val="6"/>
                <w:szCs w:val="6"/>
                <w:color w:val="auto"/>
              </w:rPr>
            </w:pPr>
          </w:p>
        </w:tc>
        <w:tc>
          <w:tcPr>
            <w:tcW w:w="920" w:type="dxa"/>
            <w:vAlign w:val="bottom"/>
            <w:tcBorders>
              <w:bottom w:val="single" w:sz="8" w:color="auto"/>
            </w:tcBorders>
            <w:vMerge w:val="continue"/>
            <w:shd w:val="clear" w:color="auto" w:fill="2AD2C9"/>
          </w:tcPr>
          <w:p>
            <w:pPr>
              <w:spacing w:after="0"/>
              <w:rPr>
                <w:sz w:val="6"/>
                <w:szCs w:val="6"/>
                <w:color w:val="auto"/>
              </w:rPr>
            </w:pPr>
          </w:p>
        </w:tc>
        <w:tc>
          <w:tcPr>
            <w:tcW w:w="900" w:type="dxa"/>
            <w:vAlign w:val="bottom"/>
            <w:tcBorders>
              <w:bottom w:val="single" w:sz="8" w:color="auto"/>
            </w:tcBorders>
            <w:vMerge w:val="continue"/>
            <w:shd w:val="clear" w:color="auto" w:fill="2AD2C9"/>
          </w:tcPr>
          <w:p>
            <w:pPr>
              <w:spacing w:after="0"/>
              <w:rPr>
                <w:sz w:val="6"/>
                <w:szCs w:val="6"/>
                <w:color w:val="auto"/>
              </w:rPr>
            </w:pPr>
          </w:p>
        </w:tc>
        <w:tc>
          <w:tcPr>
            <w:tcW w:w="780" w:type="dxa"/>
            <w:vAlign w:val="bottom"/>
            <w:tcBorders>
              <w:bottom w:val="single" w:sz="8" w:color="auto"/>
            </w:tcBorders>
            <w:vMerge w:val="continue"/>
            <w:shd w:val="clear" w:color="auto" w:fill="2AD2C9"/>
          </w:tcPr>
          <w:p>
            <w:pPr>
              <w:spacing w:after="0"/>
              <w:rPr>
                <w:sz w:val="6"/>
                <w:szCs w:val="6"/>
                <w:color w:val="auto"/>
              </w:rPr>
            </w:pPr>
          </w:p>
        </w:tc>
        <w:tc>
          <w:tcPr>
            <w:tcW w:w="1020" w:type="dxa"/>
            <w:vAlign w:val="bottom"/>
            <w:tcBorders>
              <w:bottom w:val="single" w:sz="8" w:color="auto"/>
            </w:tcBorders>
            <w:vMerge w:val="continue"/>
            <w:shd w:val="clear" w:color="auto" w:fill="2AD2C9"/>
          </w:tcPr>
          <w:p>
            <w:pPr>
              <w:spacing w:after="0"/>
              <w:rPr>
                <w:sz w:val="6"/>
                <w:szCs w:val="6"/>
                <w:color w:val="auto"/>
              </w:rPr>
            </w:pPr>
          </w:p>
        </w:tc>
        <w:tc>
          <w:tcPr>
            <w:tcW w:w="840" w:type="dxa"/>
            <w:vAlign w:val="bottom"/>
            <w:tcBorders>
              <w:bottom w:val="single" w:sz="8" w:color="auto"/>
            </w:tcBorders>
            <w:gridSpan w:val="2"/>
            <w:vMerge w:val="continue"/>
            <w:shd w:val="clear" w:color="auto" w:fill="2AD2C9"/>
          </w:tcPr>
          <w:p>
            <w:pPr>
              <w:spacing w:after="0"/>
              <w:rPr>
                <w:sz w:val="6"/>
                <w:szCs w:val="6"/>
                <w:color w:val="auto"/>
              </w:rPr>
            </w:pPr>
          </w:p>
        </w:tc>
        <w:tc>
          <w:tcPr>
            <w:tcW w:w="920" w:type="dxa"/>
            <w:vAlign w:val="bottom"/>
            <w:tcBorders>
              <w:bottom w:val="single" w:sz="8" w:color="auto"/>
            </w:tcBorders>
            <w:vMerge w:val="continue"/>
            <w:shd w:val="clear" w:color="auto" w:fill="2AD2C9"/>
          </w:tcPr>
          <w:p>
            <w:pPr>
              <w:spacing w:after="0"/>
              <w:rPr>
                <w:sz w:val="6"/>
                <w:szCs w:val="6"/>
                <w:color w:val="auto"/>
              </w:rPr>
            </w:pPr>
          </w:p>
        </w:tc>
        <w:tc>
          <w:tcPr>
            <w:tcW w:w="940" w:type="dxa"/>
            <w:vAlign w:val="bottom"/>
            <w:tcBorders>
              <w:bottom w:val="single" w:sz="8" w:color="auto"/>
            </w:tcBorders>
            <w:vMerge w:val="continue"/>
            <w:shd w:val="clear" w:color="auto" w:fill="2AD2C9"/>
          </w:tcPr>
          <w:p>
            <w:pPr>
              <w:spacing w:after="0"/>
              <w:rPr>
                <w:sz w:val="6"/>
                <w:szCs w:val="6"/>
                <w:color w:val="auto"/>
              </w:rPr>
            </w:pPr>
          </w:p>
        </w:tc>
        <w:tc>
          <w:tcPr>
            <w:tcW w:w="900" w:type="dxa"/>
            <w:vAlign w:val="bottom"/>
            <w:tcBorders>
              <w:bottom w:val="single" w:sz="8" w:color="auto"/>
            </w:tcBorders>
            <w:vMerge w:val="continue"/>
            <w:shd w:val="clear" w:color="auto" w:fill="2AD2C9"/>
          </w:tcPr>
          <w:p>
            <w:pPr>
              <w:spacing w:after="0"/>
              <w:rPr>
                <w:sz w:val="6"/>
                <w:szCs w:val="6"/>
                <w:color w:val="auto"/>
              </w:rPr>
            </w:pPr>
          </w:p>
        </w:tc>
        <w:tc>
          <w:tcPr>
            <w:tcW w:w="880" w:type="dxa"/>
            <w:vAlign w:val="bottom"/>
            <w:tcBorders>
              <w:bottom w:val="single" w:sz="8" w:color="auto"/>
            </w:tcBorders>
            <w:vMerge w:val="continue"/>
            <w:shd w:val="clear" w:color="auto" w:fill="2AD2C9"/>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120" w:type="dxa"/>
            <w:vAlign w:val="bottom"/>
          </w:tcPr>
          <w:p>
            <w:pPr>
              <w:ind w:left="100"/>
              <w:spacing w:after="0" w:line="173" w:lineRule="exact"/>
              <w:rPr>
                <w:sz w:val="20"/>
                <w:szCs w:val="20"/>
                <w:color w:val="auto"/>
              </w:rPr>
            </w:pPr>
            <w:r>
              <w:rPr>
                <w:rFonts w:ascii="Arial" w:cs="Arial" w:eastAsia="Arial" w:hAnsi="Arial"/>
                <w:sz w:val="18"/>
                <w:szCs w:val="18"/>
                <w:b w:val="1"/>
                <w:bCs w:val="1"/>
                <w:color w:val="auto"/>
              </w:rPr>
              <w:t>BCP Stand-alone</w:t>
            </w:r>
          </w:p>
        </w:tc>
        <w:tc>
          <w:tcPr>
            <w:tcW w:w="9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101,729</w:t>
            </w:r>
          </w:p>
        </w:tc>
        <w:tc>
          <w:tcPr>
            <w:tcW w:w="9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112,276</w:t>
            </w:r>
          </w:p>
        </w:tc>
        <w:tc>
          <w:tcPr>
            <w:tcW w:w="90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113,050</w:t>
            </w:r>
          </w:p>
        </w:tc>
        <w:tc>
          <w:tcPr>
            <w:tcW w:w="7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774</w:t>
            </w:r>
          </w:p>
        </w:tc>
        <w:tc>
          <w:tcPr>
            <w:tcW w:w="10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11,322</w:t>
            </w:r>
          </w:p>
        </w:tc>
        <w:tc>
          <w:tcPr>
            <w:tcW w:w="840" w:type="dxa"/>
            <w:vAlign w:val="bottom"/>
            <w:gridSpan w:val="2"/>
          </w:tcPr>
          <w:p>
            <w:pPr>
              <w:jc w:val="center"/>
              <w:spacing w:after="0" w:line="173" w:lineRule="exact"/>
              <w:rPr>
                <w:sz w:val="20"/>
                <w:szCs w:val="20"/>
                <w:color w:val="auto"/>
              </w:rPr>
            </w:pPr>
            <w:r>
              <w:rPr>
                <w:rFonts w:ascii="Arial" w:cs="Arial" w:eastAsia="Arial" w:hAnsi="Arial"/>
                <w:sz w:val="18"/>
                <w:szCs w:val="18"/>
                <w:b w:val="1"/>
                <w:bCs w:val="1"/>
                <w:color w:val="auto"/>
              </w:rPr>
              <w:t>0.7%</w:t>
            </w:r>
          </w:p>
        </w:tc>
        <w:tc>
          <w:tcPr>
            <w:tcW w:w="9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11.1%</w:t>
            </w:r>
          </w:p>
        </w:tc>
        <w:tc>
          <w:tcPr>
            <w:tcW w:w="9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81.2%</w:t>
            </w:r>
          </w:p>
        </w:tc>
        <w:tc>
          <w:tcPr>
            <w:tcW w:w="90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81.8%</w:t>
            </w:r>
          </w:p>
        </w:tc>
        <w:tc>
          <w:tcPr>
            <w:tcW w:w="8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81.7%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20" w:type="dxa"/>
            <w:vAlign w:val="bottom"/>
          </w:tcPr>
          <w:p>
            <w:pPr>
              <w:ind w:left="280"/>
              <w:spacing w:after="0" w:line="201" w:lineRule="exact"/>
              <w:rPr>
                <w:sz w:val="20"/>
                <w:szCs w:val="20"/>
                <w:color w:val="auto"/>
              </w:rPr>
            </w:pPr>
            <w:r>
              <w:rPr>
                <w:rFonts w:ascii="Arial" w:cs="Arial" w:eastAsia="Arial" w:hAnsi="Arial"/>
                <w:sz w:val="18"/>
                <w:szCs w:val="18"/>
                <w:b w:val="1"/>
                <w:bCs w:val="1"/>
                <w:color w:val="auto"/>
              </w:rPr>
              <w:t>Wholesale Banking</w:t>
            </w:r>
          </w:p>
        </w:tc>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52,289</w:t>
            </w:r>
          </w:p>
        </w:tc>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56,969</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56,246</w:t>
            </w:r>
          </w:p>
        </w:tc>
        <w:tc>
          <w:tcPr>
            <w:tcW w:w="7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-723</w:t>
            </w:r>
          </w:p>
        </w:tc>
        <w:tc>
          <w:tcPr>
            <w:tcW w:w="10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3,956</w:t>
            </w:r>
          </w:p>
        </w:tc>
        <w:tc>
          <w:tcPr>
            <w:tcW w:w="84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rPr>
              <w:t>-1.3%</w:t>
            </w:r>
          </w:p>
        </w:tc>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7.6%</w:t>
            </w:r>
          </w:p>
        </w:tc>
        <w:tc>
          <w:tcPr>
            <w:tcW w:w="9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41.7%</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41.5%</w:t>
            </w:r>
          </w:p>
        </w:tc>
        <w:tc>
          <w:tcPr>
            <w:tcW w:w="8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12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Corporate</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31,426</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34,686</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33,868</w:t>
            </w: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rPr>
              <w:t>-2.4%</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7.8%</w:t>
            </w:r>
          </w:p>
        </w:tc>
        <w:tc>
          <w:tcPr>
            <w:tcW w:w="9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25.1%</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25.3%</w:t>
            </w:r>
          </w:p>
        </w:tc>
        <w:tc>
          <w:tcPr>
            <w:tcW w:w="8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24.5%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tcBorders>
              <w:bottom w:val="single" w:sz="8" w:color="E93CAC"/>
            </w:tcBorders>
            <w:shd w:val="clear" w:color="auto" w:fill="E93CAC"/>
          </w:tcPr>
          <w:p>
            <w:pPr>
              <w:jc w:val="center"/>
              <w:spacing w:after="0" w:line="180" w:lineRule="exact"/>
              <w:rPr>
                <w:sz w:val="20"/>
                <w:szCs w:val="20"/>
                <w:color w:val="auto"/>
              </w:rPr>
            </w:pPr>
            <w:r>
              <w:rPr>
                <w:rFonts w:ascii="Arial" w:cs="Arial" w:eastAsia="Arial" w:hAnsi="Arial"/>
                <w:sz w:val="18"/>
                <w:szCs w:val="18"/>
                <w:color w:val="auto"/>
                <w:w w:val="99"/>
              </w:rPr>
              <w:t>-818</w:t>
            </w:r>
          </w:p>
        </w:tc>
        <w:tc>
          <w:tcPr>
            <w:tcW w:w="1020" w:type="dxa"/>
            <w:vAlign w:val="bottom"/>
            <w:tcBorders>
              <w:bottom w:val="single" w:sz="8" w:color="26D07C"/>
            </w:tcBorders>
            <w:shd w:val="clear" w:color="auto" w:fill="26D07C"/>
          </w:tcPr>
          <w:p>
            <w:pPr>
              <w:jc w:val="center"/>
              <w:spacing w:after="0" w:line="180" w:lineRule="exact"/>
              <w:rPr>
                <w:sz w:val="20"/>
                <w:szCs w:val="20"/>
                <w:color w:val="auto"/>
              </w:rPr>
            </w:pPr>
            <w:r>
              <w:rPr>
                <w:rFonts w:ascii="Arial" w:cs="Arial" w:eastAsia="Arial" w:hAnsi="Arial"/>
                <w:sz w:val="18"/>
                <w:szCs w:val="18"/>
                <w:color w:val="auto"/>
              </w:rPr>
              <w:t>2,443</w:t>
            </w:r>
          </w:p>
        </w:tc>
        <w:tc>
          <w:tcPr>
            <w:tcW w:w="8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440"/>
              <w:spacing w:after="0" w:line="180" w:lineRule="exact"/>
              <w:rPr>
                <w:sz w:val="20"/>
                <w:szCs w:val="20"/>
                <w:color w:val="auto"/>
              </w:rPr>
            </w:pPr>
            <w:r>
              <w:rPr>
                <w:rFonts w:ascii="Arial" w:cs="Arial" w:eastAsia="Arial" w:hAnsi="Arial"/>
                <w:sz w:val="18"/>
                <w:szCs w:val="18"/>
                <w:color w:val="auto"/>
              </w:rPr>
              <w:t>Middle - Market</w:t>
            </w:r>
          </w:p>
        </w:tc>
        <w:tc>
          <w:tcPr>
            <w:tcW w:w="920" w:type="dxa"/>
            <w:vAlign w:val="bottom"/>
          </w:tcPr>
          <w:p>
            <w:pPr>
              <w:jc w:val="center"/>
              <w:spacing w:after="0" w:line="180" w:lineRule="exact"/>
              <w:rPr>
                <w:sz w:val="20"/>
                <w:szCs w:val="20"/>
                <w:color w:val="auto"/>
              </w:rPr>
            </w:pPr>
            <w:r>
              <w:rPr>
                <w:rFonts w:ascii="Arial" w:cs="Arial" w:eastAsia="Arial" w:hAnsi="Arial"/>
                <w:sz w:val="18"/>
                <w:szCs w:val="18"/>
                <w:color w:val="auto"/>
              </w:rPr>
              <w:t>20,864</w:t>
            </w:r>
          </w:p>
        </w:tc>
        <w:tc>
          <w:tcPr>
            <w:tcW w:w="920" w:type="dxa"/>
            <w:vAlign w:val="bottom"/>
          </w:tcPr>
          <w:p>
            <w:pPr>
              <w:jc w:val="center"/>
              <w:spacing w:after="0" w:line="180" w:lineRule="exact"/>
              <w:rPr>
                <w:sz w:val="20"/>
                <w:szCs w:val="20"/>
                <w:color w:val="auto"/>
              </w:rPr>
            </w:pPr>
            <w:r>
              <w:rPr>
                <w:rFonts w:ascii="Arial" w:cs="Arial" w:eastAsia="Arial" w:hAnsi="Arial"/>
                <w:sz w:val="18"/>
                <w:szCs w:val="18"/>
                <w:color w:val="auto"/>
              </w:rPr>
              <w:t>22,282</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22,377</w:t>
            </w:r>
          </w:p>
        </w:tc>
        <w:tc>
          <w:tcPr>
            <w:tcW w:w="780" w:type="dxa"/>
            <w:vAlign w:val="bottom"/>
          </w:tcPr>
          <w:p>
            <w:pPr>
              <w:jc w:val="center"/>
              <w:spacing w:after="0" w:line="180" w:lineRule="exact"/>
              <w:rPr>
                <w:sz w:val="20"/>
                <w:szCs w:val="20"/>
                <w:color w:val="auto"/>
              </w:rPr>
            </w:pPr>
            <w:r>
              <w:rPr>
                <w:rFonts w:ascii="Arial" w:cs="Arial" w:eastAsia="Arial" w:hAnsi="Arial"/>
                <w:sz w:val="18"/>
                <w:szCs w:val="18"/>
                <w:color w:val="auto"/>
                <w:w w:val="99"/>
              </w:rPr>
              <w:t>95</w:t>
            </w:r>
          </w:p>
        </w:tc>
        <w:tc>
          <w:tcPr>
            <w:tcW w:w="1020" w:type="dxa"/>
            <w:vAlign w:val="bottom"/>
            <w:tcBorders>
              <w:bottom w:val="single" w:sz="8" w:color="26D07C"/>
            </w:tcBorders>
            <w:shd w:val="clear" w:color="auto" w:fill="26D07C"/>
          </w:tcPr>
          <w:p>
            <w:pPr>
              <w:jc w:val="center"/>
              <w:spacing w:after="0" w:line="180" w:lineRule="exact"/>
              <w:rPr>
                <w:sz w:val="20"/>
                <w:szCs w:val="20"/>
                <w:color w:val="auto"/>
              </w:rPr>
            </w:pPr>
            <w:r>
              <w:rPr>
                <w:rFonts w:ascii="Arial" w:cs="Arial" w:eastAsia="Arial" w:hAnsi="Arial"/>
                <w:sz w:val="18"/>
                <w:szCs w:val="18"/>
                <w:color w:val="auto"/>
              </w:rPr>
              <w:t>1,514</w:t>
            </w:r>
          </w:p>
        </w:tc>
        <w:tc>
          <w:tcPr>
            <w:tcW w:w="840" w:type="dxa"/>
            <w:vAlign w:val="bottom"/>
            <w:gridSpan w:val="2"/>
          </w:tcPr>
          <w:p>
            <w:pPr>
              <w:jc w:val="center"/>
              <w:spacing w:after="0" w:line="180" w:lineRule="exact"/>
              <w:rPr>
                <w:sz w:val="20"/>
                <w:szCs w:val="20"/>
                <w:color w:val="auto"/>
              </w:rPr>
            </w:pPr>
            <w:r>
              <w:rPr>
                <w:rFonts w:ascii="Arial" w:cs="Arial" w:eastAsia="Arial" w:hAnsi="Arial"/>
                <w:sz w:val="18"/>
                <w:szCs w:val="18"/>
                <w:color w:val="auto"/>
              </w:rPr>
              <w:t>0.4%</w:t>
            </w:r>
          </w:p>
        </w:tc>
        <w:tc>
          <w:tcPr>
            <w:tcW w:w="920" w:type="dxa"/>
            <w:vAlign w:val="bottom"/>
          </w:tcPr>
          <w:p>
            <w:pPr>
              <w:jc w:val="center"/>
              <w:spacing w:after="0" w:line="180" w:lineRule="exact"/>
              <w:rPr>
                <w:sz w:val="20"/>
                <w:szCs w:val="20"/>
                <w:color w:val="auto"/>
              </w:rPr>
            </w:pPr>
            <w:r>
              <w:rPr>
                <w:rFonts w:ascii="Arial" w:cs="Arial" w:eastAsia="Arial" w:hAnsi="Arial"/>
                <w:sz w:val="18"/>
                <w:szCs w:val="18"/>
                <w:color w:val="auto"/>
              </w:rPr>
              <w:t>7.3%</w:t>
            </w:r>
          </w:p>
        </w:tc>
        <w:tc>
          <w:tcPr>
            <w:tcW w:w="940" w:type="dxa"/>
            <w:vAlign w:val="bottom"/>
          </w:tcPr>
          <w:p>
            <w:pPr>
              <w:jc w:val="center"/>
              <w:spacing w:after="0" w:line="180" w:lineRule="exact"/>
              <w:rPr>
                <w:sz w:val="20"/>
                <w:szCs w:val="20"/>
                <w:color w:val="auto"/>
              </w:rPr>
            </w:pPr>
            <w:r>
              <w:rPr>
                <w:rFonts w:ascii="Arial" w:cs="Arial" w:eastAsia="Arial" w:hAnsi="Arial"/>
                <w:sz w:val="18"/>
                <w:szCs w:val="18"/>
                <w:color w:val="auto"/>
              </w:rPr>
              <w:t>16.6%</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16.2%</w:t>
            </w:r>
          </w:p>
        </w:tc>
        <w:tc>
          <w:tcPr>
            <w:tcW w:w="880" w:type="dxa"/>
            <w:vAlign w:val="bottom"/>
          </w:tcPr>
          <w:p>
            <w:pPr>
              <w:jc w:val="center"/>
              <w:spacing w:after="0" w:line="180" w:lineRule="exact"/>
              <w:rPr>
                <w:sz w:val="20"/>
                <w:szCs w:val="20"/>
                <w:color w:val="auto"/>
              </w:rPr>
            </w:pPr>
            <w:r>
              <w:rPr>
                <w:rFonts w:ascii="Arial" w:cs="Arial" w:eastAsia="Arial" w:hAnsi="Arial"/>
                <w:sz w:val="18"/>
                <w:szCs w:val="18"/>
                <w:color w:val="auto"/>
              </w:rPr>
              <w:t>16.2%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280"/>
              <w:spacing w:after="0" w:line="180" w:lineRule="exact"/>
              <w:rPr>
                <w:sz w:val="20"/>
                <w:szCs w:val="20"/>
                <w:color w:val="auto"/>
              </w:rPr>
            </w:pPr>
            <w:r>
              <w:rPr>
                <w:rFonts w:ascii="Arial" w:cs="Arial" w:eastAsia="Arial" w:hAnsi="Arial"/>
                <w:sz w:val="18"/>
                <w:szCs w:val="18"/>
                <w:b w:val="1"/>
                <w:bCs w:val="1"/>
                <w:color w:val="auto"/>
              </w:rPr>
              <w:t>Retail Banking</w:t>
            </w:r>
          </w:p>
        </w:tc>
        <w:tc>
          <w:tcPr>
            <w:tcW w:w="9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49,439</w:t>
            </w:r>
          </w:p>
        </w:tc>
        <w:tc>
          <w:tcPr>
            <w:tcW w:w="9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55,308</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56,805</w:t>
            </w:r>
          </w:p>
        </w:tc>
        <w:tc>
          <w:tcPr>
            <w:tcW w:w="7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1,497</w:t>
            </w:r>
          </w:p>
        </w:tc>
        <w:tc>
          <w:tcPr>
            <w:tcW w:w="10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7,365</w:t>
            </w:r>
          </w:p>
        </w:tc>
        <w:tc>
          <w:tcPr>
            <w:tcW w:w="84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2.7%</w:t>
            </w:r>
          </w:p>
        </w:tc>
        <w:tc>
          <w:tcPr>
            <w:tcW w:w="9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14.9%</w:t>
            </w:r>
          </w:p>
        </w:tc>
        <w:tc>
          <w:tcPr>
            <w:tcW w:w="9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39.4%</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40.3%</w:t>
            </w:r>
          </w:p>
        </w:tc>
        <w:tc>
          <w:tcPr>
            <w:tcW w:w="8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41.0%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20" w:type="dxa"/>
            <w:vAlign w:val="bottom"/>
          </w:tcPr>
          <w:p>
            <w:pPr>
              <w:ind w:left="440"/>
              <w:spacing w:after="0" w:line="201" w:lineRule="exact"/>
              <w:rPr>
                <w:sz w:val="20"/>
                <w:szCs w:val="20"/>
                <w:color w:val="auto"/>
              </w:rPr>
            </w:pPr>
            <w:r>
              <w:rPr>
                <w:rFonts w:ascii="Arial" w:cs="Arial" w:eastAsia="Arial" w:hAnsi="Arial"/>
                <w:sz w:val="18"/>
                <w:szCs w:val="18"/>
                <w:color w:val="auto"/>
              </w:rPr>
              <w:t>SME - Business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5,302</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5,714</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5,862</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148</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561</w:t>
            </w:r>
          </w:p>
        </w:tc>
        <w:tc>
          <w:tcPr>
            <w:tcW w:w="840" w:type="dxa"/>
            <w:vAlign w:val="bottom"/>
            <w:gridSpan w:val="2"/>
          </w:tcPr>
          <w:p>
            <w:pPr>
              <w:jc w:val="center"/>
              <w:spacing w:after="0" w:line="201" w:lineRule="exact"/>
              <w:rPr>
                <w:sz w:val="20"/>
                <w:szCs w:val="20"/>
                <w:color w:val="auto"/>
              </w:rPr>
            </w:pPr>
            <w:r>
              <w:rPr>
                <w:rFonts w:ascii="Arial" w:cs="Arial" w:eastAsia="Arial" w:hAnsi="Arial"/>
                <w:sz w:val="18"/>
                <w:szCs w:val="18"/>
                <w:color w:val="auto"/>
              </w:rPr>
              <w:t>2.6%</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10.6%</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4.2%</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4.2%</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12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SME - Pyme</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11,597</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12,637</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13,029</w:t>
            </w:r>
          </w:p>
        </w:tc>
        <w:tc>
          <w:tcPr>
            <w:tcW w:w="780" w:type="dxa"/>
            <w:vAlign w:val="bottom"/>
          </w:tcPr>
          <w:p>
            <w:pPr>
              <w:spacing w:after="0" w:line="20" w:lineRule="exact"/>
              <w:rPr>
                <w:sz w:val="1"/>
                <w:szCs w:val="1"/>
                <w:color w:val="auto"/>
              </w:rPr>
            </w:pPr>
          </w:p>
        </w:tc>
        <w:tc>
          <w:tcPr>
            <w:tcW w:w="102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1,432</w:t>
            </w:r>
          </w:p>
        </w:tc>
        <w:tc>
          <w:tcPr>
            <w:tcW w:w="84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rPr>
              <w:t>3.1%</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12.4%</w:t>
            </w:r>
          </w:p>
        </w:tc>
        <w:tc>
          <w:tcPr>
            <w:tcW w:w="9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9.3%</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9.2%</w:t>
            </w:r>
          </w:p>
        </w:tc>
        <w:tc>
          <w:tcPr>
            <w:tcW w:w="8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9.4%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shd w:val="clear" w:color="auto" w:fill="26D07C"/>
          </w:tcPr>
          <w:p>
            <w:pPr>
              <w:jc w:val="center"/>
              <w:spacing w:after="0" w:line="180" w:lineRule="exact"/>
              <w:rPr>
                <w:sz w:val="20"/>
                <w:szCs w:val="20"/>
                <w:color w:val="auto"/>
              </w:rPr>
            </w:pPr>
            <w:r>
              <w:rPr>
                <w:rFonts w:ascii="Arial" w:cs="Arial" w:eastAsia="Arial" w:hAnsi="Arial"/>
                <w:sz w:val="18"/>
                <w:szCs w:val="18"/>
                <w:color w:val="auto"/>
              </w:rPr>
              <w:t>393</w:t>
            </w:r>
          </w:p>
        </w:tc>
        <w:tc>
          <w:tcPr>
            <w:tcW w:w="10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2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Mortgage</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18,432</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19,739</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20,074</w:t>
            </w:r>
          </w:p>
        </w:tc>
        <w:tc>
          <w:tcPr>
            <w:tcW w:w="780" w:type="dxa"/>
            <w:vAlign w:val="bottom"/>
            <w:vMerge w:val="restart"/>
            <w:shd w:val="clear" w:color="auto" w:fill="26D07C"/>
          </w:tcPr>
          <w:p>
            <w:pPr>
              <w:jc w:val="center"/>
              <w:spacing w:after="0" w:line="201" w:lineRule="exact"/>
              <w:rPr>
                <w:sz w:val="20"/>
                <w:szCs w:val="20"/>
                <w:color w:val="auto"/>
              </w:rPr>
            </w:pPr>
            <w:r>
              <w:rPr>
                <w:rFonts w:ascii="Arial" w:cs="Arial" w:eastAsia="Arial" w:hAnsi="Arial"/>
                <w:sz w:val="18"/>
                <w:szCs w:val="18"/>
                <w:color w:val="auto"/>
              </w:rPr>
              <w:t>335</w:t>
            </w:r>
          </w:p>
        </w:tc>
        <w:tc>
          <w:tcPr>
            <w:tcW w:w="1020" w:type="dxa"/>
            <w:vAlign w:val="bottom"/>
          </w:tcPr>
          <w:p>
            <w:pPr>
              <w:spacing w:after="0" w:line="20" w:lineRule="exact"/>
              <w:rPr>
                <w:sz w:val="1"/>
                <w:szCs w:val="1"/>
                <w:color w:val="auto"/>
              </w:rPr>
            </w:pPr>
          </w:p>
        </w:tc>
        <w:tc>
          <w:tcPr>
            <w:tcW w:w="84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rPr>
              <w:t>1.7%</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8.9%</w:t>
            </w:r>
          </w:p>
        </w:tc>
        <w:tc>
          <w:tcPr>
            <w:tcW w:w="9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14.7%</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14.4%</w:t>
            </w:r>
          </w:p>
        </w:tc>
        <w:tc>
          <w:tcPr>
            <w:tcW w:w="8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14.5%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tcBorders>
              <w:bottom w:val="single" w:sz="8" w:color="26D07C"/>
            </w:tcBorders>
            <w:vMerge w:val="continue"/>
            <w:shd w:val="clear" w:color="auto" w:fill="26D07C"/>
          </w:tcPr>
          <w:p>
            <w:pPr>
              <w:spacing w:after="0"/>
              <w:rPr>
                <w:sz w:val="15"/>
                <w:szCs w:val="15"/>
                <w:color w:val="auto"/>
              </w:rPr>
            </w:pPr>
          </w:p>
        </w:tc>
        <w:tc>
          <w:tcPr>
            <w:tcW w:w="1020" w:type="dxa"/>
            <w:vAlign w:val="bottom"/>
            <w:tcBorders>
              <w:bottom w:val="single" w:sz="8" w:color="26D07C"/>
            </w:tcBorders>
            <w:shd w:val="clear" w:color="auto" w:fill="26D07C"/>
          </w:tcPr>
          <w:p>
            <w:pPr>
              <w:jc w:val="center"/>
              <w:spacing w:after="0" w:line="180" w:lineRule="exact"/>
              <w:rPr>
                <w:sz w:val="20"/>
                <w:szCs w:val="20"/>
                <w:color w:val="auto"/>
              </w:rPr>
            </w:pPr>
            <w:r>
              <w:rPr>
                <w:rFonts w:ascii="Arial" w:cs="Arial" w:eastAsia="Arial" w:hAnsi="Arial"/>
                <w:sz w:val="18"/>
                <w:szCs w:val="18"/>
                <w:color w:val="auto"/>
              </w:rPr>
              <w:t>1,642</w:t>
            </w:r>
          </w:p>
        </w:tc>
        <w:tc>
          <w:tcPr>
            <w:tcW w:w="8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440"/>
              <w:spacing w:after="0" w:line="180" w:lineRule="exact"/>
              <w:rPr>
                <w:sz w:val="20"/>
                <w:szCs w:val="20"/>
                <w:color w:val="auto"/>
              </w:rPr>
            </w:pPr>
            <w:r>
              <w:rPr>
                <w:rFonts w:ascii="Arial" w:cs="Arial" w:eastAsia="Arial" w:hAnsi="Arial"/>
                <w:sz w:val="18"/>
                <w:szCs w:val="18"/>
                <w:color w:val="auto"/>
              </w:rPr>
              <w:t>Consumer</w:t>
            </w:r>
          </w:p>
        </w:tc>
        <w:tc>
          <w:tcPr>
            <w:tcW w:w="920" w:type="dxa"/>
            <w:vAlign w:val="bottom"/>
          </w:tcPr>
          <w:p>
            <w:pPr>
              <w:jc w:val="center"/>
              <w:spacing w:after="0" w:line="180" w:lineRule="exact"/>
              <w:rPr>
                <w:sz w:val="20"/>
                <w:szCs w:val="20"/>
                <w:color w:val="auto"/>
              </w:rPr>
            </w:pPr>
            <w:r>
              <w:rPr>
                <w:rFonts w:ascii="Arial" w:cs="Arial" w:eastAsia="Arial" w:hAnsi="Arial"/>
                <w:sz w:val="18"/>
                <w:szCs w:val="18"/>
                <w:color w:val="auto"/>
              </w:rPr>
              <w:t>10,296</w:t>
            </w:r>
          </w:p>
        </w:tc>
        <w:tc>
          <w:tcPr>
            <w:tcW w:w="920" w:type="dxa"/>
            <w:vAlign w:val="bottom"/>
          </w:tcPr>
          <w:p>
            <w:pPr>
              <w:jc w:val="center"/>
              <w:spacing w:after="0" w:line="180" w:lineRule="exact"/>
              <w:rPr>
                <w:sz w:val="20"/>
                <w:szCs w:val="20"/>
                <w:color w:val="auto"/>
              </w:rPr>
            </w:pPr>
            <w:r>
              <w:rPr>
                <w:rFonts w:ascii="Arial" w:cs="Arial" w:eastAsia="Arial" w:hAnsi="Arial"/>
                <w:sz w:val="18"/>
                <w:szCs w:val="18"/>
                <w:color w:val="auto"/>
              </w:rPr>
              <w:t>12,444</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12,736</w:t>
            </w:r>
          </w:p>
        </w:tc>
        <w:tc>
          <w:tcPr>
            <w:tcW w:w="780" w:type="dxa"/>
            <w:vAlign w:val="bottom"/>
          </w:tcPr>
          <w:p>
            <w:pPr>
              <w:jc w:val="center"/>
              <w:spacing w:after="0" w:line="180" w:lineRule="exact"/>
              <w:rPr>
                <w:sz w:val="20"/>
                <w:szCs w:val="20"/>
                <w:color w:val="auto"/>
              </w:rPr>
            </w:pPr>
            <w:r>
              <w:rPr>
                <w:rFonts w:ascii="Arial" w:cs="Arial" w:eastAsia="Arial" w:hAnsi="Arial"/>
                <w:sz w:val="18"/>
                <w:szCs w:val="18"/>
                <w:color w:val="auto"/>
              </w:rPr>
              <w:t>292</w:t>
            </w:r>
          </w:p>
        </w:tc>
        <w:tc>
          <w:tcPr>
            <w:tcW w:w="1020" w:type="dxa"/>
            <w:vAlign w:val="bottom"/>
            <w:tcBorders>
              <w:bottom w:val="single" w:sz="8" w:color="26D07C"/>
            </w:tcBorders>
            <w:shd w:val="clear" w:color="auto" w:fill="26D07C"/>
          </w:tcPr>
          <w:p>
            <w:pPr>
              <w:jc w:val="center"/>
              <w:spacing w:after="0" w:line="180" w:lineRule="exact"/>
              <w:rPr>
                <w:sz w:val="20"/>
                <w:szCs w:val="20"/>
                <w:color w:val="auto"/>
              </w:rPr>
            </w:pPr>
            <w:r>
              <w:rPr>
                <w:rFonts w:ascii="Arial" w:cs="Arial" w:eastAsia="Arial" w:hAnsi="Arial"/>
                <w:sz w:val="18"/>
                <w:szCs w:val="18"/>
                <w:color w:val="auto"/>
              </w:rPr>
              <w:t>2,441</w:t>
            </w:r>
          </w:p>
        </w:tc>
        <w:tc>
          <w:tcPr>
            <w:tcW w:w="840" w:type="dxa"/>
            <w:vAlign w:val="bottom"/>
            <w:gridSpan w:val="2"/>
          </w:tcPr>
          <w:p>
            <w:pPr>
              <w:jc w:val="center"/>
              <w:spacing w:after="0" w:line="180" w:lineRule="exact"/>
              <w:rPr>
                <w:sz w:val="20"/>
                <w:szCs w:val="20"/>
                <w:color w:val="auto"/>
              </w:rPr>
            </w:pPr>
            <w:r>
              <w:rPr>
                <w:rFonts w:ascii="Arial" w:cs="Arial" w:eastAsia="Arial" w:hAnsi="Arial"/>
                <w:sz w:val="18"/>
                <w:szCs w:val="18"/>
                <w:color w:val="auto"/>
              </w:rPr>
              <w:t>2.3%</w:t>
            </w:r>
          </w:p>
        </w:tc>
        <w:tc>
          <w:tcPr>
            <w:tcW w:w="920" w:type="dxa"/>
            <w:vAlign w:val="bottom"/>
          </w:tcPr>
          <w:p>
            <w:pPr>
              <w:jc w:val="center"/>
              <w:spacing w:after="0" w:line="180" w:lineRule="exact"/>
              <w:rPr>
                <w:sz w:val="20"/>
                <w:szCs w:val="20"/>
                <w:color w:val="auto"/>
              </w:rPr>
            </w:pPr>
            <w:r>
              <w:rPr>
                <w:rFonts w:ascii="Arial" w:cs="Arial" w:eastAsia="Arial" w:hAnsi="Arial"/>
                <w:sz w:val="18"/>
                <w:szCs w:val="18"/>
                <w:color w:val="auto"/>
              </w:rPr>
              <w:t>23.7%</w:t>
            </w:r>
          </w:p>
        </w:tc>
        <w:tc>
          <w:tcPr>
            <w:tcW w:w="940" w:type="dxa"/>
            <w:vAlign w:val="bottom"/>
          </w:tcPr>
          <w:p>
            <w:pPr>
              <w:jc w:val="center"/>
              <w:spacing w:after="0" w:line="180" w:lineRule="exact"/>
              <w:rPr>
                <w:sz w:val="20"/>
                <w:szCs w:val="20"/>
                <w:color w:val="auto"/>
              </w:rPr>
            </w:pPr>
            <w:r>
              <w:rPr>
                <w:rFonts w:ascii="Arial" w:cs="Arial" w:eastAsia="Arial" w:hAnsi="Arial"/>
                <w:sz w:val="18"/>
                <w:szCs w:val="18"/>
                <w:color w:val="auto"/>
              </w:rPr>
              <w:t>8.2%</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9.1%</w:t>
            </w:r>
          </w:p>
        </w:tc>
        <w:tc>
          <w:tcPr>
            <w:tcW w:w="880" w:type="dxa"/>
            <w:vAlign w:val="bottom"/>
          </w:tcPr>
          <w:p>
            <w:pPr>
              <w:jc w:val="center"/>
              <w:spacing w:after="0" w:line="180"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440"/>
              <w:spacing w:after="0" w:line="180" w:lineRule="exact"/>
              <w:rPr>
                <w:sz w:val="20"/>
                <w:szCs w:val="20"/>
                <w:color w:val="auto"/>
              </w:rPr>
            </w:pPr>
            <w:r>
              <w:rPr>
                <w:rFonts w:ascii="Arial" w:cs="Arial" w:eastAsia="Arial" w:hAnsi="Arial"/>
                <w:sz w:val="18"/>
                <w:szCs w:val="18"/>
                <w:color w:val="auto"/>
              </w:rPr>
              <w:t>Credit Card</w:t>
            </w:r>
          </w:p>
        </w:tc>
        <w:tc>
          <w:tcPr>
            <w:tcW w:w="920" w:type="dxa"/>
            <w:vAlign w:val="bottom"/>
          </w:tcPr>
          <w:p>
            <w:pPr>
              <w:jc w:val="center"/>
              <w:spacing w:after="0" w:line="180" w:lineRule="exact"/>
              <w:rPr>
                <w:sz w:val="20"/>
                <w:szCs w:val="20"/>
                <w:color w:val="auto"/>
              </w:rPr>
            </w:pPr>
            <w:r>
              <w:rPr>
                <w:rFonts w:ascii="Arial" w:cs="Arial" w:eastAsia="Arial" w:hAnsi="Arial"/>
                <w:sz w:val="18"/>
                <w:szCs w:val="18"/>
                <w:color w:val="auto"/>
              </w:rPr>
              <w:t>3,813</w:t>
            </w:r>
          </w:p>
        </w:tc>
        <w:tc>
          <w:tcPr>
            <w:tcW w:w="920" w:type="dxa"/>
            <w:vAlign w:val="bottom"/>
          </w:tcPr>
          <w:p>
            <w:pPr>
              <w:jc w:val="center"/>
              <w:spacing w:after="0" w:line="180" w:lineRule="exact"/>
              <w:rPr>
                <w:sz w:val="20"/>
                <w:szCs w:val="20"/>
                <w:color w:val="auto"/>
              </w:rPr>
            </w:pPr>
            <w:r>
              <w:rPr>
                <w:rFonts w:ascii="Arial" w:cs="Arial" w:eastAsia="Arial" w:hAnsi="Arial"/>
                <w:sz w:val="18"/>
                <w:szCs w:val="18"/>
                <w:color w:val="auto"/>
              </w:rPr>
              <w:t>4,774</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5,103</w:t>
            </w:r>
          </w:p>
        </w:tc>
        <w:tc>
          <w:tcPr>
            <w:tcW w:w="780" w:type="dxa"/>
            <w:vAlign w:val="bottom"/>
          </w:tcPr>
          <w:p>
            <w:pPr>
              <w:jc w:val="center"/>
              <w:spacing w:after="0" w:line="180" w:lineRule="exact"/>
              <w:rPr>
                <w:sz w:val="20"/>
                <w:szCs w:val="20"/>
                <w:color w:val="auto"/>
              </w:rPr>
            </w:pPr>
            <w:r>
              <w:rPr>
                <w:rFonts w:ascii="Arial" w:cs="Arial" w:eastAsia="Arial" w:hAnsi="Arial"/>
                <w:sz w:val="18"/>
                <w:szCs w:val="18"/>
                <w:color w:val="auto"/>
              </w:rPr>
              <w:t>330</w:t>
            </w:r>
          </w:p>
        </w:tc>
        <w:tc>
          <w:tcPr>
            <w:tcW w:w="1020" w:type="dxa"/>
            <w:vAlign w:val="bottom"/>
          </w:tcPr>
          <w:p>
            <w:pPr>
              <w:jc w:val="center"/>
              <w:spacing w:after="0" w:line="180" w:lineRule="exact"/>
              <w:rPr>
                <w:sz w:val="20"/>
                <w:szCs w:val="20"/>
                <w:color w:val="auto"/>
              </w:rPr>
            </w:pPr>
            <w:r>
              <w:rPr>
                <w:rFonts w:ascii="Arial" w:cs="Arial" w:eastAsia="Arial" w:hAnsi="Arial"/>
                <w:sz w:val="18"/>
                <w:szCs w:val="18"/>
                <w:color w:val="auto"/>
              </w:rPr>
              <w:t>1,290</w:t>
            </w:r>
          </w:p>
        </w:tc>
        <w:tc>
          <w:tcPr>
            <w:tcW w:w="840" w:type="dxa"/>
            <w:vAlign w:val="bottom"/>
            <w:gridSpan w:val="2"/>
          </w:tcPr>
          <w:p>
            <w:pPr>
              <w:jc w:val="center"/>
              <w:spacing w:after="0" w:line="180" w:lineRule="exact"/>
              <w:rPr>
                <w:sz w:val="20"/>
                <w:szCs w:val="20"/>
                <w:color w:val="auto"/>
              </w:rPr>
            </w:pPr>
            <w:r>
              <w:rPr>
                <w:rFonts w:ascii="Arial" w:cs="Arial" w:eastAsia="Arial" w:hAnsi="Arial"/>
                <w:sz w:val="18"/>
                <w:szCs w:val="18"/>
                <w:color w:val="auto"/>
              </w:rPr>
              <w:t>6.9%</w:t>
            </w:r>
          </w:p>
        </w:tc>
        <w:tc>
          <w:tcPr>
            <w:tcW w:w="920" w:type="dxa"/>
            <w:vAlign w:val="bottom"/>
          </w:tcPr>
          <w:p>
            <w:pPr>
              <w:jc w:val="center"/>
              <w:spacing w:after="0" w:line="180" w:lineRule="exact"/>
              <w:rPr>
                <w:sz w:val="20"/>
                <w:szCs w:val="20"/>
                <w:color w:val="auto"/>
              </w:rPr>
            </w:pPr>
            <w:r>
              <w:rPr>
                <w:rFonts w:ascii="Arial" w:cs="Arial" w:eastAsia="Arial" w:hAnsi="Arial"/>
                <w:sz w:val="18"/>
                <w:szCs w:val="18"/>
                <w:color w:val="auto"/>
              </w:rPr>
              <w:t>33.8%</w:t>
            </w:r>
          </w:p>
        </w:tc>
        <w:tc>
          <w:tcPr>
            <w:tcW w:w="940" w:type="dxa"/>
            <w:vAlign w:val="bottom"/>
          </w:tcPr>
          <w:p>
            <w:pPr>
              <w:jc w:val="center"/>
              <w:spacing w:after="0" w:line="180" w:lineRule="exact"/>
              <w:rPr>
                <w:sz w:val="20"/>
                <w:szCs w:val="20"/>
                <w:color w:val="auto"/>
              </w:rPr>
            </w:pPr>
            <w:r>
              <w:rPr>
                <w:rFonts w:ascii="Arial" w:cs="Arial" w:eastAsia="Arial" w:hAnsi="Arial"/>
                <w:sz w:val="18"/>
                <w:szCs w:val="18"/>
                <w:color w:val="auto"/>
              </w:rPr>
              <w:t>3.0%</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3.5%</w:t>
            </w:r>
          </w:p>
        </w:tc>
        <w:tc>
          <w:tcPr>
            <w:tcW w:w="880" w:type="dxa"/>
            <w:vAlign w:val="bottom"/>
          </w:tcPr>
          <w:p>
            <w:pPr>
              <w:jc w:val="center"/>
              <w:spacing w:after="0" w:line="180"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20" w:type="dxa"/>
            <w:vAlign w:val="bottom"/>
            <w:vMerge w:val="restart"/>
          </w:tcPr>
          <w:p>
            <w:pPr>
              <w:ind w:left="100"/>
              <w:spacing w:after="0" w:line="201" w:lineRule="exact"/>
              <w:rPr>
                <w:sz w:val="20"/>
                <w:szCs w:val="20"/>
                <w:color w:val="auto"/>
              </w:rPr>
            </w:pPr>
            <w:r>
              <w:rPr>
                <w:rFonts w:ascii="Arial" w:cs="Arial" w:eastAsia="Arial" w:hAnsi="Arial"/>
                <w:sz w:val="18"/>
                <w:szCs w:val="18"/>
                <w:b w:val="1"/>
                <w:bCs w:val="1"/>
                <w:color w:val="auto"/>
              </w:rPr>
              <w:t>Mibanco</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b w:val="1"/>
                <w:bCs w:val="1"/>
                <w:color w:val="auto"/>
              </w:rPr>
              <w:t>10,991</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b w:val="1"/>
                <w:bCs w:val="1"/>
                <w:color w:val="auto"/>
              </w:rPr>
              <w:t>12,782</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b w:val="1"/>
                <w:bCs w:val="1"/>
                <w:color w:val="auto"/>
              </w:rPr>
              <w:t>13,121</w:t>
            </w: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b w:val="1"/>
                <w:bCs w:val="1"/>
                <w:color w:val="auto"/>
              </w:rPr>
              <w:t>2.7%</w:t>
            </w:r>
          </w:p>
        </w:tc>
        <w:tc>
          <w:tcPr>
            <w:tcW w:w="920" w:type="dxa"/>
            <w:vAlign w:val="bottom"/>
            <w:vMerge w:val="restart"/>
          </w:tcPr>
          <w:p>
            <w:pPr>
              <w:jc w:val="center"/>
              <w:spacing w:after="0" w:line="201" w:lineRule="exact"/>
              <w:rPr>
                <w:sz w:val="20"/>
                <w:szCs w:val="20"/>
                <w:color w:val="auto"/>
              </w:rPr>
            </w:pPr>
            <w:r>
              <w:rPr>
                <w:rFonts w:ascii="Arial" w:cs="Arial" w:eastAsia="Arial" w:hAnsi="Arial"/>
                <w:sz w:val="18"/>
                <w:szCs w:val="18"/>
                <w:b w:val="1"/>
                <w:bCs w:val="1"/>
                <w:color w:val="auto"/>
              </w:rPr>
              <w:t>19.4%</w:t>
            </w:r>
          </w:p>
        </w:tc>
        <w:tc>
          <w:tcPr>
            <w:tcW w:w="940" w:type="dxa"/>
            <w:vAlign w:val="bottom"/>
            <w:vMerge w:val="restart"/>
          </w:tcPr>
          <w:p>
            <w:pPr>
              <w:jc w:val="center"/>
              <w:spacing w:after="0" w:line="201" w:lineRule="exact"/>
              <w:rPr>
                <w:sz w:val="20"/>
                <w:szCs w:val="20"/>
                <w:color w:val="auto"/>
              </w:rPr>
            </w:pPr>
            <w:r>
              <w:rPr>
                <w:rFonts w:ascii="Arial" w:cs="Arial" w:eastAsia="Arial" w:hAnsi="Arial"/>
                <w:sz w:val="18"/>
                <w:szCs w:val="18"/>
                <w:b w:val="1"/>
                <w:bCs w:val="1"/>
                <w:color w:val="auto"/>
              </w:rPr>
              <w:t>8.8%</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b w:val="1"/>
                <w:bCs w:val="1"/>
                <w:color w:val="auto"/>
              </w:rPr>
              <w:t>9.3%</w:t>
            </w:r>
          </w:p>
        </w:tc>
        <w:tc>
          <w:tcPr>
            <w:tcW w:w="880" w:type="dxa"/>
            <w:vAlign w:val="bottom"/>
            <w:vMerge w:val="restart"/>
          </w:tcPr>
          <w:p>
            <w:pPr>
              <w:jc w:val="center"/>
              <w:spacing w:after="0" w:line="201" w:lineRule="exact"/>
              <w:rPr>
                <w:sz w:val="20"/>
                <w:szCs w:val="20"/>
                <w:color w:val="auto"/>
              </w:rPr>
            </w:pPr>
            <w:r>
              <w:rPr>
                <w:rFonts w:ascii="Arial" w:cs="Arial" w:eastAsia="Arial" w:hAnsi="Arial"/>
                <w:sz w:val="18"/>
                <w:szCs w:val="18"/>
                <w:b w:val="1"/>
                <w:bCs w:val="1"/>
                <w:color w:val="auto"/>
              </w:rPr>
              <w:t>9.5%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tcBorders>
              <w:bottom w:val="single" w:sz="8" w:color="26D07C"/>
            </w:tcBorders>
            <w:shd w:val="clear" w:color="auto" w:fill="26D07C"/>
          </w:tcPr>
          <w:p>
            <w:pPr>
              <w:jc w:val="center"/>
              <w:spacing w:after="0" w:line="180" w:lineRule="exact"/>
              <w:rPr>
                <w:sz w:val="20"/>
                <w:szCs w:val="20"/>
                <w:color w:val="auto"/>
              </w:rPr>
            </w:pPr>
            <w:r>
              <w:rPr>
                <w:rFonts w:ascii="Arial" w:cs="Arial" w:eastAsia="Arial" w:hAnsi="Arial"/>
                <w:sz w:val="18"/>
                <w:szCs w:val="18"/>
                <w:b w:val="1"/>
                <w:bCs w:val="1"/>
                <w:color w:val="auto"/>
              </w:rPr>
              <w:t>339</w:t>
            </w:r>
          </w:p>
        </w:tc>
        <w:tc>
          <w:tcPr>
            <w:tcW w:w="1020" w:type="dxa"/>
            <w:vAlign w:val="bottom"/>
            <w:tcBorders>
              <w:bottom w:val="single" w:sz="8" w:color="26D07C"/>
            </w:tcBorders>
            <w:shd w:val="clear" w:color="auto" w:fill="26D07C"/>
          </w:tcPr>
          <w:p>
            <w:pPr>
              <w:jc w:val="center"/>
              <w:spacing w:after="0" w:line="180" w:lineRule="exact"/>
              <w:rPr>
                <w:sz w:val="20"/>
                <w:szCs w:val="20"/>
                <w:color w:val="auto"/>
              </w:rPr>
            </w:pPr>
            <w:r>
              <w:rPr>
                <w:rFonts w:ascii="Arial" w:cs="Arial" w:eastAsia="Arial" w:hAnsi="Arial"/>
                <w:sz w:val="18"/>
                <w:szCs w:val="18"/>
                <w:b w:val="1"/>
                <w:bCs w:val="1"/>
                <w:color w:val="auto"/>
              </w:rPr>
              <w:t>2,130</w:t>
            </w:r>
          </w:p>
        </w:tc>
        <w:tc>
          <w:tcPr>
            <w:tcW w:w="84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100"/>
              <w:spacing w:after="0" w:line="180" w:lineRule="exact"/>
              <w:rPr>
                <w:sz w:val="20"/>
                <w:szCs w:val="20"/>
                <w:color w:val="auto"/>
              </w:rPr>
            </w:pPr>
            <w:r>
              <w:rPr>
                <w:rFonts w:ascii="Arial" w:cs="Arial" w:eastAsia="Arial" w:hAnsi="Arial"/>
                <w:sz w:val="18"/>
                <w:szCs w:val="18"/>
                <w:b w:val="1"/>
                <w:bCs w:val="1"/>
                <w:color w:val="auto"/>
              </w:rPr>
              <w:t>Mibanco Colombia</w:t>
            </w:r>
          </w:p>
        </w:tc>
        <w:tc>
          <w:tcPr>
            <w:tcW w:w="9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1,064</w:t>
            </w:r>
          </w:p>
        </w:tc>
        <w:tc>
          <w:tcPr>
            <w:tcW w:w="9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1,163</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1,174</w:t>
            </w:r>
          </w:p>
        </w:tc>
        <w:tc>
          <w:tcPr>
            <w:tcW w:w="7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12</w:t>
            </w:r>
          </w:p>
        </w:tc>
        <w:tc>
          <w:tcPr>
            <w:tcW w:w="10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3"/>
              </w:rPr>
              <w:t>111</w:t>
            </w:r>
          </w:p>
        </w:tc>
        <w:tc>
          <w:tcPr>
            <w:tcW w:w="84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1.0%</w:t>
            </w:r>
          </w:p>
        </w:tc>
        <w:tc>
          <w:tcPr>
            <w:tcW w:w="9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10.4%</w:t>
            </w:r>
          </w:p>
        </w:tc>
        <w:tc>
          <w:tcPr>
            <w:tcW w:w="9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0.8%</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0.8%</w:t>
            </w:r>
          </w:p>
        </w:tc>
        <w:tc>
          <w:tcPr>
            <w:tcW w:w="8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20" w:type="dxa"/>
            <w:vAlign w:val="bottom"/>
          </w:tcPr>
          <w:p>
            <w:pPr>
              <w:ind w:left="100"/>
              <w:spacing w:after="0" w:line="201" w:lineRule="exact"/>
              <w:rPr>
                <w:sz w:val="20"/>
                <w:szCs w:val="20"/>
                <w:color w:val="auto"/>
              </w:rPr>
            </w:pPr>
            <w:r>
              <w:rPr>
                <w:rFonts w:ascii="Arial" w:cs="Arial" w:eastAsia="Arial" w:hAnsi="Arial"/>
                <w:sz w:val="18"/>
                <w:szCs w:val="18"/>
                <w:b w:val="1"/>
                <w:bCs w:val="1"/>
                <w:color w:val="auto"/>
              </w:rPr>
              <w:t>Bolivia</w:t>
            </w:r>
          </w:p>
        </w:tc>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9,230</w:t>
            </w:r>
          </w:p>
        </w:tc>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8,992</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9,034</w:t>
            </w:r>
          </w:p>
        </w:tc>
        <w:tc>
          <w:tcPr>
            <w:tcW w:w="7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41</w:t>
            </w:r>
          </w:p>
        </w:tc>
        <w:tc>
          <w:tcPr>
            <w:tcW w:w="10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-197</w:t>
            </w:r>
          </w:p>
        </w:tc>
        <w:tc>
          <w:tcPr>
            <w:tcW w:w="84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rPr>
              <w:t>0.5%</w:t>
            </w:r>
          </w:p>
        </w:tc>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-2.1%</w:t>
            </w:r>
          </w:p>
        </w:tc>
        <w:tc>
          <w:tcPr>
            <w:tcW w:w="9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7.4%</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6.6%</w:t>
            </w:r>
          </w:p>
        </w:tc>
        <w:tc>
          <w:tcPr>
            <w:tcW w:w="8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ASB Bank Corp.</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2,311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2,053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2,039</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-14</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-272</w:t>
            </w: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-0.7%</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-11.8%</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1.8%</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120" w:type="dxa"/>
            <w:vAlign w:val="bottom"/>
          </w:tcPr>
          <w:p>
            <w:pPr>
              <w:ind w:left="100"/>
              <w:spacing w:after="0" w:line="201" w:lineRule="exact"/>
              <w:rPr>
                <w:sz w:val="20"/>
                <w:szCs w:val="20"/>
                <w:color w:val="auto"/>
              </w:rPr>
            </w:pPr>
            <w:r>
              <w:rPr>
                <w:rFonts w:ascii="Arial" w:cs="Arial" w:eastAsia="Arial" w:hAnsi="Arial"/>
                <w:sz w:val="18"/>
                <w:szCs w:val="18"/>
                <w:b w:val="1"/>
                <w:bCs w:val="1"/>
                <w:color w:val="auto"/>
              </w:rPr>
              <w:t>BAP’s total loans</w:t>
            </w:r>
          </w:p>
        </w:tc>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125,325</w:t>
            </w:r>
          </w:p>
        </w:tc>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137,267</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138,419</w:t>
            </w:r>
          </w:p>
        </w:tc>
        <w:tc>
          <w:tcPr>
            <w:tcW w:w="7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1,152</w:t>
            </w:r>
          </w:p>
        </w:tc>
        <w:tc>
          <w:tcPr>
            <w:tcW w:w="10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13,094</w:t>
            </w:r>
          </w:p>
        </w:tc>
        <w:tc>
          <w:tcPr>
            <w:tcW w:w="84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rPr>
              <w:t>0.8%</w:t>
            </w:r>
          </w:p>
        </w:tc>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10.4%</w:t>
            </w:r>
          </w:p>
        </w:tc>
        <w:tc>
          <w:tcPr>
            <w:tcW w:w="9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100.0%</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100.0%</w:t>
            </w:r>
          </w:p>
        </w:tc>
        <w:tc>
          <w:tcPr>
            <w:tcW w:w="8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-2328545</wp:posOffset>
            </wp:positionV>
            <wp:extent cx="7085965" cy="2332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85965" cy="2332355"/>
                    </a:xfrm>
                    <a:prstGeom prst="rect">
                      <a:avLst/>
                    </a:prstGeom>
                    <a:noFill/>
                  </pic:spPr>
                </pic:pic>
              </a:graphicData>
            </a:graphic>
          </wp:anchor>
        </w:drawing>
      </w:r>
    </w:p>
    <w:p>
      <w:pPr>
        <w:spacing w:after="0" w:line="218" w:lineRule="auto"/>
        <w:rPr>
          <w:sz w:val="20"/>
          <w:szCs w:val="20"/>
          <w:color w:val="auto"/>
        </w:rPr>
      </w:pPr>
      <w:r>
        <w:rPr>
          <w:rFonts w:ascii="Arial" w:cs="Arial" w:eastAsia="Arial" w:hAnsi="Arial"/>
          <w:sz w:val="12"/>
          <w:szCs w:val="12"/>
          <w:color w:val="auto"/>
        </w:rPr>
        <w:t>For consolidation purposes, Loans generated in Foreign Currency (FC) are converted 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6071870</wp:posOffset>
            </wp:positionH>
            <wp:positionV relativeFrom="paragraph">
              <wp:posOffset>-35560</wp:posOffset>
            </wp:positionV>
            <wp:extent cx="1070610" cy="160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70610" cy="160020"/>
                    </a:xfrm>
                    <a:prstGeom prst="rect">
                      <a:avLst/>
                    </a:prstGeom>
                    <a:noFill/>
                  </pic:spPr>
                </pic:pic>
              </a:graphicData>
            </a:graphic>
          </wp:anchor>
        </w:drawing>
      </w:r>
    </w:p>
    <w:p>
      <w:pPr>
        <w:ind w:left="180" w:hanging="179"/>
        <w:spacing w:after="0" w:line="219" w:lineRule="auto"/>
        <w:tabs>
          <w:tab w:leader="none" w:pos="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Work out unit, and other banking. For Quarter- end Balances figures, please refer to “12. Annexes — 12.2 Loan Portfolio Quality</w:t>
      </w:r>
    </w:p>
    <w:p>
      <w:pPr>
        <w:ind w:left="180" w:hanging="179"/>
        <w:spacing w:after="0" w:line="218" w:lineRule="auto"/>
        <w:tabs>
          <w:tab w:leader="none" w:pos="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Structural Portfolio excludes the Loans offered through Reactiva Peru and FAE-Mype Government Programs (GP).</w:t>
      </w:r>
    </w:p>
    <w:p>
      <w:pPr>
        <w:ind w:left="180" w:hanging="179"/>
        <w:spacing w:after="0"/>
        <w:tabs>
          <w:tab w:leader="none" w:pos="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Internal Management Figures</w:t>
      </w:r>
    </w:p>
    <w:p>
      <w:pPr>
        <w:sectPr>
          <w:pgSz w:w="11900" w:h="16838" w:orient="portrait"/>
          <w:cols w:equalWidth="0" w:num="1">
            <w:col w:w="11240"/>
          </w:cols>
          <w:pgMar w:left="320" w:top="659" w:right="339" w:bottom="1440" w:gutter="0" w:footer="0" w:header="0"/>
        </w:sectPr>
      </w:pP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QoQ, </w:t>
      </w:r>
      <w:r>
        <w:rPr>
          <w:rFonts w:ascii="Arial" w:cs="Arial" w:eastAsia="Arial" w:hAnsi="Arial"/>
          <w:sz w:val="17"/>
          <w:szCs w:val="17"/>
          <w:color w:val="auto"/>
        </w:rPr>
        <w:t>if we exclude the exchange rate effect (USDPEN: -4.2%),</w:t>
      </w:r>
      <w:r>
        <w:rPr>
          <w:rFonts w:ascii="Arial" w:cs="Arial" w:eastAsia="Arial" w:hAnsi="Arial"/>
          <w:sz w:val="17"/>
          <w:szCs w:val="17"/>
          <w:b w:val="1"/>
          <w:bCs w:val="1"/>
          <w:color w:val="auto"/>
        </w:rPr>
        <w:t xml:space="preserve"> </w:t>
      </w:r>
      <w:r>
        <w:rPr>
          <w:rFonts w:ascii="Arial" w:cs="Arial" w:eastAsia="Arial" w:hAnsi="Arial"/>
          <w:sz w:val="17"/>
          <w:szCs w:val="17"/>
          <w:color w:val="auto"/>
        </w:rPr>
        <w:t>structural loans in average daily balances increased 4.0%. This evolution was mainly driven by:</w:t>
      </w:r>
    </w:p>
    <w:p>
      <w:pPr>
        <w:spacing w:after="0" w:line="151" w:lineRule="exact"/>
        <w:rPr>
          <w:sz w:val="20"/>
          <w:szCs w:val="20"/>
          <w:color w:val="auto"/>
        </w:rPr>
      </w:pPr>
    </w:p>
    <w:p>
      <w:pPr>
        <w:jc w:val="both"/>
        <w:ind w:left="600" w:hanging="297"/>
        <w:spacing w:after="0" w:line="238"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Retail Banking, </w:t>
      </w:r>
      <w:r>
        <w:rPr>
          <w:rFonts w:ascii="Arial" w:cs="Arial" w:eastAsia="Arial" w:hAnsi="Arial"/>
          <w:sz w:val="17"/>
          <w:szCs w:val="17"/>
          <w:color w:val="auto"/>
        </w:rPr>
        <w:t>where all segments registered favorable</w:t>
      </w:r>
      <w:r>
        <w:rPr>
          <w:rFonts w:ascii="Arial" w:cs="Arial" w:eastAsia="Arial" w:hAnsi="Arial"/>
          <w:sz w:val="17"/>
          <w:szCs w:val="17"/>
          <w:b w:val="1"/>
          <w:bCs w:val="1"/>
          <w:color w:val="auto"/>
        </w:rPr>
        <w:t xml:space="preserve"> </w:t>
      </w:r>
      <w:r>
        <w:rPr>
          <w:rFonts w:ascii="Arial" w:cs="Arial" w:eastAsia="Arial" w:hAnsi="Arial"/>
          <w:sz w:val="17"/>
          <w:szCs w:val="17"/>
          <w:color w:val="auto"/>
        </w:rPr>
        <w:t>evolution. The SME-Pyme segment led expansion through growth in the small client segment (loans&lt;90 thousand soles). It is important to note that this new segment has a higher risk profile, which is nonetheless offset by higher interest rates. Mortgage also evolved positively prepayment levels fell.</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both"/>
        <w:ind w:left="620" w:hanging="309"/>
        <w:spacing w:after="0" w:line="242"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Mibanco, </w:t>
      </w:r>
      <w:r>
        <w:rPr>
          <w:rFonts w:ascii="Arial" w:cs="Arial" w:eastAsia="Arial" w:hAnsi="Arial"/>
          <w:sz w:val="17"/>
          <w:szCs w:val="17"/>
          <w:color w:val="auto"/>
        </w:rPr>
        <w:t>where the hybrid model led to an uptick in</w:t>
      </w:r>
      <w:r>
        <w:rPr>
          <w:rFonts w:ascii="Arial" w:cs="Arial" w:eastAsia="Arial" w:hAnsi="Arial"/>
          <w:sz w:val="17"/>
          <w:szCs w:val="17"/>
          <w:b w:val="1"/>
          <w:bCs w:val="1"/>
          <w:color w:val="auto"/>
        </w:rPr>
        <w:t xml:space="preserve"> </w:t>
      </w:r>
      <w:r>
        <w:rPr>
          <w:rFonts w:ascii="Arial" w:cs="Arial" w:eastAsia="Arial" w:hAnsi="Arial"/>
          <w:sz w:val="17"/>
          <w:szCs w:val="17"/>
          <w:color w:val="auto"/>
        </w:rPr>
        <w:t>disbursements through alternative channels to clients with lower risk; this growth offset the drop in disbursements through traditional channels.</w:t>
      </w:r>
    </w:p>
    <w:p>
      <w:pPr>
        <w:spacing w:after="0" w:line="155" w:lineRule="exact"/>
        <w:rPr>
          <w:sz w:val="20"/>
          <w:szCs w:val="20"/>
          <w:color w:val="auto"/>
        </w:rPr>
      </w:pPr>
    </w:p>
    <w:p>
      <w:pPr>
        <w:jc w:val="both"/>
        <w:ind w:left="320"/>
        <w:spacing w:after="0" w:line="247" w:lineRule="auto"/>
        <w:rPr>
          <w:sz w:val="20"/>
          <w:szCs w:val="20"/>
          <w:color w:val="auto"/>
        </w:rPr>
      </w:pPr>
      <w:r>
        <w:rPr>
          <w:rFonts w:ascii="Arial" w:cs="Arial" w:eastAsia="Arial" w:hAnsi="Arial"/>
          <w:sz w:val="17"/>
          <w:szCs w:val="17"/>
          <w:color w:val="auto"/>
        </w:rPr>
        <w:t>The aforementioned positive evolution was partially offset by a reduction in ADB in Wholesale Banking, which reflects amortization of Corporate loans at year-end.</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YoY, </w:t>
      </w:r>
      <w:r>
        <w:rPr>
          <w:rFonts w:ascii="Arial" w:cs="Arial" w:eastAsia="Arial" w:hAnsi="Arial"/>
          <w:sz w:val="17"/>
          <w:szCs w:val="17"/>
          <w:color w:val="auto"/>
        </w:rPr>
        <w:t>if we exclude the exchange rate effect (USDPEN: -4.3%), structural</w:t>
      </w:r>
      <w:r>
        <w:rPr>
          <w:rFonts w:ascii="Arial" w:cs="Arial" w:eastAsia="Arial" w:hAnsi="Arial"/>
          <w:sz w:val="17"/>
          <w:szCs w:val="17"/>
          <w:b w:val="1"/>
          <w:bCs w:val="1"/>
          <w:color w:val="auto"/>
        </w:rPr>
        <w:t xml:space="preserve"> </w:t>
      </w:r>
      <w:r>
        <w:rPr>
          <w:rFonts w:ascii="Arial" w:cs="Arial" w:eastAsia="Arial" w:hAnsi="Arial"/>
          <w:sz w:val="17"/>
          <w:szCs w:val="17"/>
          <w:color w:val="auto"/>
        </w:rPr>
        <w:t>loans in average daily balances rose 11.5%. This growth was driven mainly by:</w:t>
      </w:r>
    </w:p>
    <w:p>
      <w:pPr>
        <w:spacing w:after="0" w:line="200" w:lineRule="exact"/>
        <w:rPr>
          <w:sz w:val="20"/>
          <w:szCs w:val="20"/>
          <w:color w:val="auto"/>
        </w:rPr>
      </w:pPr>
    </w:p>
    <w:p>
      <w:pPr>
        <w:sectPr>
          <w:pgSz w:w="11900" w:h="16838" w:orient="portrait"/>
          <w:cols w:equalWidth="0" w:num="2">
            <w:col w:w="5400" w:space="440"/>
            <w:col w:w="5400"/>
          </w:cols>
          <w:pgMar w:left="320" w:top="659" w:right="339" w:bottom="1440" w:gutter="0" w:footer="0" w:header="0"/>
          <w:type w:val="continuous"/>
        </w:sectPr>
      </w:pPr>
    </w:p>
    <w:p>
      <w:pPr>
        <w:spacing w:after="0" w:line="36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714184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type w:val="continuous"/>
        </w:sectPr>
      </w:pPr>
    </w:p>
    <w:bookmarkStart w:id="17" w:name="page18"/>
    <w:bookmarkEnd w:id="17"/>
    <w:p>
      <w:pPr>
        <w:spacing w:after="0" w:line="17" w:lineRule="exact"/>
        <w:rPr>
          <w:sz w:val="20"/>
          <w:szCs w:val="20"/>
          <w:color w:val="auto"/>
        </w:rPr>
      </w:pPr>
    </w:p>
    <w:p>
      <w:pPr>
        <w:jc w:val="center"/>
        <w:ind w:left="2763"/>
        <w:spacing w:after="0"/>
        <w:rPr>
          <w:sz w:val="20"/>
          <w:szCs w:val="20"/>
          <w:color w:val="auto"/>
        </w:rPr>
      </w:pPr>
      <w:r>
        <w:rPr>
          <w:rFonts w:ascii="Arial" w:cs="Arial" w:eastAsia="Arial" w:hAnsi="Arial"/>
          <w:sz w:val="17"/>
          <w:szCs w:val="17"/>
          <w:b w:val="1"/>
          <w:bCs w:val="1"/>
          <w:color w:val="A5A5A5"/>
        </w:rPr>
        <w:t>Earnings Release 4Q / 2022</w:t>
      </w:r>
    </w:p>
    <w:p>
      <w:pPr>
        <w:spacing w:after="0" w:line="374" w:lineRule="exact"/>
        <w:rPr>
          <w:sz w:val="20"/>
          <w:szCs w:val="20"/>
          <w:color w:val="auto"/>
        </w:rPr>
      </w:pPr>
    </w:p>
    <w:p>
      <w:pPr>
        <w:ind w:left="343" w:hanging="343"/>
        <w:spacing w:after="0"/>
        <w:tabs>
          <w:tab w:leader="none" w:pos="343" w:val="left"/>
        </w:tabs>
        <w:numPr>
          <w:ilvl w:val="0"/>
          <w:numId w:val="14"/>
        </w:numPr>
        <w:rPr>
          <w:rFonts w:ascii="Arial" w:cs="Arial" w:eastAsia="Arial" w:hAnsi="Arial"/>
          <w:sz w:val="20"/>
          <w:szCs w:val="20"/>
          <w:b w:val="1"/>
          <w:bCs w:val="1"/>
          <w:color w:val="FFFFFF"/>
        </w:rPr>
      </w:pPr>
      <w:r>
        <w:rPr>
          <w:rFonts w:ascii="Arial" w:cs="Arial" w:eastAsia="Arial" w:hAnsi="Arial"/>
          <w:sz w:val="20"/>
          <w:szCs w:val="20"/>
          <w:b w:val="1"/>
          <w:bCs w:val="1"/>
          <w:color w:val="FFFFFF"/>
        </w:rPr>
        <w:t>Loan Portfolio</w:t>
      </w:r>
    </w:p>
    <w:p>
      <w:pPr>
        <w:spacing w:after="0" w:line="257" w:lineRule="exact"/>
        <w:rPr>
          <w:rFonts w:ascii="Arial" w:cs="Arial" w:eastAsia="Arial" w:hAnsi="Arial"/>
          <w:sz w:val="20"/>
          <w:szCs w:val="20"/>
          <w:b w:val="1"/>
          <w:bCs w:val="1"/>
          <w:color w:val="FFFFFF"/>
        </w:rPr>
      </w:pPr>
    </w:p>
    <w:p>
      <w:pPr>
        <w:jc w:val="both"/>
        <w:ind w:left="543" w:hanging="297"/>
        <w:spacing w:after="0" w:line="238" w:lineRule="auto"/>
        <w:tabs>
          <w:tab w:leader="none" w:pos="543"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Wholesale Banking, where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and </w:t>
      </w:r>
      <w:r>
        <w:rPr>
          <w:rFonts w:ascii="Arial" w:cs="Arial" w:eastAsia="Arial" w:hAnsi="Arial"/>
          <w:sz w:val="17"/>
          <w:szCs w:val="17"/>
          <w:b w:val="1"/>
          <w:bCs w:val="1"/>
          <w:color w:val="auto"/>
        </w:rPr>
        <w:t>Middle-Market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Banking </w:t>
      </w:r>
      <w:r>
        <w:rPr>
          <w:rFonts w:ascii="Arial" w:cs="Arial" w:eastAsia="Arial" w:hAnsi="Arial"/>
          <w:sz w:val="17"/>
          <w:szCs w:val="17"/>
          <w:color w:val="auto"/>
        </w:rPr>
        <w:t>led growth in ADB due to a variation in the base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which reflected higher debt amortization in 4Q21 than in 4Q22. Despite this growth, Wholesale Banking’s share of loan volume fell 64 bps in a context marked my heightened competition from new entrants to the corporate segment.</w:t>
      </w:r>
    </w:p>
    <w:p>
      <w:pPr>
        <w:spacing w:after="0" w:line="157" w:lineRule="exact"/>
        <w:rPr>
          <w:rFonts w:ascii="Arial" w:cs="Arial" w:eastAsia="Arial" w:hAnsi="Arial"/>
          <w:sz w:val="17"/>
          <w:szCs w:val="17"/>
          <w:color w:val="auto"/>
        </w:rPr>
      </w:pPr>
    </w:p>
    <w:p>
      <w:pPr>
        <w:jc w:val="both"/>
        <w:ind w:left="543" w:right="20" w:hanging="297"/>
        <w:spacing w:after="0" w:line="242" w:lineRule="auto"/>
        <w:tabs>
          <w:tab w:leader="none" w:pos="543"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Retail Banking at BCP, where the </w:t>
      </w:r>
      <w:r>
        <w:rPr>
          <w:rFonts w:ascii="Arial" w:cs="Arial" w:eastAsia="Arial" w:hAnsi="Arial"/>
          <w:sz w:val="17"/>
          <w:szCs w:val="17"/>
          <w:b w:val="1"/>
          <w:bCs w:val="1"/>
          <w:color w:val="auto"/>
        </w:rPr>
        <w:t>Consumer</w:t>
      </w:r>
      <w:r>
        <w:rPr>
          <w:rFonts w:ascii="Arial" w:cs="Arial" w:eastAsia="Arial" w:hAnsi="Arial"/>
          <w:sz w:val="17"/>
          <w:szCs w:val="17"/>
          <w:color w:val="auto"/>
        </w:rPr>
        <w:t xml:space="preserve"> and </w:t>
      </w:r>
      <w:r>
        <w:rPr>
          <w:rFonts w:ascii="Arial" w:cs="Arial" w:eastAsia="Arial" w:hAnsi="Arial"/>
          <w:sz w:val="17"/>
          <w:szCs w:val="17"/>
          <w:b w:val="1"/>
          <w:bCs w:val="1"/>
          <w:color w:val="auto"/>
        </w:rPr>
        <w:t>Mortgage</w:t>
      </w:r>
      <w:r>
        <w:rPr>
          <w:rFonts w:ascii="Arial" w:cs="Arial" w:eastAsia="Arial" w:hAnsi="Arial"/>
          <w:sz w:val="17"/>
          <w:szCs w:val="17"/>
          <w:color w:val="auto"/>
        </w:rPr>
        <w:t xml:space="preserve"> segments led expansion followed by the </w:t>
      </w:r>
      <w:r>
        <w:rPr>
          <w:rFonts w:ascii="Arial" w:cs="Arial" w:eastAsia="Arial" w:hAnsi="Arial"/>
          <w:sz w:val="17"/>
          <w:szCs w:val="17"/>
          <w:b w:val="1"/>
          <w:bCs w:val="1"/>
          <w:color w:val="auto"/>
        </w:rPr>
        <w:t>SME-Pyme</w:t>
      </w:r>
      <w:r>
        <w:rPr>
          <w:rFonts w:ascii="Arial" w:cs="Arial" w:eastAsia="Arial" w:hAnsi="Arial"/>
          <w:sz w:val="17"/>
          <w:szCs w:val="17"/>
          <w:color w:val="auto"/>
        </w:rPr>
        <w:t xml:space="preserve"> and Credit Card segments. These dynamics were driven by an uptick in consumption in a context of economic activation.</w:t>
      </w:r>
    </w:p>
    <w:p>
      <w:pPr>
        <w:spacing w:after="0" w:line="155" w:lineRule="exact"/>
        <w:rPr>
          <w:sz w:val="20"/>
          <w:szCs w:val="20"/>
          <w:color w:val="auto"/>
        </w:rPr>
      </w:pPr>
    </w:p>
    <w:p>
      <w:pPr>
        <w:jc w:val="center"/>
        <w:ind w:right="57"/>
        <w:spacing w:after="0"/>
        <w:rPr>
          <w:sz w:val="20"/>
          <w:szCs w:val="20"/>
          <w:color w:val="auto"/>
        </w:rPr>
      </w:pPr>
      <w:r>
        <w:rPr>
          <w:rFonts w:ascii="Arial" w:cs="Arial" w:eastAsia="Arial" w:hAnsi="Arial"/>
          <w:sz w:val="17"/>
          <w:szCs w:val="17"/>
          <w:b w:val="1"/>
          <w:bCs w:val="1"/>
          <w:color w:val="auto"/>
        </w:rPr>
        <w:t>Government Program Loans</w:t>
      </w:r>
    </w:p>
    <w:p>
      <w:pPr>
        <w:spacing w:after="0" w:line="9" w:lineRule="exact"/>
        <w:rPr>
          <w:sz w:val="20"/>
          <w:szCs w:val="20"/>
          <w:color w:val="auto"/>
        </w:rPr>
      </w:pPr>
    </w:p>
    <w:p>
      <w:pPr>
        <w:jc w:val="center"/>
        <w:ind w:right="57"/>
        <w:spacing w:after="0"/>
        <w:rPr>
          <w:sz w:val="20"/>
          <w:szCs w:val="20"/>
          <w:color w:val="auto"/>
        </w:rPr>
      </w:pPr>
      <w:r>
        <w:rPr>
          <w:rFonts w:ascii="Arial" w:cs="Arial" w:eastAsia="Arial" w:hAnsi="Arial"/>
          <w:sz w:val="17"/>
          <w:szCs w:val="17"/>
          <w:color w:val="auto"/>
        </w:rPr>
        <w:t>(in Average Daily Balances -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116205</wp:posOffset>
            </wp:positionV>
            <wp:extent cx="2596515" cy="10782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96515" cy="1078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80"/>
        <w:spacing w:after="0"/>
        <w:rPr>
          <w:sz w:val="20"/>
          <w:szCs w:val="20"/>
          <w:color w:val="auto"/>
        </w:rPr>
      </w:pP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-316865</wp:posOffset>
            </wp:positionV>
            <wp:extent cx="7141845" cy="7588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845" cy="75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hanging="309"/>
        <w:spacing w:after="0" w:line="263"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Mibanco, </w:t>
      </w:r>
      <w:r>
        <w:rPr>
          <w:rFonts w:ascii="Arial" w:cs="Arial" w:eastAsia="Arial" w:hAnsi="Arial"/>
          <w:sz w:val="17"/>
          <w:szCs w:val="17"/>
          <w:color w:val="auto"/>
        </w:rPr>
        <w:t>due to the same drivers as those seen in the QoQ</w:t>
      </w:r>
      <w:r>
        <w:rPr>
          <w:rFonts w:ascii="Arial" w:cs="Arial" w:eastAsia="Arial" w:hAnsi="Arial"/>
          <w:sz w:val="17"/>
          <w:szCs w:val="17"/>
          <w:b w:val="1"/>
          <w:bCs w:val="1"/>
          <w:color w:val="auto"/>
        </w:rPr>
        <w:t xml:space="preserve"> </w:t>
      </w:r>
      <w:r>
        <w:rPr>
          <w:rFonts w:ascii="Arial" w:cs="Arial" w:eastAsia="Arial" w:hAnsi="Arial"/>
          <w:sz w:val="17"/>
          <w:szCs w:val="17"/>
          <w:color w:val="auto"/>
        </w:rPr>
        <w:t>dynamic.</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FY, </w:t>
      </w:r>
      <w:r>
        <w:rPr>
          <w:rFonts w:ascii="Arial" w:cs="Arial" w:eastAsia="Arial" w:hAnsi="Arial"/>
          <w:sz w:val="17"/>
          <w:szCs w:val="17"/>
          <w:color w:val="auto"/>
        </w:rPr>
        <w:t>loans in average daily balances rose 11.3%; excluding the variation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exchange rate (USDPEN: -4.3%), balances rose 11.9%, driven by BCP Stand-alone and Mibanco. This growth was led by:</w:t>
      </w:r>
    </w:p>
    <w:p>
      <w:pPr>
        <w:spacing w:after="0" w:line="151" w:lineRule="exact"/>
        <w:rPr>
          <w:sz w:val="20"/>
          <w:szCs w:val="20"/>
          <w:color w:val="auto"/>
        </w:rPr>
      </w:pPr>
    </w:p>
    <w:p>
      <w:pPr>
        <w:ind w:left="620" w:hanging="309"/>
        <w:spacing w:after="0" w:line="263"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Wholesale Banking, </w:t>
      </w:r>
      <w:r>
        <w:rPr>
          <w:rFonts w:ascii="Arial" w:cs="Arial" w:eastAsia="Arial" w:hAnsi="Arial"/>
          <w:sz w:val="17"/>
          <w:szCs w:val="17"/>
          <w:color w:val="auto"/>
        </w:rPr>
        <w:t>which participated actively in lending</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fishing and agricultural campaigns.</w:t>
      </w:r>
    </w:p>
    <w:p>
      <w:pPr>
        <w:spacing w:after="0" w:line="137" w:lineRule="exact"/>
        <w:rPr>
          <w:rFonts w:ascii="Arial" w:cs="Arial" w:eastAsia="Arial" w:hAnsi="Arial"/>
          <w:sz w:val="17"/>
          <w:szCs w:val="17"/>
          <w:color w:val="auto"/>
        </w:rPr>
      </w:pPr>
    </w:p>
    <w:p>
      <w:pPr>
        <w:ind w:left="620" w:hanging="309"/>
        <w:spacing w:after="0" w:line="263"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Consumer, </w:t>
      </w:r>
      <w:r>
        <w:rPr>
          <w:rFonts w:ascii="Arial" w:cs="Arial" w:eastAsia="Arial" w:hAnsi="Arial"/>
          <w:sz w:val="17"/>
          <w:szCs w:val="17"/>
          <w:color w:val="auto"/>
        </w:rPr>
        <w:t>due to an uptick in cash loan disbursements this</w:t>
      </w:r>
      <w:r>
        <w:rPr>
          <w:rFonts w:ascii="Arial" w:cs="Arial" w:eastAsia="Arial" w:hAnsi="Arial"/>
          <w:sz w:val="17"/>
          <w:szCs w:val="17"/>
          <w:b w:val="1"/>
          <w:bCs w:val="1"/>
          <w:color w:val="auto"/>
        </w:rPr>
        <w:t xml:space="preserve"> </w:t>
      </w:r>
      <w:r>
        <w:rPr>
          <w:rFonts w:ascii="Arial" w:cs="Arial" w:eastAsia="Arial" w:hAnsi="Arial"/>
          <w:sz w:val="17"/>
          <w:szCs w:val="17"/>
          <w:color w:val="auto"/>
        </w:rPr>
        <w:t>year.</w:t>
      </w:r>
    </w:p>
    <w:p>
      <w:pPr>
        <w:spacing w:after="0" w:line="137" w:lineRule="exact"/>
        <w:rPr>
          <w:rFonts w:ascii="Arial" w:cs="Arial" w:eastAsia="Arial" w:hAnsi="Arial"/>
          <w:sz w:val="17"/>
          <w:szCs w:val="17"/>
          <w:color w:val="auto"/>
        </w:rPr>
      </w:pPr>
    </w:p>
    <w:p>
      <w:pPr>
        <w:jc w:val="both"/>
        <w:ind w:left="620" w:hanging="309"/>
        <w:spacing w:after="0" w:line="242"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Mibanco, </w:t>
      </w:r>
      <w:r>
        <w:rPr>
          <w:rFonts w:ascii="Arial" w:cs="Arial" w:eastAsia="Arial" w:hAnsi="Arial"/>
          <w:sz w:val="17"/>
          <w:szCs w:val="17"/>
          <w:color w:val="auto"/>
        </w:rPr>
        <w:t>which thanks to the hybrid model has experienced</w:t>
      </w:r>
      <w:r>
        <w:rPr>
          <w:rFonts w:ascii="Arial" w:cs="Arial" w:eastAsia="Arial" w:hAnsi="Arial"/>
          <w:sz w:val="17"/>
          <w:szCs w:val="17"/>
          <w:b w:val="1"/>
          <w:bCs w:val="1"/>
          <w:color w:val="auto"/>
        </w:rPr>
        <w:t xml:space="preserve"> </w:t>
      </w:r>
      <w:r>
        <w:rPr>
          <w:rFonts w:ascii="Arial" w:cs="Arial" w:eastAsia="Arial" w:hAnsi="Arial"/>
          <w:sz w:val="17"/>
          <w:szCs w:val="17"/>
          <w:color w:val="auto"/>
        </w:rPr>
        <w:t>growth in loan disbursements through alternative channels. In this context, Mibanco’s share of total loans at Credicorp rose from 8.7% to 9.3%.</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Government Program loans (GP) fell 19.6% QoQ and 45.5% YoY. Both drops were primarily attributable to amortizations by Small, Medium and Large Companies at BCP Stand-alone. GP loans in quarter-end balances represented 6% of total quarter-end balances (vs 8% in Sep22 and 12% in Dec21).</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term for total amortization of GP loans in the Wholesale Banking, Retail Banking and Mibanco portfolios expires, on average, in 1.2, 1.6 and 2.7 years respectively.</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37465</wp:posOffset>
            </wp:positionV>
            <wp:extent cx="714184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2">
            <w:col w:w="5343" w:space="440"/>
            <w:col w:w="5400"/>
          </w:cols>
          <w:pgMar w:left="377" w:top="634" w:right="339" w:bottom="1440" w:gutter="0" w:footer="0" w:header="0"/>
        </w:sectPr>
      </w:pPr>
    </w:p>
    <w:bookmarkStart w:id="18" w:name="page19"/>
    <w:bookmarkEnd w:id="18"/>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360680</wp:posOffset>
            </wp:positionV>
            <wp:extent cx="7141845" cy="535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2393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845" cy="239395"/>
                    </a:xfrm>
                    <a:prstGeom prst="rect">
                      <a:avLst/>
                    </a:prstGeom>
                    <a:noFill/>
                  </pic:spPr>
                </pic:pic>
              </a:graphicData>
            </a:graphic>
          </wp:anchor>
        </w:drawing>
      </w:r>
    </w:p>
    <w:p>
      <w:pPr>
        <w:spacing w:after="0" w:line="37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01. Loan Portfolio</w:t>
      </w:r>
    </w:p>
    <w:p>
      <w:pPr>
        <w:spacing w:after="0" w:line="297"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 xml:space="preserve">Total loans (in Average Daily Balances) </w:t>
      </w:r>
      <w:r>
        <w:rPr>
          <w:rFonts w:ascii="Arial" w:cs="Arial" w:eastAsia="Arial" w:hAnsi="Arial"/>
          <w:sz w:val="27"/>
          <w:szCs w:val="27"/>
          <w:b w:val="1"/>
          <w:bCs w:val="1"/>
          <w:color w:val="auto"/>
          <w:vertAlign w:val="superscript"/>
        </w:rPr>
        <w:t>(1) (2)</w:t>
      </w:r>
    </w:p>
    <w:p>
      <w:pPr>
        <w:spacing w:after="0" w:line="74"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2160" w:type="dxa"/>
            <w:vAlign w:val="bottom"/>
            <w:tcBorders>
              <w:top w:val="single" w:sz="8" w:color="auto"/>
              <w:left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8"/>
                <w:szCs w:val="18"/>
                <w:b w:val="1"/>
                <w:bCs w:val="1"/>
                <w:color w:val="FFFFFF"/>
              </w:rPr>
              <w:t>Total Loans</w:t>
            </w:r>
          </w:p>
        </w:tc>
        <w:tc>
          <w:tcPr>
            <w:tcW w:w="900" w:type="dxa"/>
            <w:vAlign w:val="bottom"/>
            <w:tcBorders>
              <w:top w:val="single" w:sz="8" w:color="auto"/>
            </w:tcBorders>
            <w:shd w:val="clear" w:color="auto" w:fill="2AD2C9"/>
          </w:tcPr>
          <w:p>
            <w:pPr>
              <w:spacing w:after="0"/>
              <w:rPr>
                <w:sz w:val="24"/>
                <w:szCs w:val="24"/>
                <w:color w:val="auto"/>
              </w:rPr>
            </w:pPr>
          </w:p>
        </w:tc>
        <w:tc>
          <w:tcPr>
            <w:tcW w:w="90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rPr>
              <w:t>As of</w:t>
            </w:r>
          </w:p>
        </w:tc>
        <w:tc>
          <w:tcPr>
            <w:tcW w:w="920" w:type="dxa"/>
            <w:vAlign w:val="bottom"/>
            <w:tcBorders>
              <w:top w:val="single" w:sz="8" w:color="auto"/>
              <w:right w:val="single" w:sz="8" w:color="auto"/>
            </w:tcBorders>
            <w:shd w:val="clear" w:color="auto" w:fill="2AD2C9"/>
          </w:tcPr>
          <w:p>
            <w:pPr>
              <w:spacing w:after="0"/>
              <w:rPr>
                <w:sz w:val="24"/>
                <w:szCs w:val="24"/>
                <w:color w:val="auto"/>
              </w:rPr>
            </w:pPr>
          </w:p>
        </w:tc>
        <w:tc>
          <w:tcPr>
            <w:tcW w:w="1820" w:type="dxa"/>
            <w:vAlign w:val="bottom"/>
            <w:tcBorders>
              <w:top w:val="single" w:sz="8" w:color="auto"/>
              <w:right w:val="single" w:sz="8" w:color="auto"/>
            </w:tcBorders>
            <w:gridSpan w:val="2"/>
            <w:shd w:val="clear" w:color="auto" w:fill="2AD2C9"/>
          </w:tcPr>
          <w:p>
            <w:pPr>
              <w:ind w:left="220"/>
              <w:spacing w:after="0"/>
              <w:rPr>
                <w:sz w:val="20"/>
                <w:szCs w:val="20"/>
                <w:color w:val="auto"/>
              </w:rPr>
            </w:pPr>
            <w:r>
              <w:rPr>
                <w:rFonts w:ascii="Arial" w:cs="Arial" w:eastAsia="Arial" w:hAnsi="Arial"/>
                <w:sz w:val="18"/>
                <w:szCs w:val="18"/>
                <w:b w:val="1"/>
                <w:bCs w:val="1"/>
                <w:color w:val="FFFFFF"/>
              </w:rPr>
              <w:t>Volume change</w:t>
            </w:r>
          </w:p>
        </w:tc>
        <w:tc>
          <w:tcPr>
            <w:tcW w:w="1780" w:type="dxa"/>
            <w:vAlign w:val="bottom"/>
            <w:tcBorders>
              <w:top w:val="single" w:sz="8" w:color="auto"/>
              <w:right w:val="single" w:sz="8" w:color="auto"/>
            </w:tcBorders>
            <w:gridSpan w:val="2"/>
            <w:shd w:val="clear" w:color="auto" w:fill="2AD2C9"/>
          </w:tcPr>
          <w:p>
            <w:pPr>
              <w:ind w:left="440"/>
              <w:spacing w:after="0"/>
              <w:rPr>
                <w:sz w:val="20"/>
                <w:szCs w:val="20"/>
                <w:color w:val="auto"/>
              </w:rPr>
            </w:pPr>
            <w:r>
              <w:rPr>
                <w:rFonts w:ascii="Arial" w:cs="Arial" w:eastAsia="Arial" w:hAnsi="Arial"/>
                <w:sz w:val="18"/>
                <w:szCs w:val="18"/>
                <w:b w:val="1"/>
                <w:bCs w:val="1"/>
                <w:color w:val="FFFFFF"/>
              </w:rPr>
              <w:t>% change</w:t>
            </w:r>
          </w:p>
        </w:tc>
        <w:tc>
          <w:tcPr>
            <w:tcW w:w="2680" w:type="dxa"/>
            <w:vAlign w:val="bottom"/>
            <w:tcBorders>
              <w:top w:val="single" w:sz="8" w:color="auto"/>
              <w:right w:val="single" w:sz="8" w:color="auto"/>
            </w:tcBorders>
            <w:gridSpan w:val="3"/>
            <w:shd w:val="clear" w:color="auto" w:fill="2AD2C9"/>
          </w:tcPr>
          <w:p>
            <w:pPr>
              <w:jc w:val="center"/>
              <w:spacing w:after="0"/>
              <w:rPr>
                <w:sz w:val="20"/>
                <w:szCs w:val="20"/>
                <w:color w:val="auto"/>
              </w:rPr>
            </w:pPr>
            <w:r>
              <w:rPr>
                <w:rFonts w:ascii="Arial" w:cs="Arial" w:eastAsia="Arial" w:hAnsi="Arial"/>
                <w:sz w:val="18"/>
                <w:szCs w:val="18"/>
                <w:b w:val="1"/>
                <w:bCs w:val="1"/>
                <w:color w:val="FFFFFF"/>
              </w:rPr>
              <w:t>% Part. in total loans</w:t>
            </w: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8"/>
                <w:szCs w:val="18"/>
                <w:color w:val="FFFFFF"/>
              </w:rPr>
              <w:t>(S/ millions)</w:t>
            </w:r>
          </w:p>
        </w:tc>
        <w:tc>
          <w:tcPr>
            <w:tcW w:w="900" w:type="dxa"/>
            <w:vAlign w:val="bottom"/>
            <w:vMerge w:val="restart"/>
            <w:shd w:val="clear" w:color="auto" w:fill="2AD2C9"/>
          </w:tcPr>
          <w:p>
            <w:pPr>
              <w:ind w:left="160"/>
              <w:spacing w:after="0"/>
              <w:rPr>
                <w:sz w:val="20"/>
                <w:szCs w:val="20"/>
                <w:color w:val="auto"/>
              </w:rPr>
            </w:pPr>
            <w:r>
              <w:rPr>
                <w:rFonts w:ascii="Arial" w:cs="Arial" w:eastAsia="Arial" w:hAnsi="Arial"/>
                <w:sz w:val="18"/>
                <w:szCs w:val="18"/>
                <w:b w:val="1"/>
                <w:bCs w:val="1"/>
                <w:color w:val="FFFFFF"/>
              </w:rPr>
              <w:t>Dec 21</w:t>
            </w:r>
          </w:p>
        </w:tc>
        <w:tc>
          <w:tcPr>
            <w:tcW w:w="900" w:type="dxa"/>
            <w:vAlign w:val="bottom"/>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w:t>
            </w:r>
          </w:p>
        </w:tc>
        <w:tc>
          <w:tcPr>
            <w:tcW w:w="920" w:type="dxa"/>
            <w:vAlign w:val="bottom"/>
            <w:tcBorders>
              <w:right w:val="single" w:sz="8" w:color="auto"/>
            </w:tcBorders>
            <w:vMerge w:val="restart"/>
            <w:shd w:val="clear" w:color="auto" w:fill="2AD2C9"/>
          </w:tcPr>
          <w:p>
            <w:pPr>
              <w:ind w:left="160"/>
              <w:spacing w:after="0"/>
              <w:rPr>
                <w:sz w:val="20"/>
                <w:szCs w:val="20"/>
                <w:color w:val="auto"/>
              </w:rPr>
            </w:pPr>
            <w:r>
              <w:rPr>
                <w:rFonts w:ascii="Arial" w:cs="Arial" w:eastAsia="Arial" w:hAnsi="Arial"/>
                <w:sz w:val="18"/>
                <w:szCs w:val="18"/>
                <w:b w:val="1"/>
                <w:bCs w:val="1"/>
                <w:color w:val="FFFFFF"/>
              </w:rPr>
              <w:t>Dec 22</w:t>
            </w:r>
          </w:p>
        </w:tc>
        <w:tc>
          <w:tcPr>
            <w:tcW w:w="900" w:type="dxa"/>
            <w:vAlign w:val="bottom"/>
            <w:vMerge w:val="restart"/>
            <w:shd w:val="clear" w:color="auto" w:fill="2AD2C9"/>
          </w:tcPr>
          <w:p>
            <w:pPr>
              <w:ind w:left="240"/>
              <w:spacing w:after="0"/>
              <w:rPr>
                <w:sz w:val="20"/>
                <w:szCs w:val="20"/>
                <w:color w:val="auto"/>
              </w:rPr>
            </w:pPr>
            <w:r>
              <w:rPr>
                <w:rFonts w:ascii="Arial" w:cs="Arial" w:eastAsia="Arial" w:hAnsi="Arial"/>
                <w:sz w:val="18"/>
                <w:szCs w:val="18"/>
                <w:b w:val="1"/>
                <w:bCs w:val="1"/>
                <w:color w:val="FFFFFF"/>
              </w:rPr>
              <w:t>QoQ</w:t>
            </w:r>
          </w:p>
        </w:tc>
        <w:tc>
          <w:tcPr>
            <w:tcW w:w="920" w:type="dxa"/>
            <w:vAlign w:val="bottom"/>
            <w:tcBorders>
              <w:right w:val="single" w:sz="8" w:color="auto"/>
            </w:tcBorders>
            <w:vMerge w:val="restart"/>
            <w:shd w:val="clear" w:color="auto" w:fill="2AD2C9"/>
          </w:tcPr>
          <w:p>
            <w:pPr>
              <w:ind w:left="260"/>
              <w:spacing w:after="0"/>
              <w:rPr>
                <w:sz w:val="20"/>
                <w:szCs w:val="20"/>
                <w:color w:val="auto"/>
              </w:rPr>
            </w:pPr>
            <w:r>
              <w:rPr>
                <w:rFonts w:ascii="Arial" w:cs="Arial" w:eastAsia="Arial" w:hAnsi="Arial"/>
                <w:sz w:val="18"/>
                <w:szCs w:val="18"/>
                <w:b w:val="1"/>
                <w:bCs w:val="1"/>
                <w:color w:val="FFFFFF"/>
              </w:rPr>
              <w:t>YoY</w:t>
            </w:r>
          </w:p>
        </w:tc>
        <w:tc>
          <w:tcPr>
            <w:tcW w:w="840" w:type="dxa"/>
            <w:vAlign w:val="bottom"/>
            <w:vMerge w:val="restart"/>
            <w:shd w:val="clear" w:color="auto" w:fill="2AD2C9"/>
          </w:tcPr>
          <w:p>
            <w:pPr>
              <w:ind w:left="240"/>
              <w:spacing w:after="0"/>
              <w:rPr>
                <w:sz w:val="20"/>
                <w:szCs w:val="20"/>
                <w:color w:val="auto"/>
              </w:rPr>
            </w:pPr>
            <w:r>
              <w:rPr>
                <w:rFonts w:ascii="Arial" w:cs="Arial" w:eastAsia="Arial" w:hAnsi="Arial"/>
                <w:sz w:val="18"/>
                <w:szCs w:val="18"/>
                <w:b w:val="1"/>
                <w:bCs w:val="1"/>
                <w:color w:val="FFFFFF"/>
              </w:rPr>
              <w:t>QoQ</w:t>
            </w:r>
          </w:p>
        </w:tc>
        <w:tc>
          <w:tcPr>
            <w:tcW w:w="940" w:type="dxa"/>
            <w:vAlign w:val="bottom"/>
            <w:tcBorders>
              <w:right w:val="single" w:sz="8" w:color="auto"/>
            </w:tcBorders>
            <w:vMerge w:val="restart"/>
            <w:shd w:val="clear" w:color="auto" w:fill="2AD2C9"/>
          </w:tcPr>
          <w:p>
            <w:pPr>
              <w:ind w:left="300"/>
              <w:spacing w:after="0"/>
              <w:rPr>
                <w:sz w:val="20"/>
                <w:szCs w:val="20"/>
                <w:color w:val="auto"/>
              </w:rPr>
            </w:pPr>
            <w:r>
              <w:rPr>
                <w:rFonts w:ascii="Arial" w:cs="Arial" w:eastAsia="Arial" w:hAnsi="Arial"/>
                <w:sz w:val="18"/>
                <w:szCs w:val="18"/>
                <w:b w:val="1"/>
                <w:bCs w:val="1"/>
                <w:color w:val="FFFFFF"/>
              </w:rPr>
              <w:t>YoY</w:t>
            </w:r>
          </w:p>
        </w:tc>
        <w:tc>
          <w:tcPr>
            <w:tcW w:w="880" w:type="dxa"/>
            <w:vAlign w:val="bottom"/>
            <w:vMerge w:val="restart"/>
            <w:shd w:val="clear" w:color="auto" w:fill="2AD2C9"/>
          </w:tcPr>
          <w:p>
            <w:pPr>
              <w:ind w:left="140"/>
              <w:spacing w:after="0"/>
              <w:rPr>
                <w:sz w:val="20"/>
                <w:szCs w:val="20"/>
                <w:color w:val="auto"/>
              </w:rPr>
            </w:pPr>
            <w:r>
              <w:rPr>
                <w:rFonts w:ascii="Arial" w:cs="Arial" w:eastAsia="Arial" w:hAnsi="Arial"/>
                <w:sz w:val="18"/>
                <w:szCs w:val="18"/>
                <w:b w:val="1"/>
                <w:bCs w:val="1"/>
                <w:color w:val="FFFFFF"/>
              </w:rPr>
              <w:t>Dec 21</w:t>
            </w:r>
          </w:p>
        </w:tc>
        <w:tc>
          <w:tcPr>
            <w:tcW w:w="900" w:type="dxa"/>
            <w:vAlign w:val="bottom"/>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rPr>
              <w:t>Sep 22</w:t>
            </w:r>
          </w:p>
        </w:tc>
        <w:tc>
          <w:tcPr>
            <w:tcW w:w="900" w:type="dxa"/>
            <w:vAlign w:val="bottom"/>
            <w:tcBorders>
              <w:right w:val="single" w:sz="8" w:color="auto"/>
            </w:tcBorders>
            <w:vMerge w:val="restart"/>
            <w:shd w:val="clear" w:color="auto" w:fill="2AD2C9"/>
          </w:tcPr>
          <w:p>
            <w:pPr>
              <w:ind w:left="140"/>
              <w:spacing w:after="0"/>
              <w:rPr>
                <w:sz w:val="20"/>
                <w:szCs w:val="20"/>
                <w:color w:val="auto"/>
              </w:rPr>
            </w:pPr>
            <w:r>
              <w:rPr>
                <w:rFonts w:ascii="Arial" w:cs="Arial" w:eastAsia="Arial" w:hAnsi="Arial"/>
                <w:sz w:val="18"/>
                <w:szCs w:val="18"/>
                <w:b w:val="1"/>
                <w:bCs w:val="1"/>
                <w:color w:val="FFFFFF"/>
              </w:rPr>
              <w:t>Dec 22</w:t>
            </w:r>
          </w:p>
        </w:tc>
        <w:tc>
          <w:tcPr>
            <w:tcW w:w="0" w:type="dxa"/>
            <w:vAlign w:val="bottom"/>
          </w:tcPr>
          <w:p>
            <w:pPr>
              <w:spacing w:after="0"/>
              <w:rPr>
                <w:sz w:val="1"/>
                <w:szCs w:val="1"/>
                <w:color w:val="auto"/>
              </w:rPr>
            </w:pPr>
          </w:p>
        </w:tc>
      </w:tr>
      <w:tr>
        <w:trPr>
          <w:trHeight w:val="86"/>
        </w:trPr>
        <w:tc>
          <w:tcPr>
            <w:tcW w:w="2160" w:type="dxa"/>
            <w:vAlign w:val="bottom"/>
            <w:tcBorders>
              <w:left w:val="single" w:sz="8" w:color="auto"/>
              <w:bottom w:val="single" w:sz="8" w:color="auto"/>
              <w:right w:val="single" w:sz="8" w:color="auto"/>
            </w:tcBorders>
            <w:shd w:val="clear" w:color="auto" w:fill="2AD2C9"/>
          </w:tcPr>
          <w:p>
            <w:pPr>
              <w:spacing w:after="0"/>
              <w:rPr>
                <w:sz w:val="7"/>
                <w:szCs w:val="7"/>
                <w:color w:val="auto"/>
              </w:rPr>
            </w:pPr>
          </w:p>
        </w:tc>
        <w:tc>
          <w:tcPr>
            <w:tcW w:w="900" w:type="dxa"/>
            <w:vAlign w:val="bottom"/>
            <w:tcBorders>
              <w:bottom w:val="single" w:sz="8" w:color="auto"/>
            </w:tcBorders>
            <w:vMerge w:val="continue"/>
            <w:shd w:val="clear" w:color="auto" w:fill="2AD2C9"/>
          </w:tcPr>
          <w:p>
            <w:pPr>
              <w:spacing w:after="0"/>
              <w:rPr>
                <w:sz w:val="7"/>
                <w:szCs w:val="7"/>
                <w:color w:val="auto"/>
              </w:rPr>
            </w:pPr>
          </w:p>
        </w:tc>
        <w:tc>
          <w:tcPr>
            <w:tcW w:w="900" w:type="dxa"/>
            <w:vAlign w:val="bottom"/>
            <w:tcBorders>
              <w:bottom w:val="single" w:sz="8" w:color="auto"/>
            </w:tcBorders>
            <w:vMerge w:val="continue"/>
            <w:shd w:val="clear" w:color="auto" w:fill="2AD2C9"/>
          </w:tcPr>
          <w:p>
            <w:pPr>
              <w:spacing w:after="0"/>
              <w:rPr>
                <w:sz w:val="7"/>
                <w:szCs w:val="7"/>
                <w:color w:val="auto"/>
              </w:rPr>
            </w:pPr>
          </w:p>
        </w:tc>
        <w:tc>
          <w:tcPr>
            <w:tcW w:w="92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900" w:type="dxa"/>
            <w:vAlign w:val="bottom"/>
            <w:tcBorders>
              <w:bottom w:val="single" w:sz="8" w:color="auto"/>
            </w:tcBorders>
            <w:vMerge w:val="continue"/>
            <w:shd w:val="clear" w:color="auto" w:fill="2AD2C9"/>
          </w:tcPr>
          <w:p>
            <w:pPr>
              <w:spacing w:after="0"/>
              <w:rPr>
                <w:sz w:val="7"/>
                <w:szCs w:val="7"/>
                <w:color w:val="auto"/>
              </w:rPr>
            </w:pPr>
          </w:p>
        </w:tc>
        <w:tc>
          <w:tcPr>
            <w:tcW w:w="92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840" w:type="dxa"/>
            <w:vAlign w:val="bottom"/>
            <w:tcBorders>
              <w:bottom w:val="single" w:sz="8" w:color="auto"/>
            </w:tcBorders>
            <w:vMerge w:val="continue"/>
            <w:shd w:val="clear" w:color="auto" w:fill="2AD2C9"/>
          </w:tcPr>
          <w:p>
            <w:pPr>
              <w:spacing w:after="0"/>
              <w:rPr>
                <w:sz w:val="7"/>
                <w:szCs w:val="7"/>
                <w:color w:val="auto"/>
              </w:rPr>
            </w:pPr>
          </w:p>
        </w:tc>
        <w:tc>
          <w:tcPr>
            <w:tcW w:w="94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880" w:type="dxa"/>
            <w:vAlign w:val="bottom"/>
            <w:tcBorders>
              <w:bottom w:val="single" w:sz="8" w:color="auto"/>
            </w:tcBorders>
            <w:vMerge w:val="continue"/>
            <w:shd w:val="clear" w:color="auto" w:fill="2AD2C9"/>
          </w:tcPr>
          <w:p>
            <w:pPr>
              <w:spacing w:after="0"/>
              <w:rPr>
                <w:sz w:val="7"/>
                <w:szCs w:val="7"/>
                <w:color w:val="auto"/>
              </w:rPr>
            </w:pPr>
          </w:p>
        </w:tc>
        <w:tc>
          <w:tcPr>
            <w:tcW w:w="900" w:type="dxa"/>
            <w:vAlign w:val="bottom"/>
            <w:tcBorders>
              <w:bottom w:val="single" w:sz="8" w:color="auto"/>
            </w:tcBorders>
            <w:vMerge w:val="continue"/>
            <w:shd w:val="clear" w:color="auto" w:fill="2AD2C9"/>
          </w:tcPr>
          <w:p>
            <w:pPr>
              <w:spacing w:after="0"/>
              <w:rPr>
                <w:sz w:val="7"/>
                <w:szCs w:val="7"/>
                <w:color w:val="auto"/>
              </w:rPr>
            </w:pPr>
          </w:p>
        </w:tc>
        <w:tc>
          <w:tcPr>
            <w:tcW w:w="90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160" w:type="dxa"/>
            <w:vAlign w:val="bottom"/>
            <w:tcBorders>
              <w:left w:val="single" w:sz="8" w:color="auto"/>
              <w:right w:val="single" w:sz="8" w:color="auto"/>
            </w:tcBorders>
          </w:tcPr>
          <w:p>
            <w:pPr>
              <w:ind w:left="80"/>
              <w:spacing w:after="0" w:line="180" w:lineRule="exact"/>
              <w:rPr>
                <w:sz w:val="20"/>
                <w:szCs w:val="20"/>
                <w:color w:val="auto"/>
              </w:rPr>
            </w:pPr>
            <w:r>
              <w:rPr>
                <w:rFonts w:ascii="Arial" w:cs="Arial" w:eastAsia="Arial" w:hAnsi="Arial"/>
                <w:sz w:val="18"/>
                <w:szCs w:val="18"/>
                <w:b w:val="1"/>
                <w:bCs w:val="1"/>
                <w:color w:val="auto"/>
              </w:rPr>
              <w:t>BCP Stand-alone</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119,100</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124,101</w:t>
            </w:r>
          </w:p>
        </w:tc>
        <w:tc>
          <w:tcPr>
            <w:tcW w:w="9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rPr>
              <w:t>122,671</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-1,429</w:t>
            </w:r>
          </w:p>
        </w:tc>
        <w:tc>
          <w:tcPr>
            <w:tcW w:w="9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rPr>
              <w:t>3,571</w:t>
            </w:r>
          </w:p>
        </w:tc>
        <w:tc>
          <w:tcPr>
            <w:tcW w:w="8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-1.2%</w:t>
            </w:r>
          </w:p>
        </w:tc>
        <w:tc>
          <w:tcPr>
            <w:tcW w:w="9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rPr>
              <w:t>3.0%</w:t>
            </w:r>
          </w:p>
        </w:tc>
        <w:tc>
          <w:tcPr>
            <w:tcW w:w="8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82.1%</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82.4%</w:t>
            </w:r>
          </w:p>
        </w:tc>
        <w:tc>
          <w:tcPr>
            <w:tcW w:w="9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rPr>
              <w:t>82.2%</w:t>
            </w:r>
          </w:p>
        </w:tc>
        <w:tc>
          <w:tcPr>
            <w:tcW w:w="0" w:type="dxa"/>
            <w:vAlign w:val="bottom"/>
          </w:tcPr>
          <w:p>
            <w:pPr>
              <w:spacing w:after="0"/>
              <w:rPr>
                <w:sz w:val="1"/>
                <w:szCs w:val="1"/>
                <w:color w:val="auto"/>
              </w:rPr>
            </w:pPr>
          </w:p>
        </w:tc>
      </w:tr>
      <w:tr>
        <w:trPr>
          <w:trHeight w:val="201"/>
        </w:trPr>
        <w:tc>
          <w:tcPr>
            <w:tcW w:w="216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Wholesale Banking</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56,359</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59,387</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58,121</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-1,266</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1,762</w:t>
            </w:r>
          </w:p>
        </w:tc>
        <w:tc>
          <w:tcPr>
            <w:tcW w:w="8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-2.1%</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3.1%</w:t>
            </w:r>
          </w:p>
        </w:tc>
        <w:tc>
          <w:tcPr>
            <w:tcW w:w="8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38.9%</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39.4%</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39.0%</w:t>
            </w:r>
          </w:p>
        </w:tc>
        <w:tc>
          <w:tcPr>
            <w:tcW w:w="0" w:type="dxa"/>
            <w:vAlign w:val="bottom"/>
          </w:tcPr>
          <w:p>
            <w:pPr>
              <w:spacing w:after="0"/>
              <w:rPr>
                <w:sz w:val="1"/>
                <w:szCs w:val="1"/>
                <w:color w:val="auto"/>
              </w:rPr>
            </w:pPr>
          </w:p>
        </w:tc>
      </w:tr>
      <w:tr>
        <w:trPr>
          <w:trHeight w:val="21"/>
        </w:trPr>
        <w:tc>
          <w:tcPr>
            <w:tcW w:w="2160" w:type="dxa"/>
            <w:vAlign w:val="bottom"/>
            <w:tcBorders>
              <w:left w:val="single" w:sz="8" w:color="auto"/>
              <w:right w:val="single" w:sz="8" w:color="auto"/>
            </w:tcBorders>
            <w:vMerge w:val="restart"/>
          </w:tcPr>
          <w:p>
            <w:pPr>
              <w:ind w:left="360"/>
              <w:spacing w:after="0" w:line="201" w:lineRule="exact"/>
              <w:rPr>
                <w:sz w:val="20"/>
                <w:szCs w:val="20"/>
                <w:color w:val="auto"/>
              </w:rPr>
            </w:pPr>
            <w:r>
              <w:rPr>
                <w:rFonts w:ascii="Arial" w:cs="Arial" w:eastAsia="Arial" w:hAnsi="Arial"/>
                <w:sz w:val="18"/>
                <w:szCs w:val="18"/>
                <w:color w:val="auto"/>
              </w:rPr>
              <w:t>Corporate</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31,851</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34,961</w:t>
            </w:r>
          </w:p>
        </w:tc>
        <w:tc>
          <w:tcPr>
            <w:tcW w:w="92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rPr>
              <w:t>34,086</w:t>
            </w:r>
          </w:p>
        </w:tc>
        <w:tc>
          <w:tcPr>
            <w:tcW w:w="9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8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-2.5%</w:t>
            </w:r>
          </w:p>
        </w:tc>
        <w:tc>
          <w:tcPr>
            <w:tcW w:w="94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rPr>
              <w:t>7.0%</w:t>
            </w:r>
          </w:p>
        </w:tc>
        <w:tc>
          <w:tcPr>
            <w:tcW w:w="8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22.0%</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23.2%</w:t>
            </w:r>
          </w:p>
        </w:tc>
        <w:tc>
          <w:tcPr>
            <w:tcW w:w="90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rPr>
              <w:t>22.8%</w:t>
            </w:r>
          </w:p>
        </w:tc>
        <w:tc>
          <w:tcPr>
            <w:tcW w:w="0" w:type="dxa"/>
            <w:vAlign w:val="bottom"/>
          </w:tcPr>
          <w:p>
            <w:pPr>
              <w:spacing w:after="0" w:line="20" w:lineRule="exact"/>
              <w:rPr>
                <w:sz w:val="1"/>
                <w:szCs w:val="1"/>
                <w:color w:val="auto"/>
              </w:rPr>
            </w:pPr>
          </w:p>
        </w:tc>
      </w:tr>
      <w:tr>
        <w:trPr>
          <w:trHeight w:val="181"/>
        </w:trPr>
        <w:tc>
          <w:tcPr>
            <w:tcW w:w="2160" w:type="dxa"/>
            <w:vAlign w:val="bottom"/>
            <w:tcBorders>
              <w:left w:val="single" w:sz="8" w:color="auto"/>
              <w:right w:val="single" w:sz="8" w:color="auto"/>
            </w:tcBorders>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900" w:type="dxa"/>
            <w:vAlign w:val="bottom"/>
            <w:tcBorders>
              <w:bottom w:val="single" w:sz="8" w:color="E93CAC"/>
            </w:tcBorders>
            <w:shd w:val="clear" w:color="auto" w:fill="E93CAC"/>
          </w:tcPr>
          <w:p>
            <w:pPr>
              <w:jc w:val="center"/>
              <w:spacing w:after="0" w:line="180" w:lineRule="exact"/>
              <w:rPr>
                <w:sz w:val="20"/>
                <w:szCs w:val="20"/>
                <w:color w:val="auto"/>
              </w:rPr>
            </w:pPr>
            <w:r>
              <w:rPr>
                <w:rFonts w:ascii="Arial" w:cs="Arial" w:eastAsia="Arial" w:hAnsi="Arial"/>
                <w:sz w:val="18"/>
                <w:szCs w:val="18"/>
                <w:color w:val="auto"/>
              </w:rPr>
              <w:t>-875</w:t>
            </w:r>
          </w:p>
        </w:tc>
        <w:tc>
          <w:tcPr>
            <w:tcW w:w="920" w:type="dxa"/>
            <w:vAlign w:val="bottom"/>
            <w:tcBorders>
              <w:bottom w:val="single" w:sz="8" w:color="26D07C"/>
              <w:right w:val="single" w:sz="8" w:color="auto"/>
            </w:tcBorders>
            <w:shd w:val="clear" w:color="auto" w:fill="26D07C"/>
          </w:tcPr>
          <w:p>
            <w:pPr>
              <w:jc w:val="center"/>
              <w:spacing w:after="0" w:line="180" w:lineRule="exact"/>
              <w:rPr>
                <w:sz w:val="20"/>
                <w:szCs w:val="20"/>
                <w:color w:val="auto"/>
              </w:rPr>
            </w:pPr>
            <w:r>
              <w:rPr>
                <w:rFonts w:ascii="Arial" w:cs="Arial" w:eastAsia="Arial" w:hAnsi="Arial"/>
                <w:sz w:val="18"/>
                <w:szCs w:val="18"/>
                <w:color w:val="auto"/>
              </w:rPr>
              <w:t>2,235</w:t>
            </w:r>
          </w:p>
        </w:tc>
        <w:tc>
          <w:tcPr>
            <w:tcW w:w="840" w:type="dxa"/>
            <w:vAlign w:val="bottom"/>
            <w:vMerge w:val="continue"/>
          </w:tcPr>
          <w:p>
            <w:pPr>
              <w:spacing w:after="0"/>
              <w:rPr>
                <w:sz w:val="15"/>
                <w:szCs w:val="15"/>
                <w:color w:val="auto"/>
              </w:rPr>
            </w:pPr>
          </w:p>
        </w:tc>
        <w:tc>
          <w:tcPr>
            <w:tcW w:w="940" w:type="dxa"/>
            <w:vAlign w:val="bottom"/>
            <w:tcBorders>
              <w:right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60" w:type="dxa"/>
            <w:vAlign w:val="bottom"/>
            <w:tcBorders>
              <w:left w:val="single" w:sz="8" w:color="auto"/>
              <w:right w:val="single" w:sz="8" w:color="auto"/>
            </w:tcBorders>
          </w:tcPr>
          <w:p>
            <w:pPr>
              <w:ind w:left="360"/>
              <w:spacing w:after="0" w:line="180" w:lineRule="exact"/>
              <w:rPr>
                <w:sz w:val="20"/>
                <w:szCs w:val="20"/>
                <w:color w:val="auto"/>
              </w:rPr>
            </w:pPr>
            <w:r>
              <w:rPr>
                <w:rFonts w:ascii="Arial" w:cs="Arial" w:eastAsia="Arial" w:hAnsi="Arial"/>
                <w:sz w:val="18"/>
                <w:szCs w:val="18"/>
                <w:color w:val="auto"/>
              </w:rPr>
              <w:t>Middle - Market</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24,508</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24,426</w:t>
            </w:r>
          </w:p>
        </w:tc>
        <w:tc>
          <w:tcPr>
            <w:tcW w:w="9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color w:val="auto"/>
              </w:rPr>
              <w:t>24,036</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-390</w:t>
            </w:r>
          </w:p>
        </w:tc>
        <w:tc>
          <w:tcPr>
            <w:tcW w:w="9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color w:val="auto"/>
                <w:w w:val="99"/>
              </w:rPr>
              <w:t>-472</w:t>
            </w:r>
          </w:p>
        </w:tc>
        <w:tc>
          <w:tcPr>
            <w:tcW w:w="840" w:type="dxa"/>
            <w:vAlign w:val="bottom"/>
          </w:tcPr>
          <w:p>
            <w:pPr>
              <w:jc w:val="center"/>
              <w:spacing w:after="0" w:line="180" w:lineRule="exact"/>
              <w:rPr>
                <w:sz w:val="20"/>
                <w:szCs w:val="20"/>
                <w:color w:val="auto"/>
              </w:rPr>
            </w:pPr>
            <w:r>
              <w:rPr>
                <w:rFonts w:ascii="Arial" w:cs="Arial" w:eastAsia="Arial" w:hAnsi="Arial"/>
                <w:sz w:val="18"/>
                <w:szCs w:val="18"/>
                <w:color w:val="auto"/>
              </w:rPr>
              <w:t>-1.6%</w:t>
            </w:r>
          </w:p>
        </w:tc>
        <w:tc>
          <w:tcPr>
            <w:tcW w:w="9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color w:val="auto"/>
              </w:rPr>
              <w:t>-1.9%</w:t>
            </w:r>
          </w:p>
        </w:tc>
        <w:tc>
          <w:tcPr>
            <w:tcW w:w="880" w:type="dxa"/>
            <w:vAlign w:val="bottom"/>
          </w:tcPr>
          <w:p>
            <w:pPr>
              <w:jc w:val="center"/>
              <w:spacing w:after="0" w:line="180" w:lineRule="exact"/>
              <w:rPr>
                <w:sz w:val="20"/>
                <w:szCs w:val="20"/>
                <w:color w:val="auto"/>
              </w:rPr>
            </w:pPr>
            <w:r>
              <w:rPr>
                <w:rFonts w:ascii="Arial" w:cs="Arial" w:eastAsia="Arial" w:hAnsi="Arial"/>
                <w:sz w:val="18"/>
                <w:szCs w:val="18"/>
                <w:color w:val="auto"/>
              </w:rPr>
              <w:t>16.9%</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16.2%</w:t>
            </w:r>
          </w:p>
        </w:tc>
        <w:tc>
          <w:tcPr>
            <w:tcW w:w="9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1"/>
        </w:trPr>
        <w:tc>
          <w:tcPr>
            <w:tcW w:w="216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b w:val="1"/>
                <w:bCs w:val="1"/>
                <w:color w:val="auto"/>
              </w:rPr>
              <w:t>Retail Banking</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62,741</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64,713</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64,550</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-163</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1,809</w:t>
            </w:r>
          </w:p>
        </w:tc>
        <w:tc>
          <w:tcPr>
            <w:tcW w:w="8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-0.3%</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2.9%</w:t>
            </w:r>
          </w:p>
        </w:tc>
        <w:tc>
          <w:tcPr>
            <w:tcW w:w="8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43.3%</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43.0%</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43.3%</w:t>
            </w:r>
          </w:p>
        </w:tc>
        <w:tc>
          <w:tcPr>
            <w:tcW w:w="0" w:type="dxa"/>
            <w:vAlign w:val="bottom"/>
          </w:tcPr>
          <w:p>
            <w:pPr>
              <w:spacing w:after="0"/>
              <w:rPr>
                <w:sz w:val="1"/>
                <w:szCs w:val="1"/>
                <w:color w:val="auto"/>
              </w:rPr>
            </w:pPr>
          </w:p>
        </w:tc>
      </w:tr>
      <w:tr>
        <w:trPr>
          <w:trHeight w:val="21"/>
        </w:trPr>
        <w:tc>
          <w:tcPr>
            <w:tcW w:w="2160" w:type="dxa"/>
            <w:vAlign w:val="bottom"/>
            <w:tcBorders>
              <w:left w:val="single" w:sz="8" w:color="auto"/>
              <w:right w:val="single" w:sz="8" w:color="auto"/>
            </w:tcBorders>
            <w:vMerge w:val="restart"/>
          </w:tcPr>
          <w:p>
            <w:pPr>
              <w:ind w:left="360"/>
              <w:spacing w:after="0" w:line="201" w:lineRule="exact"/>
              <w:rPr>
                <w:sz w:val="20"/>
                <w:szCs w:val="20"/>
                <w:color w:val="auto"/>
              </w:rPr>
            </w:pPr>
            <w:r>
              <w:rPr>
                <w:rFonts w:ascii="Arial" w:cs="Arial" w:eastAsia="Arial" w:hAnsi="Arial"/>
                <w:sz w:val="18"/>
                <w:szCs w:val="18"/>
                <w:color w:val="auto"/>
              </w:rPr>
              <w:t>SME - Business</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10,484</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9,219</w:t>
            </w:r>
          </w:p>
        </w:tc>
        <w:tc>
          <w:tcPr>
            <w:tcW w:w="92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rPr>
              <w:t>8,695</w:t>
            </w:r>
          </w:p>
        </w:tc>
        <w:tc>
          <w:tcPr>
            <w:tcW w:w="9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8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-5.7%</w:t>
            </w:r>
          </w:p>
        </w:tc>
        <w:tc>
          <w:tcPr>
            <w:tcW w:w="94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rPr>
              <w:t>-17.1%</w:t>
            </w:r>
          </w:p>
        </w:tc>
        <w:tc>
          <w:tcPr>
            <w:tcW w:w="8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7.2%</w:t>
            </w:r>
          </w:p>
        </w:tc>
        <w:tc>
          <w:tcPr>
            <w:tcW w:w="9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6.1%</w:t>
            </w:r>
          </w:p>
        </w:tc>
        <w:tc>
          <w:tcPr>
            <w:tcW w:w="90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180"/>
        </w:trPr>
        <w:tc>
          <w:tcPr>
            <w:tcW w:w="2160" w:type="dxa"/>
            <w:vAlign w:val="bottom"/>
            <w:tcBorders>
              <w:left w:val="single" w:sz="8" w:color="auto"/>
              <w:right w:val="single" w:sz="8" w:color="auto"/>
            </w:tcBorders>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900" w:type="dxa"/>
            <w:vAlign w:val="bottom"/>
            <w:shd w:val="clear" w:color="auto" w:fill="E93CAC"/>
          </w:tcPr>
          <w:p>
            <w:pPr>
              <w:jc w:val="center"/>
              <w:spacing w:after="0" w:line="180" w:lineRule="exact"/>
              <w:rPr>
                <w:sz w:val="20"/>
                <w:szCs w:val="20"/>
                <w:color w:val="auto"/>
              </w:rPr>
            </w:pPr>
            <w:r>
              <w:rPr>
                <w:rFonts w:ascii="Arial" w:cs="Arial" w:eastAsia="Arial" w:hAnsi="Arial"/>
                <w:sz w:val="18"/>
                <w:szCs w:val="18"/>
                <w:color w:val="auto"/>
              </w:rPr>
              <w:t>-525</w:t>
            </w:r>
          </w:p>
        </w:tc>
        <w:tc>
          <w:tcPr>
            <w:tcW w:w="920" w:type="dxa"/>
            <w:vAlign w:val="bottom"/>
            <w:tcBorders>
              <w:right w:val="single" w:sz="8" w:color="auto"/>
            </w:tcBorders>
            <w:shd w:val="clear" w:color="auto" w:fill="E93CAC"/>
          </w:tcPr>
          <w:p>
            <w:pPr>
              <w:jc w:val="center"/>
              <w:spacing w:after="0" w:line="180" w:lineRule="exact"/>
              <w:rPr>
                <w:sz w:val="20"/>
                <w:szCs w:val="20"/>
                <w:color w:val="auto"/>
              </w:rPr>
            </w:pPr>
            <w:r>
              <w:rPr>
                <w:rFonts w:ascii="Arial" w:cs="Arial" w:eastAsia="Arial" w:hAnsi="Arial"/>
                <w:sz w:val="18"/>
                <w:szCs w:val="18"/>
                <w:color w:val="auto"/>
              </w:rPr>
              <w:t>-1,790</w:t>
            </w:r>
          </w:p>
        </w:tc>
        <w:tc>
          <w:tcPr>
            <w:tcW w:w="840" w:type="dxa"/>
            <w:vAlign w:val="bottom"/>
            <w:vMerge w:val="continue"/>
          </w:tcPr>
          <w:p>
            <w:pPr>
              <w:spacing w:after="0"/>
              <w:rPr>
                <w:sz w:val="15"/>
                <w:szCs w:val="15"/>
                <w:color w:val="auto"/>
              </w:rPr>
            </w:pPr>
          </w:p>
        </w:tc>
        <w:tc>
          <w:tcPr>
            <w:tcW w:w="940" w:type="dxa"/>
            <w:vAlign w:val="bottom"/>
            <w:tcBorders>
              <w:right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ind w:left="360"/>
              <w:spacing w:after="0" w:line="201" w:lineRule="exact"/>
              <w:rPr>
                <w:sz w:val="20"/>
                <w:szCs w:val="20"/>
                <w:color w:val="auto"/>
              </w:rPr>
            </w:pPr>
            <w:r>
              <w:rPr>
                <w:rFonts w:ascii="Arial" w:cs="Arial" w:eastAsia="Arial" w:hAnsi="Arial"/>
                <w:sz w:val="18"/>
                <w:szCs w:val="18"/>
                <w:color w:val="auto"/>
              </w:rPr>
              <w:t>SME - Pyme</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19,717</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18,537</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17,943</w:t>
            </w:r>
          </w:p>
        </w:tc>
        <w:tc>
          <w:tcPr>
            <w:tcW w:w="900" w:type="dxa"/>
            <w:vAlign w:val="bottom"/>
            <w:tcBorders>
              <w:bottom w:val="single" w:sz="8" w:color="E93CAC"/>
            </w:tcBorders>
            <w:shd w:val="clear" w:color="auto" w:fill="E93CAC"/>
          </w:tcPr>
          <w:p>
            <w:pPr>
              <w:jc w:val="center"/>
              <w:spacing w:after="0" w:line="201" w:lineRule="exact"/>
              <w:rPr>
                <w:sz w:val="20"/>
                <w:szCs w:val="20"/>
                <w:color w:val="auto"/>
              </w:rPr>
            </w:pPr>
            <w:r>
              <w:rPr>
                <w:rFonts w:ascii="Arial" w:cs="Arial" w:eastAsia="Arial" w:hAnsi="Arial"/>
                <w:sz w:val="18"/>
                <w:szCs w:val="18"/>
                <w:color w:val="auto"/>
              </w:rPr>
              <w:t>-595</w:t>
            </w:r>
          </w:p>
        </w:tc>
        <w:tc>
          <w:tcPr>
            <w:tcW w:w="920" w:type="dxa"/>
            <w:vAlign w:val="bottom"/>
            <w:tcBorders>
              <w:bottom w:val="single" w:sz="8" w:color="E93CAC"/>
              <w:right w:val="single" w:sz="8" w:color="auto"/>
            </w:tcBorders>
            <w:shd w:val="clear" w:color="auto" w:fill="E93CAC"/>
          </w:tcPr>
          <w:p>
            <w:pPr>
              <w:jc w:val="center"/>
              <w:spacing w:after="0" w:line="201" w:lineRule="exact"/>
              <w:rPr>
                <w:sz w:val="20"/>
                <w:szCs w:val="20"/>
                <w:color w:val="auto"/>
              </w:rPr>
            </w:pPr>
            <w:r>
              <w:rPr>
                <w:rFonts w:ascii="Arial" w:cs="Arial" w:eastAsia="Arial" w:hAnsi="Arial"/>
                <w:sz w:val="18"/>
                <w:szCs w:val="18"/>
                <w:color w:val="auto"/>
              </w:rPr>
              <w:t>-1,774</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rPr>
              <w:t>-3.2%</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-9.0%</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rPr>
              <w:t>13.6%</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12.3%</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0"/>
        </w:trPr>
        <w:tc>
          <w:tcPr>
            <w:tcW w:w="2160" w:type="dxa"/>
            <w:vAlign w:val="bottom"/>
            <w:tcBorders>
              <w:left w:val="single" w:sz="8" w:color="auto"/>
              <w:right w:val="single" w:sz="8" w:color="auto"/>
            </w:tcBorders>
          </w:tcPr>
          <w:p>
            <w:pPr>
              <w:ind w:left="360"/>
              <w:spacing w:after="0" w:line="180" w:lineRule="exact"/>
              <w:rPr>
                <w:sz w:val="20"/>
                <w:szCs w:val="20"/>
                <w:color w:val="auto"/>
              </w:rPr>
            </w:pPr>
            <w:r>
              <w:rPr>
                <w:rFonts w:ascii="Arial" w:cs="Arial" w:eastAsia="Arial" w:hAnsi="Arial"/>
                <w:sz w:val="18"/>
                <w:szCs w:val="18"/>
                <w:color w:val="auto"/>
              </w:rPr>
              <w:t>Mortgage</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18,432</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19,739</w:t>
            </w:r>
          </w:p>
        </w:tc>
        <w:tc>
          <w:tcPr>
            <w:tcW w:w="9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color w:val="auto"/>
              </w:rPr>
              <w:t>20,074</w:t>
            </w:r>
          </w:p>
        </w:tc>
        <w:tc>
          <w:tcPr>
            <w:tcW w:w="900" w:type="dxa"/>
            <w:vAlign w:val="bottom"/>
            <w:shd w:val="clear" w:color="auto" w:fill="26D07C"/>
          </w:tcPr>
          <w:p>
            <w:pPr>
              <w:jc w:val="center"/>
              <w:spacing w:after="0" w:line="180" w:lineRule="exact"/>
              <w:rPr>
                <w:sz w:val="20"/>
                <w:szCs w:val="20"/>
                <w:color w:val="auto"/>
              </w:rPr>
            </w:pPr>
            <w:r>
              <w:rPr>
                <w:rFonts w:ascii="Arial" w:cs="Arial" w:eastAsia="Arial" w:hAnsi="Arial"/>
                <w:sz w:val="18"/>
                <w:szCs w:val="18"/>
                <w:color w:val="auto"/>
                <w:w w:val="99"/>
              </w:rPr>
              <w:t>335</w:t>
            </w:r>
          </w:p>
        </w:tc>
        <w:tc>
          <w:tcPr>
            <w:tcW w:w="920" w:type="dxa"/>
            <w:vAlign w:val="bottom"/>
            <w:tcBorders>
              <w:right w:val="single" w:sz="8" w:color="auto"/>
            </w:tcBorders>
            <w:shd w:val="clear" w:color="auto" w:fill="26D07C"/>
          </w:tcPr>
          <w:p>
            <w:pPr>
              <w:jc w:val="center"/>
              <w:spacing w:after="0" w:line="180" w:lineRule="exact"/>
              <w:rPr>
                <w:sz w:val="20"/>
                <w:szCs w:val="20"/>
                <w:color w:val="auto"/>
              </w:rPr>
            </w:pPr>
            <w:r>
              <w:rPr>
                <w:rFonts w:ascii="Arial" w:cs="Arial" w:eastAsia="Arial" w:hAnsi="Arial"/>
                <w:sz w:val="18"/>
                <w:szCs w:val="18"/>
                <w:color w:val="auto"/>
              </w:rPr>
              <w:t>1,642</w:t>
            </w:r>
          </w:p>
        </w:tc>
        <w:tc>
          <w:tcPr>
            <w:tcW w:w="840" w:type="dxa"/>
            <w:vAlign w:val="bottom"/>
          </w:tcPr>
          <w:p>
            <w:pPr>
              <w:jc w:val="center"/>
              <w:spacing w:after="0" w:line="180" w:lineRule="exact"/>
              <w:rPr>
                <w:sz w:val="20"/>
                <w:szCs w:val="20"/>
                <w:color w:val="auto"/>
              </w:rPr>
            </w:pPr>
            <w:r>
              <w:rPr>
                <w:rFonts w:ascii="Arial" w:cs="Arial" w:eastAsia="Arial" w:hAnsi="Arial"/>
                <w:sz w:val="18"/>
                <w:szCs w:val="18"/>
                <w:color w:val="auto"/>
              </w:rPr>
              <w:t>1.7%</w:t>
            </w:r>
          </w:p>
        </w:tc>
        <w:tc>
          <w:tcPr>
            <w:tcW w:w="9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color w:val="auto"/>
              </w:rPr>
              <w:t>8.9%</w:t>
            </w:r>
          </w:p>
        </w:tc>
        <w:tc>
          <w:tcPr>
            <w:tcW w:w="880" w:type="dxa"/>
            <w:vAlign w:val="bottom"/>
          </w:tcPr>
          <w:p>
            <w:pPr>
              <w:jc w:val="center"/>
              <w:spacing w:after="0" w:line="180" w:lineRule="exact"/>
              <w:rPr>
                <w:sz w:val="20"/>
                <w:szCs w:val="20"/>
                <w:color w:val="auto"/>
              </w:rPr>
            </w:pPr>
            <w:r>
              <w:rPr>
                <w:rFonts w:ascii="Arial" w:cs="Arial" w:eastAsia="Arial" w:hAnsi="Arial"/>
                <w:sz w:val="18"/>
                <w:szCs w:val="18"/>
                <w:color w:val="auto"/>
              </w:rPr>
              <w:t>12.7%</w:t>
            </w:r>
          </w:p>
        </w:tc>
        <w:tc>
          <w:tcPr>
            <w:tcW w:w="900" w:type="dxa"/>
            <w:vAlign w:val="bottom"/>
          </w:tcPr>
          <w:p>
            <w:pPr>
              <w:jc w:val="center"/>
              <w:spacing w:after="0" w:line="180" w:lineRule="exact"/>
              <w:rPr>
                <w:sz w:val="20"/>
                <w:szCs w:val="20"/>
                <w:color w:val="auto"/>
              </w:rPr>
            </w:pPr>
            <w:r>
              <w:rPr>
                <w:rFonts w:ascii="Arial" w:cs="Arial" w:eastAsia="Arial" w:hAnsi="Arial"/>
                <w:sz w:val="18"/>
                <w:szCs w:val="18"/>
                <w:color w:val="auto"/>
              </w:rPr>
              <w:t>13.1%</w:t>
            </w:r>
          </w:p>
        </w:tc>
        <w:tc>
          <w:tcPr>
            <w:tcW w:w="9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1"/>
        </w:trPr>
        <w:tc>
          <w:tcPr>
            <w:tcW w:w="2160" w:type="dxa"/>
            <w:vAlign w:val="bottom"/>
            <w:tcBorders>
              <w:left w:val="single" w:sz="8" w:color="auto"/>
              <w:right w:val="single" w:sz="8" w:color="auto"/>
            </w:tcBorders>
          </w:tcPr>
          <w:p>
            <w:pPr>
              <w:ind w:left="360"/>
              <w:spacing w:after="0" w:line="201" w:lineRule="exact"/>
              <w:rPr>
                <w:sz w:val="20"/>
                <w:szCs w:val="20"/>
                <w:color w:val="auto"/>
              </w:rPr>
            </w:pPr>
            <w:r>
              <w:rPr>
                <w:rFonts w:ascii="Arial" w:cs="Arial" w:eastAsia="Arial" w:hAnsi="Arial"/>
                <w:sz w:val="18"/>
                <w:szCs w:val="18"/>
                <w:color w:val="auto"/>
              </w:rPr>
              <w:t>Consumer</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10,296</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12,444</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12,736</w:t>
            </w:r>
          </w:p>
        </w:tc>
        <w:tc>
          <w:tcPr>
            <w:tcW w:w="900" w:type="dxa"/>
            <w:vAlign w:val="bottom"/>
            <w:shd w:val="clear" w:color="auto" w:fill="26D07C"/>
          </w:tcPr>
          <w:p>
            <w:pPr>
              <w:jc w:val="center"/>
              <w:spacing w:after="0" w:line="201" w:lineRule="exact"/>
              <w:rPr>
                <w:sz w:val="20"/>
                <w:szCs w:val="20"/>
                <w:color w:val="auto"/>
              </w:rPr>
            </w:pPr>
            <w:r>
              <w:rPr>
                <w:rFonts w:ascii="Arial" w:cs="Arial" w:eastAsia="Arial" w:hAnsi="Arial"/>
                <w:sz w:val="18"/>
                <w:szCs w:val="18"/>
                <w:color w:val="auto"/>
                <w:w w:val="99"/>
              </w:rPr>
              <w:t>292</w:t>
            </w:r>
          </w:p>
        </w:tc>
        <w:tc>
          <w:tcPr>
            <w:tcW w:w="920" w:type="dxa"/>
            <w:vAlign w:val="bottom"/>
            <w:tcBorders>
              <w:right w:val="single" w:sz="8" w:color="auto"/>
            </w:tcBorders>
            <w:shd w:val="clear" w:color="auto" w:fill="26D07C"/>
          </w:tcPr>
          <w:p>
            <w:pPr>
              <w:jc w:val="center"/>
              <w:spacing w:after="0" w:line="201" w:lineRule="exact"/>
              <w:rPr>
                <w:sz w:val="20"/>
                <w:szCs w:val="20"/>
                <w:color w:val="auto"/>
              </w:rPr>
            </w:pPr>
            <w:r>
              <w:rPr>
                <w:rFonts w:ascii="Arial" w:cs="Arial" w:eastAsia="Arial" w:hAnsi="Arial"/>
                <w:sz w:val="18"/>
                <w:szCs w:val="18"/>
                <w:color w:val="auto"/>
              </w:rPr>
              <w:t>2,441</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rPr>
              <w:t>2.3%</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23.7%</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rPr>
              <w:t>7.1%</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8.3%</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160" w:type="dxa"/>
            <w:vAlign w:val="bottom"/>
            <w:tcBorders>
              <w:left w:val="single" w:sz="8" w:color="auto"/>
              <w:right w:val="single" w:sz="8" w:color="auto"/>
            </w:tcBorders>
          </w:tcPr>
          <w:p>
            <w:pPr>
              <w:ind w:left="360"/>
              <w:spacing w:after="0" w:line="201" w:lineRule="exact"/>
              <w:rPr>
                <w:sz w:val="20"/>
                <w:szCs w:val="20"/>
                <w:color w:val="auto"/>
              </w:rPr>
            </w:pPr>
            <w:r>
              <w:rPr>
                <w:rFonts w:ascii="Arial" w:cs="Arial" w:eastAsia="Arial" w:hAnsi="Arial"/>
                <w:sz w:val="18"/>
                <w:szCs w:val="18"/>
                <w:color w:val="auto"/>
              </w:rPr>
              <w:t>Credit Card</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3,813</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4,774</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5,103</w:t>
            </w:r>
          </w:p>
        </w:tc>
        <w:tc>
          <w:tcPr>
            <w:tcW w:w="900" w:type="dxa"/>
            <w:vAlign w:val="bottom"/>
            <w:tcBorders>
              <w:bottom w:val="single" w:sz="8" w:color="26D07C"/>
            </w:tcBorders>
            <w:shd w:val="clear" w:color="auto" w:fill="26D07C"/>
          </w:tcPr>
          <w:p>
            <w:pPr>
              <w:jc w:val="center"/>
              <w:spacing w:after="0" w:line="201" w:lineRule="exact"/>
              <w:rPr>
                <w:sz w:val="20"/>
                <w:szCs w:val="20"/>
                <w:color w:val="auto"/>
              </w:rPr>
            </w:pPr>
            <w:r>
              <w:rPr>
                <w:rFonts w:ascii="Arial" w:cs="Arial" w:eastAsia="Arial" w:hAnsi="Arial"/>
                <w:sz w:val="18"/>
                <w:szCs w:val="18"/>
                <w:color w:val="auto"/>
                <w:w w:val="99"/>
              </w:rPr>
              <w:t>330</w:t>
            </w:r>
          </w:p>
        </w:tc>
        <w:tc>
          <w:tcPr>
            <w:tcW w:w="920" w:type="dxa"/>
            <w:vAlign w:val="bottom"/>
            <w:tcBorders>
              <w:bottom w:val="single" w:sz="8" w:color="26D07C"/>
              <w:right w:val="single" w:sz="8" w:color="auto"/>
            </w:tcBorders>
            <w:shd w:val="clear" w:color="auto" w:fill="26D07C"/>
          </w:tcPr>
          <w:p>
            <w:pPr>
              <w:jc w:val="center"/>
              <w:spacing w:after="0" w:line="201" w:lineRule="exact"/>
              <w:rPr>
                <w:sz w:val="20"/>
                <w:szCs w:val="20"/>
                <w:color w:val="auto"/>
              </w:rPr>
            </w:pPr>
            <w:r>
              <w:rPr>
                <w:rFonts w:ascii="Arial" w:cs="Arial" w:eastAsia="Arial" w:hAnsi="Arial"/>
                <w:sz w:val="18"/>
                <w:szCs w:val="18"/>
                <w:color w:val="auto"/>
              </w:rPr>
              <w:t>1,290</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rPr>
              <w:t>6.9%</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33.8%</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rPr>
              <w:t>2.6%</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3.2%</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0"/>
        </w:trPr>
        <w:tc>
          <w:tcPr>
            <w:tcW w:w="2160" w:type="dxa"/>
            <w:vAlign w:val="bottom"/>
            <w:tcBorders>
              <w:left w:val="single" w:sz="8" w:color="auto"/>
              <w:right w:val="single" w:sz="8" w:color="auto"/>
            </w:tcBorders>
          </w:tcPr>
          <w:p>
            <w:pPr>
              <w:ind w:left="80"/>
              <w:spacing w:after="0" w:line="180" w:lineRule="exact"/>
              <w:rPr>
                <w:sz w:val="20"/>
                <w:szCs w:val="20"/>
                <w:color w:val="auto"/>
              </w:rPr>
            </w:pPr>
            <w:r>
              <w:rPr>
                <w:rFonts w:ascii="Arial" w:cs="Arial" w:eastAsia="Arial" w:hAnsi="Arial"/>
                <w:sz w:val="18"/>
                <w:szCs w:val="18"/>
                <w:b w:val="1"/>
                <w:bCs w:val="1"/>
                <w:color w:val="auto"/>
              </w:rPr>
              <w:t>Mibanco</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13,352</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14,286</w:t>
            </w:r>
          </w:p>
        </w:tc>
        <w:tc>
          <w:tcPr>
            <w:tcW w:w="9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rPr>
              <w:t>14,261</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-25</w:t>
            </w:r>
          </w:p>
        </w:tc>
        <w:tc>
          <w:tcPr>
            <w:tcW w:w="9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rPr>
              <w:t>909</w:t>
            </w:r>
          </w:p>
        </w:tc>
        <w:tc>
          <w:tcPr>
            <w:tcW w:w="8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-0.2%</w:t>
            </w:r>
          </w:p>
        </w:tc>
        <w:tc>
          <w:tcPr>
            <w:tcW w:w="94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rPr>
              <w:t>6.8%</w:t>
            </w:r>
          </w:p>
        </w:tc>
        <w:tc>
          <w:tcPr>
            <w:tcW w:w="8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9.2%</w:t>
            </w:r>
          </w:p>
        </w:tc>
        <w:tc>
          <w:tcPr>
            <w:tcW w:w="9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9.5%</w:t>
            </w:r>
          </w:p>
        </w:tc>
        <w:tc>
          <w:tcPr>
            <w:tcW w:w="9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01"/>
        </w:trPr>
        <w:tc>
          <w:tcPr>
            <w:tcW w:w="216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Mibanco Colombia</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1,064</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1,163</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1,174</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12</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3"/>
              </w:rPr>
              <w:t>111</w:t>
            </w:r>
          </w:p>
        </w:tc>
        <w:tc>
          <w:tcPr>
            <w:tcW w:w="8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1.0%</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10.4%</w:t>
            </w:r>
          </w:p>
        </w:tc>
        <w:tc>
          <w:tcPr>
            <w:tcW w:w="8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0.7%</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0.8%</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01"/>
        </w:trPr>
        <w:tc>
          <w:tcPr>
            <w:tcW w:w="216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Bolivia</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9,230</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8,992</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9,034</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41</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-197</w:t>
            </w:r>
          </w:p>
        </w:tc>
        <w:tc>
          <w:tcPr>
            <w:tcW w:w="8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0.5%</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-2.1%</w:t>
            </w:r>
          </w:p>
        </w:tc>
        <w:tc>
          <w:tcPr>
            <w:tcW w:w="8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6.4%</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6.0%</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28"/>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ASB Bank Corp.</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2,311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2,084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2,068</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-243</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-0.8%</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-10.5%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6"/>
        </w:trPr>
        <w:tc>
          <w:tcPr>
            <w:tcW w:w="2160" w:type="dxa"/>
            <w:vAlign w:val="bottom"/>
            <w:tcBorders>
              <w:left w:val="single" w:sz="8" w:color="auto"/>
              <w:bottom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BAP’s total loans</w:t>
            </w:r>
          </w:p>
        </w:tc>
        <w:tc>
          <w:tcPr>
            <w:tcW w:w="9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145,057</w:t>
            </w:r>
          </w:p>
        </w:tc>
        <w:tc>
          <w:tcPr>
            <w:tcW w:w="9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150,626</w:t>
            </w:r>
          </w:p>
        </w:tc>
        <w:tc>
          <w:tcPr>
            <w:tcW w:w="92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149,209</w:t>
            </w:r>
          </w:p>
        </w:tc>
        <w:tc>
          <w:tcPr>
            <w:tcW w:w="9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-1,417</w:t>
            </w:r>
          </w:p>
        </w:tc>
        <w:tc>
          <w:tcPr>
            <w:tcW w:w="92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4,151</w:t>
            </w:r>
          </w:p>
        </w:tc>
        <w:tc>
          <w:tcPr>
            <w:tcW w:w="8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-0.9%</w:t>
            </w:r>
          </w:p>
        </w:tc>
        <w:tc>
          <w:tcPr>
            <w:tcW w:w="9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2.9%</w:t>
            </w:r>
          </w:p>
        </w:tc>
        <w:tc>
          <w:tcPr>
            <w:tcW w:w="8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100.0%</w:t>
            </w:r>
          </w:p>
        </w:tc>
        <w:tc>
          <w:tcPr>
            <w:tcW w:w="9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100.0%</w:t>
            </w:r>
          </w:p>
        </w:tc>
        <w:tc>
          <w:tcPr>
            <w:tcW w:w="90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8560" w:type="dxa"/>
            <w:vAlign w:val="bottom"/>
            <w:gridSpan w:val="2"/>
          </w:tcPr>
          <w:p>
            <w:pPr>
              <w:spacing w:after="0"/>
              <w:rPr>
                <w:sz w:val="20"/>
                <w:szCs w:val="20"/>
                <w:color w:val="auto"/>
              </w:rPr>
            </w:pPr>
            <w:r>
              <w:rPr>
                <w:rFonts w:ascii="Arial" w:cs="Arial" w:eastAsia="Arial" w:hAnsi="Arial"/>
                <w:sz w:val="12"/>
                <w:szCs w:val="12"/>
                <w:color w:val="auto"/>
              </w:rPr>
              <w:t>For consolidation purposes, Loans generated in Foreign Currency (FC) are converted to Local Currency (LC).</w:t>
            </w:r>
          </w:p>
        </w:tc>
        <w:tc>
          <w:tcPr>
            <w:tcW w:w="440" w:type="dxa"/>
            <w:vAlign w:val="bottom"/>
            <w:shd w:val="clear" w:color="auto" w:fill="E93CAC"/>
          </w:tcPr>
          <w:p>
            <w:pPr>
              <w:spacing w:after="0"/>
              <w:rPr>
                <w:sz w:val="12"/>
                <w:szCs w:val="12"/>
                <w:color w:val="auto"/>
              </w:rPr>
            </w:pPr>
          </w:p>
        </w:tc>
        <w:tc>
          <w:tcPr>
            <w:tcW w:w="1420" w:type="dxa"/>
            <w:vAlign w:val="bottom"/>
          </w:tcPr>
          <w:p>
            <w:pPr>
              <w:ind w:left="80"/>
              <w:spacing w:after="0"/>
              <w:rPr>
                <w:sz w:val="20"/>
                <w:szCs w:val="20"/>
                <w:color w:val="auto"/>
              </w:rPr>
            </w:pPr>
            <w:r>
              <w:rPr>
                <w:rFonts w:ascii="Arial" w:cs="Arial" w:eastAsia="Arial" w:hAnsi="Arial"/>
                <w:sz w:val="12"/>
                <w:szCs w:val="12"/>
                <w:color w:val="auto"/>
                <w:w w:val="96"/>
              </w:rPr>
              <w:t>Higher volume contracted</w:t>
            </w:r>
          </w:p>
        </w:tc>
        <w:tc>
          <w:tcPr>
            <w:tcW w:w="0" w:type="dxa"/>
            <w:vAlign w:val="bottom"/>
          </w:tcPr>
          <w:p>
            <w:pPr>
              <w:spacing w:after="0"/>
              <w:rPr>
                <w:sz w:val="1"/>
                <w:szCs w:val="1"/>
                <w:color w:val="auto"/>
              </w:rPr>
            </w:pPr>
          </w:p>
        </w:tc>
      </w:tr>
      <w:tr>
        <w:trPr>
          <w:trHeight w:val="38"/>
        </w:trPr>
        <w:tc>
          <w:tcPr>
            <w:tcW w:w="160" w:type="dxa"/>
            <w:vAlign w:val="bottom"/>
            <w:vMerge w:val="restart"/>
          </w:tcPr>
          <w:p>
            <w:pPr>
              <w:spacing w:after="0"/>
              <w:rPr>
                <w:sz w:val="20"/>
                <w:szCs w:val="20"/>
                <w:color w:val="auto"/>
              </w:rPr>
            </w:pPr>
            <w:r>
              <w:rPr>
                <w:rFonts w:ascii="Arial" w:cs="Arial" w:eastAsia="Arial" w:hAnsi="Arial"/>
                <w:sz w:val="12"/>
                <w:szCs w:val="12"/>
                <w:color w:val="auto"/>
                <w:w w:val="95"/>
              </w:rPr>
              <w:t>(1)</w:t>
            </w:r>
          </w:p>
        </w:tc>
        <w:tc>
          <w:tcPr>
            <w:tcW w:w="8400" w:type="dxa"/>
            <w:vAlign w:val="bottom"/>
            <w:vMerge w:val="restart"/>
          </w:tcPr>
          <w:p>
            <w:pPr>
              <w:ind w:left="20"/>
              <w:spacing w:after="0"/>
              <w:rPr>
                <w:sz w:val="20"/>
                <w:szCs w:val="20"/>
                <w:color w:val="auto"/>
              </w:rPr>
            </w:pPr>
            <w:r>
              <w:rPr>
                <w:rFonts w:ascii="Arial" w:cs="Arial" w:eastAsia="Arial" w:hAnsi="Arial"/>
                <w:sz w:val="12"/>
                <w:szCs w:val="12"/>
                <w:color w:val="auto"/>
              </w:rPr>
              <w:t>Includes Work out unit, and other banking. For Quarter-end Balances figures, please refer to “12. Annexes – 12.2 Loan Portfolio Quality”.</w:t>
            </w:r>
          </w:p>
        </w:tc>
        <w:tc>
          <w:tcPr>
            <w:tcW w:w="440" w:type="dxa"/>
            <w:vAlign w:val="bottom"/>
          </w:tcPr>
          <w:p>
            <w:pPr>
              <w:spacing w:after="0"/>
              <w:rPr>
                <w:sz w:val="3"/>
                <w:szCs w:val="3"/>
                <w:color w:val="auto"/>
              </w:rPr>
            </w:pPr>
          </w:p>
        </w:tc>
        <w:tc>
          <w:tcPr>
            <w:tcW w:w="1420" w:type="dxa"/>
            <w:vAlign w:val="bottom"/>
            <w:vMerge w:val="restart"/>
          </w:tcPr>
          <w:p>
            <w:pPr>
              <w:ind w:left="80"/>
              <w:spacing w:after="0"/>
              <w:rPr>
                <w:sz w:val="20"/>
                <w:szCs w:val="20"/>
                <w:color w:val="auto"/>
              </w:rPr>
            </w:pPr>
            <w:r>
              <w:rPr>
                <w:rFonts w:ascii="Arial" w:cs="Arial" w:eastAsia="Arial" w:hAnsi="Arial"/>
                <w:sz w:val="12"/>
                <w:szCs w:val="12"/>
                <w:color w:val="auto"/>
                <w:w w:val="97"/>
              </w:rPr>
              <w:t>Higher volume expansion</w:t>
            </w:r>
          </w:p>
        </w:tc>
        <w:tc>
          <w:tcPr>
            <w:tcW w:w="0" w:type="dxa"/>
            <w:vAlign w:val="bottom"/>
          </w:tcPr>
          <w:p>
            <w:pPr>
              <w:spacing w:after="0" w:line="20" w:lineRule="exact"/>
              <w:rPr>
                <w:sz w:val="1"/>
                <w:szCs w:val="1"/>
                <w:color w:val="auto"/>
              </w:rPr>
            </w:pPr>
          </w:p>
        </w:tc>
      </w:tr>
      <w:tr>
        <w:trPr>
          <w:trHeight w:val="126"/>
        </w:trPr>
        <w:tc>
          <w:tcPr>
            <w:tcW w:w="160" w:type="dxa"/>
            <w:vAlign w:val="bottom"/>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440" w:type="dxa"/>
            <w:vAlign w:val="bottom"/>
            <w:shd w:val="clear" w:color="auto" w:fill="26D07C"/>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0" w:type="dxa"/>
            <w:vAlign w:val="bottom"/>
          </w:tcPr>
          <w:p>
            <w:pPr>
              <w:spacing w:after="0"/>
              <w:rPr>
                <w:sz w:val="20"/>
                <w:szCs w:val="20"/>
                <w:color w:val="auto"/>
              </w:rPr>
            </w:pPr>
            <w:r>
              <w:rPr>
                <w:rFonts w:ascii="Arial" w:cs="Arial" w:eastAsia="Arial" w:hAnsi="Arial"/>
                <w:sz w:val="12"/>
                <w:szCs w:val="12"/>
                <w:color w:val="auto"/>
                <w:w w:val="95"/>
              </w:rPr>
              <w:t>(2)</w:t>
            </w:r>
          </w:p>
        </w:tc>
        <w:tc>
          <w:tcPr>
            <w:tcW w:w="8400" w:type="dxa"/>
            <w:vAlign w:val="bottom"/>
          </w:tcPr>
          <w:p>
            <w:pPr>
              <w:ind w:left="20"/>
              <w:spacing w:after="0"/>
              <w:rPr>
                <w:sz w:val="20"/>
                <w:szCs w:val="20"/>
                <w:color w:val="auto"/>
              </w:rPr>
            </w:pPr>
            <w:r>
              <w:rPr>
                <w:rFonts w:ascii="Arial" w:cs="Arial" w:eastAsia="Arial" w:hAnsi="Arial"/>
                <w:sz w:val="12"/>
                <w:szCs w:val="12"/>
                <w:color w:val="auto"/>
              </w:rPr>
              <w:t>Internal Management Figures</w:t>
            </w: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QoQ </w:t>
      </w:r>
      <w:r>
        <w:rPr>
          <w:rFonts w:ascii="Arial" w:cs="Arial" w:eastAsia="Arial" w:hAnsi="Arial"/>
          <w:sz w:val="17"/>
          <w:szCs w:val="17"/>
          <w:color w:val="auto"/>
        </w:rPr>
        <w:t>total loans dropped and reflected the fact that growth in structural loans was insufficient to offset the drop in GP loans.</w:t>
      </w:r>
      <w:r>
        <w:rPr>
          <w:rFonts w:ascii="Arial" w:cs="Arial" w:eastAsia="Arial" w:hAnsi="Arial"/>
          <w:sz w:val="17"/>
          <w:szCs w:val="17"/>
          <w:b w:val="1"/>
          <w:bCs w:val="1"/>
          <w:color w:val="auto"/>
        </w:rPr>
        <w:t xml:space="preserve"> YoY </w:t>
      </w:r>
      <w:r>
        <w:rPr>
          <w:rFonts w:ascii="Arial" w:cs="Arial" w:eastAsia="Arial" w:hAnsi="Arial"/>
          <w:sz w:val="17"/>
          <w:szCs w:val="17"/>
          <w:color w:val="auto"/>
        </w:rPr>
        <w:t>total loans were up,</w:t>
      </w:r>
      <w:r>
        <w:rPr>
          <w:rFonts w:ascii="Arial" w:cs="Arial" w:eastAsia="Arial" w:hAnsi="Arial"/>
          <w:sz w:val="17"/>
          <w:szCs w:val="17"/>
          <w:b w:val="1"/>
          <w:bCs w:val="1"/>
          <w:color w:val="auto"/>
        </w:rPr>
        <w:t xml:space="preserve"> </w:t>
      </w:r>
      <w:r>
        <w:rPr>
          <w:rFonts w:ascii="Arial" w:cs="Arial" w:eastAsia="Arial" w:hAnsi="Arial"/>
          <w:sz w:val="17"/>
          <w:szCs w:val="17"/>
          <w:color w:val="auto"/>
        </w:rPr>
        <w:t>driven by the positive evolution of BCP Stand-alone’s structural portfolio; this improvement was partially offset by a contraction in GP loans.</w:t>
      </w:r>
    </w:p>
    <w:p>
      <w:pPr>
        <w:spacing w:after="0" w:line="12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 xml:space="preserve">Evolution of the Dollarization Level of Loans (in Average Daily Balances) </w:t>
      </w:r>
      <w:r>
        <w:rPr>
          <w:rFonts w:ascii="Arial" w:cs="Arial" w:eastAsia="Arial" w:hAnsi="Arial"/>
          <w:sz w:val="27"/>
          <w:szCs w:val="27"/>
          <w:b w:val="1"/>
          <w:bCs w:val="1"/>
          <w:color w:val="auto"/>
          <w:vertAlign w:val="superscript"/>
        </w:rPr>
        <w:t>(1)(2)</w:t>
      </w:r>
    </w:p>
    <w:p>
      <w:pPr>
        <w:spacing w:after="0" w:line="74" w:lineRule="exact"/>
        <w:rPr>
          <w:sz w:val="20"/>
          <w:szCs w:val="20"/>
          <w:color w:val="auto"/>
        </w:rPr>
      </w:pPr>
    </w:p>
    <w:tbl>
      <w:tblPr>
        <w:tblLayout w:type="fixed"/>
        <w:tblInd w:w="10" w:type="dxa"/>
        <w:tblCellMar>
          <w:top w:w="0" w:type="dxa"/>
          <w:left w:w="0" w:type="dxa"/>
          <w:bottom w:w="0" w:type="dxa"/>
          <w:right w:w="0" w:type="dxa"/>
        </w:tblCellMar>
      </w:tblPr>
      <w:tr>
        <w:trPr>
          <w:trHeight w:val="133"/>
        </w:trPr>
        <w:tc>
          <w:tcPr>
            <w:tcW w:w="160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560" w:type="dxa"/>
            <w:vAlign w:val="bottom"/>
            <w:tcBorders>
              <w:top w:val="single" w:sz="8" w:color="auto"/>
            </w:tcBorders>
            <w:shd w:val="clear" w:color="auto" w:fill="2AD2C9"/>
          </w:tcPr>
          <w:p>
            <w:pPr>
              <w:spacing w:after="0"/>
              <w:rPr>
                <w:sz w:val="11"/>
                <w:szCs w:val="11"/>
                <w:color w:val="auto"/>
              </w:rPr>
            </w:pPr>
          </w:p>
        </w:tc>
        <w:tc>
          <w:tcPr>
            <w:tcW w:w="2400" w:type="dxa"/>
            <w:vAlign w:val="bottom"/>
            <w:tcBorders>
              <w:top w:val="single" w:sz="8" w:color="auto"/>
            </w:tcBorders>
            <w:gridSpan w:val="4"/>
            <w:vMerge w:val="restart"/>
            <w:shd w:val="clear" w:color="auto" w:fill="2AD2C9"/>
          </w:tcPr>
          <w:p>
            <w:pPr>
              <w:ind w:left="280"/>
              <w:spacing w:after="0"/>
              <w:rPr>
                <w:sz w:val="20"/>
                <w:szCs w:val="20"/>
                <w:color w:val="auto"/>
              </w:rPr>
            </w:pPr>
            <w:r>
              <w:rPr>
                <w:rFonts w:ascii="Arial" w:cs="Arial" w:eastAsia="Arial" w:hAnsi="Arial"/>
                <w:sz w:val="12"/>
                <w:szCs w:val="12"/>
                <w:b w:val="1"/>
                <w:bCs w:val="1"/>
                <w:color w:val="FFFFFF"/>
              </w:rPr>
              <w:t>Local Currency (LC) - S/ millions</w:t>
            </w:r>
          </w:p>
        </w:tc>
        <w:tc>
          <w:tcPr>
            <w:tcW w:w="540" w:type="dxa"/>
            <w:vAlign w:val="bottom"/>
            <w:tcBorders>
              <w:top w:val="single" w:sz="8" w:color="auto"/>
              <w:right w:val="single" w:sz="8" w:color="auto"/>
            </w:tcBorders>
            <w:shd w:val="clear" w:color="auto" w:fill="2AD2C9"/>
          </w:tcPr>
          <w:p>
            <w:pPr>
              <w:spacing w:after="0"/>
              <w:rPr>
                <w:sz w:val="11"/>
                <w:szCs w:val="11"/>
                <w:color w:val="auto"/>
              </w:rPr>
            </w:pPr>
          </w:p>
        </w:tc>
        <w:tc>
          <w:tcPr>
            <w:tcW w:w="560" w:type="dxa"/>
            <w:vAlign w:val="bottom"/>
            <w:tcBorders>
              <w:top w:val="single" w:sz="8" w:color="auto"/>
            </w:tcBorders>
            <w:shd w:val="clear" w:color="auto" w:fill="2AD2C9"/>
          </w:tcPr>
          <w:p>
            <w:pPr>
              <w:spacing w:after="0"/>
              <w:rPr>
                <w:sz w:val="11"/>
                <w:szCs w:val="11"/>
                <w:color w:val="auto"/>
              </w:rPr>
            </w:pPr>
          </w:p>
        </w:tc>
        <w:tc>
          <w:tcPr>
            <w:tcW w:w="580" w:type="dxa"/>
            <w:vAlign w:val="bottom"/>
            <w:tcBorders>
              <w:top w:val="single" w:sz="8" w:color="auto"/>
              <w:right w:val="single" w:sz="8" w:color="auto"/>
            </w:tcBorders>
            <w:shd w:val="clear" w:color="auto" w:fill="2AD2C9"/>
          </w:tcPr>
          <w:p>
            <w:pPr>
              <w:spacing w:after="0"/>
              <w:rPr>
                <w:sz w:val="11"/>
                <w:szCs w:val="11"/>
                <w:color w:val="auto"/>
              </w:rPr>
            </w:pPr>
          </w:p>
        </w:tc>
        <w:tc>
          <w:tcPr>
            <w:tcW w:w="1140" w:type="dxa"/>
            <w:vAlign w:val="bottom"/>
            <w:tcBorders>
              <w:top w:val="single" w:sz="8" w:color="auto"/>
              <w:right w:val="single" w:sz="8" w:color="auto"/>
            </w:tcBorders>
            <w:gridSpan w:val="2"/>
            <w:vMerge w:val="restart"/>
            <w:shd w:val="clear" w:color="auto" w:fill="2AD2C9"/>
          </w:tcPr>
          <w:p>
            <w:pPr>
              <w:jc w:val="center"/>
              <w:spacing w:after="0"/>
              <w:rPr>
                <w:sz w:val="20"/>
                <w:szCs w:val="20"/>
                <w:color w:val="auto"/>
              </w:rPr>
            </w:pPr>
            <w:r>
              <w:rPr>
                <w:rFonts w:ascii="Arial" w:cs="Arial" w:eastAsia="Arial" w:hAnsi="Arial"/>
                <w:sz w:val="12"/>
                <w:szCs w:val="12"/>
                <w:b w:val="1"/>
                <w:bCs w:val="1"/>
                <w:color w:val="FFFFFF"/>
                <w:w w:val="98"/>
              </w:rPr>
              <w:t>% Structural</w:t>
            </w:r>
          </w:p>
        </w:tc>
        <w:tc>
          <w:tcPr>
            <w:tcW w:w="1640" w:type="dxa"/>
            <w:vAlign w:val="bottom"/>
            <w:tcBorders>
              <w:top w:val="single" w:sz="8" w:color="auto"/>
              <w:right w:val="single" w:sz="8" w:color="auto"/>
            </w:tcBorders>
            <w:gridSpan w:val="4"/>
            <w:shd w:val="clear" w:color="auto" w:fill="2AD2C9"/>
          </w:tcPr>
          <w:p>
            <w:pPr>
              <w:jc w:val="center"/>
              <w:ind w:right="20"/>
              <w:spacing w:after="0" w:line="133" w:lineRule="exact"/>
              <w:rPr>
                <w:sz w:val="20"/>
                <w:szCs w:val="20"/>
                <w:color w:val="auto"/>
              </w:rPr>
            </w:pPr>
            <w:r>
              <w:rPr>
                <w:rFonts w:ascii="Arial" w:cs="Arial" w:eastAsia="Arial" w:hAnsi="Arial"/>
                <w:sz w:val="12"/>
                <w:szCs w:val="12"/>
                <w:b w:val="1"/>
                <w:bCs w:val="1"/>
                <w:color w:val="FFFFFF"/>
                <w:w w:val="97"/>
              </w:rPr>
              <w:t>Foreign Currency (FC) - US$</w:t>
            </w:r>
          </w:p>
        </w:tc>
        <w:tc>
          <w:tcPr>
            <w:tcW w:w="560" w:type="dxa"/>
            <w:vAlign w:val="bottom"/>
            <w:tcBorders>
              <w:top w:val="single" w:sz="8" w:color="auto"/>
              <w:left w:val="single" w:sz="8" w:color="auto"/>
            </w:tcBorders>
            <w:shd w:val="clear" w:color="auto" w:fill="2AD2C9"/>
          </w:tcPr>
          <w:p>
            <w:pPr>
              <w:spacing w:after="0"/>
              <w:rPr>
                <w:sz w:val="11"/>
                <w:szCs w:val="11"/>
                <w:color w:val="auto"/>
              </w:rPr>
            </w:pPr>
          </w:p>
        </w:tc>
        <w:tc>
          <w:tcPr>
            <w:tcW w:w="560" w:type="dxa"/>
            <w:vAlign w:val="bottom"/>
            <w:tcBorders>
              <w:top w:val="single" w:sz="8" w:color="auto"/>
              <w:right w:val="single" w:sz="8" w:color="auto"/>
            </w:tcBorders>
            <w:shd w:val="clear" w:color="auto" w:fill="2AD2C9"/>
          </w:tcPr>
          <w:p>
            <w:pPr>
              <w:spacing w:after="0"/>
              <w:rPr>
                <w:sz w:val="11"/>
                <w:szCs w:val="11"/>
                <w:color w:val="auto"/>
              </w:rPr>
            </w:pPr>
          </w:p>
        </w:tc>
        <w:tc>
          <w:tcPr>
            <w:tcW w:w="1100" w:type="dxa"/>
            <w:vAlign w:val="bottom"/>
            <w:tcBorders>
              <w:top w:val="single" w:sz="8" w:color="auto"/>
              <w:right w:val="single" w:sz="8" w:color="auto"/>
            </w:tcBorders>
            <w:gridSpan w:val="2"/>
            <w:shd w:val="clear" w:color="auto" w:fill="2AD2C9"/>
          </w:tcPr>
          <w:p>
            <w:pPr>
              <w:jc w:val="center"/>
              <w:spacing w:after="0" w:line="133" w:lineRule="exact"/>
              <w:rPr>
                <w:sz w:val="20"/>
                <w:szCs w:val="20"/>
                <w:color w:val="auto"/>
              </w:rPr>
            </w:pPr>
            <w:r>
              <w:rPr>
                <w:rFonts w:ascii="Arial" w:cs="Arial" w:eastAsia="Arial" w:hAnsi="Arial"/>
                <w:sz w:val="12"/>
                <w:szCs w:val="12"/>
                <w:b w:val="1"/>
                <w:bCs w:val="1"/>
                <w:color w:val="FFFFFF"/>
                <w:w w:val="97"/>
              </w:rPr>
              <w:t>% part. by</w:t>
            </w:r>
          </w:p>
        </w:tc>
        <w:tc>
          <w:tcPr>
            <w:tcW w:w="0" w:type="dxa"/>
            <w:vAlign w:val="bottom"/>
          </w:tcPr>
          <w:p>
            <w:pPr>
              <w:spacing w:after="0"/>
              <w:rPr>
                <w:sz w:val="1"/>
                <w:szCs w:val="1"/>
                <w:color w:val="auto"/>
              </w:rPr>
            </w:pPr>
          </w:p>
        </w:tc>
      </w:tr>
      <w:tr>
        <w:trPr>
          <w:trHeight w:val="63"/>
        </w:trPr>
        <w:tc>
          <w:tcPr>
            <w:tcW w:w="1600" w:type="dxa"/>
            <w:vAlign w:val="bottom"/>
            <w:tcBorders>
              <w:left w:val="single" w:sz="8" w:color="auto"/>
              <w:right w:val="single" w:sz="8" w:color="auto"/>
            </w:tcBorders>
            <w:shd w:val="clear" w:color="auto" w:fill="2AD2C9"/>
          </w:tcPr>
          <w:p>
            <w:pPr>
              <w:spacing w:after="0"/>
              <w:rPr>
                <w:sz w:val="5"/>
                <w:szCs w:val="5"/>
                <w:color w:val="auto"/>
              </w:rPr>
            </w:pPr>
          </w:p>
        </w:tc>
        <w:tc>
          <w:tcPr>
            <w:tcW w:w="560" w:type="dxa"/>
            <w:vAlign w:val="bottom"/>
            <w:shd w:val="clear" w:color="auto" w:fill="2AD2C9"/>
          </w:tcPr>
          <w:p>
            <w:pPr>
              <w:spacing w:after="0"/>
              <w:rPr>
                <w:sz w:val="5"/>
                <w:szCs w:val="5"/>
                <w:color w:val="auto"/>
              </w:rPr>
            </w:pPr>
          </w:p>
        </w:tc>
        <w:tc>
          <w:tcPr>
            <w:tcW w:w="2400" w:type="dxa"/>
            <w:vAlign w:val="bottom"/>
            <w:gridSpan w:val="4"/>
            <w:vMerge w:val="continue"/>
            <w:shd w:val="clear" w:color="auto" w:fill="2AD2C9"/>
          </w:tcPr>
          <w:p>
            <w:pPr>
              <w:spacing w:after="0"/>
              <w:rPr>
                <w:sz w:val="5"/>
                <w:szCs w:val="5"/>
                <w:color w:val="auto"/>
              </w:rPr>
            </w:pPr>
          </w:p>
        </w:tc>
        <w:tc>
          <w:tcPr>
            <w:tcW w:w="540" w:type="dxa"/>
            <w:vAlign w:val="bottom"/>
            <w:tcBorders>
              <w:right w:val="single" w:sz="8" w:color="auto"/>
            </w:tcBorders>
            <w:shd w:val="clear" w:color="auto" w:fill="2AD2C9"/>
          </w:tcPr>
          <w:p>
            <w:pPr>
              <w:spacing w:after="0"/>
              <w:rPr>
                <w:sz w:val="5"/>
                <w:szCs w:val="5"/>
                <w:color w:val="auto"/>
              </w:rPr>
            </w:pPr>
          </w:p>
        </w:tc>
        <w:tc>
          <w:tcPr>
            <w:tcW w:w="1140" w:type="dxa"/>
            <w:vAlign w:val="bottom"/>
            <w:tcBorders>
              <w:right w:val="single" w:sz="8" w:color="auto"/>
            </w:tcBorders>
            <w:gridSpan w:val="2"/>
            <w:vMerge w:val="restart"/>
            <w:shd w:val="clear" w:color="auto" w:fill="2AD2C9"/>
          </w:tcPr>
          <w:p>
            <w:pPr>
              <w:ind w:left="280"/>
              <w:spacing w:after="0" w:line="126" w:lineRule="exact"/>
              <w:rPr>
                <w:sz w:val="20"/>
                <w:szCs w:val="20"/>
                <w:color w:val="auto"/>
              </w:rPr>
            </w:pPr>
            <w:r>
              <w:rPr>
                <w:rFonts w:ascii="Arial" w:cs="Arial" w:eastAsia="Arial" w:hAnsi="Arial"/>
                <w:sz w:val="12"/>
                <w:szCs w:val="12"/>
                <w:b w:val="1"/>
                <w:bCs w:val="1"/>
                <w:color w:val="FFFFFF"/>
              </w:rPr>
              <w:t>% change</w:t>
            </w:r>
          </w:p>
        </w:tc>
        <w:tc>
          <w:tcPr>
            <w:tcW w:w="1140" w:type="dxa"/>
            <w:vAlign w:val="bottom"/>
            <w:tcBorders>
              <w:right w:val="single" w:sz="8" w:color="auto"/>
            </w:tcBorders>
            <w:gridSpan w:val="2"/>
            <w:vMerge w:val="continue"/>
            <w:shd w:val="clear" w:color="auto" w:fill="2AD2C9"/>
          </w:tcPr>
          <w:p>
            <w:pPr>
              <w:spacing w:after="0"/>
              <w:rPr>
                <w:sz w:val="5"/>
                <w:szCs w:val="5"/>
                <w:color w:val="auto"/>
              </w:rPr>
            </w:pPr>
          </w:p>
        </w:tc>
        <w:tc>
          <w:tcPr>
            <w:tcW w:w="520" w:type="dxa"/>
            <w:vAlign w:val="bottom"/>
            <w:shd w:val="clear" w:color="auto" w:fill="2AD2C9"/>
          </w:tcPr>
          <w:p>
            <w:pPr>
              <w:spacing w:after="0"/>
              <w:rPr>
                <w:sz w:val="5"/>
                <w:szCs w:val="5"/>
                <w:color w:val="auto"/>
              </w:rPr>
            </w:pPr>
          </w:p>
        </w:tc>
        <w:tc>
          <w:tcPr>
            <w:tcW w:w="580" w:type="dxa"/>
            <w:vAlign w:val="bottom"/>
            <w:vMerge w:val="restart"/>
            <w:shd w:val="clear" w:color="auto" w:fill="2AD2C9"/>
          </w:tcPr>
          <w:p>
            <w:pPr>
              <w:jc w:val="center"/>
              <w:spacing w:after="0" w:line="126" w:lineRule="exact"/>
              <w:rPr>
                <w:sz w:val="20"/>
                <w:szCs w:val="20"/>
                <w:color w:val="auto"/>
              </w:rPr>
            </w:pPr>
            <w:r>
              <w:rPr>
                <w:rFonts w:ascii="Arial" w:cs="Arial" w:eastAsia="Arial" w:hAnsi="Arial"/>
                <w:sz w:val="12"/>
                <w:szCs w:val="12"/>
                <w:b w:val="1"/>
                <w:bCs w:val="1"/>
                <w:color w:val="FFFFFF"/>
              </w:rPr>
              <w:t>millions</w:t>
            </w:r>
          </w:p>
        </w:tc>
        <w:tc>
          <w:tcPr>
            <w:tcW w:w="80" w:type="dxa"/>
            <w:vAlign w:val="bottom"/>
            <w:shd w:val="clear" w:color="auto" w:fill="2AD2C9"/>
          </w:tcPr>
          <w:p>
            <w:pPr>
              <w:spacing w:after="0"/>
              <w:rPr>
                <w:sz w:val="5"/>
                <w:szCs w:val="5"/>
                <w:color w:val="auto"/>
              </w:rPr>
            </w:pPr>
          </w:p>
        </w:tc>
        <w:tc>
          <w:tcPr>
            <w:tcW w:w="460" w:type="dxa"/>
            <w:vAlign w:val="bottom"/>
            <w:tcBorders>
              <w:right w:val="single" w:sz="8" w:color="auto"/>
            </w:tcBorders>
            <w:shd w:val="clear" w:color="auto" w:fill="2AD2C9"/>
          </w:tcPr>
          <w:p>
            <w:pPr>
              <w:spacing w:after="0"/>
              <w:rPr>
                <w:sz w:val="5"/>
                <w:szCs w:val="5"/>
                <w:color w:val="auto"/>
              </w:rPr>
            </w:pPr>
          </w:p>
        </w:tc>
        <w:tc>
          <w:tcPr>
            <w:tcW w:w="1120" w:type="dxa"/>
            <w:vAlign w:val="bottom"/>
            <w:tcBorders>
              <w:left w:val="single" w:sz="8" w:color="auto"/>
              <w:right w:val="single" w:sz="8" w:color="auto"/>
            </w:tcBorders>
            <w:gridSpan w:val="2"/>
            <w:vMerge w:val="restart"/>
            <w:shd w:val="clear" w:color="auto" w:fill="2AD2C9"/>
          </w:tcPr>
          <w:p>
            <w:pPr>
              <w:ind w:left="280"/>
              <w:spacing w:after="0" w:line="126" w:lineRule="exact"/>
              <w:rPr>
                <w:sz w:val="20"/>
                <w:szCs w:val="20"/>
                <w:color w:val="auto"/>
              </w:rPr>
            </w:pPr>
            <w:r>
              <w:rPr>
                <w:rFonts w:ascii="Arial" w:cs="Arial" w:eastAsia="Arial" w:hAnsi="Arial"/>
                <w:sz w:val="12"/>
                <w:szCs w:val="12"/>
                <w:b w:val="1"/>
                <w:bCs w:val="1"/>
                <w:color w:val="FFFFFF"/>
              </w:rPr>
              <w:t>% change</w:t>
            </w:r>
          </w:p>
        </w:tc>
        <w:tc>
          <w:tcPr>
            <w:tcW w:w="1100" w:type="dxa"/>
            <w:vAlign w:val="bottom"/>
            <w:tcBorders>
              <w:right w:val="single" w:sz="8" w:color="auto"/>
            </w:tcBorders>
            <w:gridSpan w:val="2"/>
            <w:vMerge w:val="restart"/>
            <w:shd w:val="clear" w:color="auto" w:fill="2AD2C9"/>
          </w:tcPr>
          <w:p>
            <w:pPr>
              <w:jc w:val="center"/>
              <w:spacing w:after="0" w:line="126" w:lineRule="exact"/>
              <w:rPr>
                <w:sz w:val="20"/>
                <w:szCs w:val="20"/>
                <w:color w:val="auto"/>
              </w:rPr>
            </w:pPr>
            <w:r>
              <w:rPr>
                <w:rFonts w:ascii="Arial" w:cs="Arial" w:eastAsia="Arial" w:hAnsi="Arial"/>
                <w:sz w:val="12"/>
                <w:szCs w:val="12"/>
                <w:b w:val="1"/>
                <w:bCs w:val="1"/>
                <w:color w:val="FFFFFF"/>
                <w:w w:val="94"/>
              </w:rPr>
              <w:t>currency</w:t>
            </w:r>
          </w:p>
        </w:tc>
        <w:tc>
          <w:tcPr>
            <w:tcW w:w="0" w:type="dxa"/>
            <w:vAlign w:val="bottom"/>
          </w:tcPr>
          <w:p>
            <w:pPr>
              <w:spacing w:after="0"/>
              <w:rPr>
                <w:sz w:val="1"/>
                <w:szCs w:val="1"/>
                <w:color w:val="auto"/>
              </w:rPr>
            </w:pPr>
          </w:p>
        </w:tc>
      </w:tr>
      <w:tr>
        <w:trPr>
          <w:trHeight w:val="63"/>
        </w:trPr>
        <w:tc>
          <w:tcPr>
            <w:tcW w:w="1600" w:type="dxa"/>
            <w:vAlign w:val="bottom"/>
            <w:tcBorders>
              <w:left w:val="single" w:sz="8" w:color="auto"/>
              <w:right w:val="single" w:sz="8" w:color="auto"/>
            </w:tcBorders>
            <w:vMerge w:val="restart"/>
            <w:shd w:val="clear" w:color="auto" w:fill="2AD2C9"/>
          </w:tcPr>
          <w:p>
            <w:pPr>
              <w:ind w:left="60"/>
              <w:spacing w:after="0"/>
              <w:rPr>
                <w:sz w:val="20"/>
                <w:szCs w:val="20"/>
                <w:color w:val="auto"/>
              </w:rPr>
            </w:pPr>
            <w:r>
              <w:rPr>
                <w:rFonts w:ascii="Arial" w:cs="Arial" w:eastAsia="Arial" w:hAnsi="Arial"/>
                <w:sz w:val="12"/>
                <w:szCs w:val="12"/>
                <w:b w:val="1"/>
                <w:bCs w:val="1"/>
                <w:color w:val="FFFFFF"/>
              </w:rPr>
              <w:t>Total Loans</w:t>
            </w:r>
          </w:p>
        </w:tc>
        <w:tc>
          <w:tcPr>
            <w:tcW w:w="560" w:type="dxa"/>
            <w:vAlign w:val="bottom"/>
            <w:shd w:val="clear" w:color="auto" w:fill="2AD2C9"/>
          </w:tcPr>
          <w:p>
            <w:pPr>
              <w:spacing w:after="0"/>
              <w:rPr>
                <w:sz w:val="5"/>
                <w:szCs w:val="5"/>
                <w:color w:val="auto"/>
              </w:rPr>
            </w:pPr>
          </w:p>
        </w:tc>
        <w:tc>
          <w:tcPr>
            <w:tcW w:w="560" w:type="dxa"/>
            <w:vAlign w:val="bottom"/>
            <w:shd w:val="clear" w:color="auto" w:fill="2AD2C9"/>
          </w:tcPr>
          <w:p>
            <w:pPr>
              <w:spacing w:after="0"/>
              <w:rPr>
                <w:sz w:val="5"/>
                <w:szCs w:val="5"/>
                <w:color w:val="auto"/>
              </w:rPr>
            </w:pPr>
          </w:p>
        </w:tc>
        <w:tc>
          <w:tcPr>
            <w:tcW w:w="620" w:type="dxa"/>
            <w:vAlign w:val="bottom"/>
            <w:shd w:val="clear" w:color="auto" w:fill="2AD2C9"/>
          </w:tcPr>
          <w:p>
            <w:pPr>
              <w:spacing w:after="0"/>
              <w:rPr>
                <w:sz w:val="5"/>
                <w:szCs w:val="5"/>
                <w:color w:val="auto"/>
              </w:rPr>
            </w:pPr>
          </w:p>
        </w:tc>
        <w:tc>
          <w:tcPr>
            <w:tcW w:w="580" w:type="dxa"/>
            <w:vAlign w:val="bottom"/>
            <w:shd w:val="clear" w:color="auto" w:fill="2AD2C9"/>
          </w:tcPr>
          <w:p>
            <w:pPr>
              <w:spacing w:after="0"/>
              <w:rPr>
                <w:sz w:val="5"/>
                <w:szCs w:val="5"/>
                <w:color w:val="auto"/>
              </w:rPr>
            </w:pPr>
          </w:p>
        </w:tc>
        <w:tc>
          <w:tcPr>
            <w:tcW w:w="640" w:type="dxa"/>
            <w:vAlign w:val="bottom"/>
            <w:shd w:val="clear" w:color="auto" w:fill="2AD2C9"/>
          </w:tcPr>
          <w:p>
            <w:pPr>
              <w:spacing w:after="0"/>
              <w:rPr>
                <w:sz w:val="5"/>
                <w:szCs w:val="5"/>
                <w:color w:val="auto"/>
              </w:rPr>
            </w:pPr>
          </w:p>
        </w:tc>
        <w:tc>
          <w:tcPr>
            <w:tcW w:w="540" w:type="dxa"/>
            <w:vAlign w:val="bottom"/>
            <w:tcBorders>
              <w:right w:val="single" w:sz="8" w:color="auto"/>
            </w:tcBorders>
            <w:shd w:val="clear" w:color="auto" w:fill="2AD2C9"/>
          </w:tcPr>
          <w:p>
            <w:pPr>
              <w:spacing w:after="0"/>
              <w:rPr>
                <w:sz w:val="5"/>
                <w:szCs w:val="5"/>
                <w:color w:val="auto"/>
              </w:rPr>
            </w:pPr>
          </w:p>
        </w:tc>
        <w:tc>
          <w:tcPr>
            <w:tcW w:w="1140" w:type="dxa"/>
            <w:vAlign w:val="bottom"/>
            <w:tcBorders>
              <w:right w:val="single" w:sz="8" w:color="auto"/>
            </w:tcBorders>
            <w:gridSpan w:val="2"/>
            <w:vMerge w:val="continue"/>
            <w:shd w:val="clear" w:color="auto" w:fill="2AD2C9"/>
          </w:tcPr>
          <w:p>
            <w:pPr>
              <w:spacing w:after="0"/>
              <w:rPr>
                <w:sz w:val="5"/>
                <w:szCs w:val="5"/>
                <w:color w:val="auto"/>
              </w:rPr>
            </w:pPr>
          </w:p>
        </w:tc>
        <w:tc>
          <w:tcPr>
            <w:tcW w:w="1140" w:type="dxa"/>
            <w:vAlign w:val="bottom"/>
            <w:tcBorders>
              <w:right w:val="single" w:sz="8" w:color="auto"/>
            </w:tcBorders>
            <w:gridSpan w:val="2"/>
            <w:vMerge w:val="restart"/>
            <w:shd w:val="clear" w:color="auto" w:fill="2AD2C9"/>
          </w:tcPr>
          <w:p>
            <w:pPr>
              <w:jc w:val="center"/>
              <w:spacing w:after="0"/>
              <w:rPr>
                <w:sz w:val="20"/>
                <w:szCs w:val="20"/>
                <w:color w:val="auto"/>
              </w:rPr>
            </w:pPr>
            <w:r>
              <w:rPr>
                <w:rFonts w:ascii="Arial" w:cs="Arial" w:eastAsia="Arial" w:hAnsi="Arial"/>
                <w:sz w:val="12"/>
                <w:szCs w:val="12"/>
                <w:b w:val="1"/>
                <w:bCs w:val="1"/>
                <w:color w:val="FFFFFF"/>
                <w:w w:val="99"/>
              </w:rPr>
              <w:t>change</w:t>
            </w:r>
          </w:p>
        </w:tc>
        <w:tc>
          <w:tcPr>
            <w:tcW w:w="520" w:type="dxa"/>
            <w:vAlign w:val="bottom"/>
            <w:shd w:val="clear" w:color="auto" w:fill="2AD2C9"/>
          </w:tcPr>
          <w:p>
            <w:pPr>
              <w:spacing w:after="0"/>
              <w:rPr>
                <w:sz w:val="5"/>
                <w:szCs w:val="5"/>
                <w:color w:val="auto"/>
              </w:rPr>
            </w:pPr>
          </w:p>
        </w:tc>
        <w:tc>
          <w:tcPr>
            <w:tcW w:w="580" w:type="dxa"/>
            <w:vAlign w:val="bottom"/>
            <w:vMerge w:val="continue"/>
            <w:shd w:val="clear" w:color="auto" w:fill="2AD2C9"/>
          </w:tcPr>
          <w:p>
            <w:pPr>
              <w:spacing w:after="0"/>
              <w:rPr>
                <w:sz w:val="5"/>
                <w:szCs w:val="5"/>
                <w:color w:val="auto"/>
              </w:rPr>
            </w:pPr>
          </w:p>
        </w:tc>
        <w:tc>
          <w:tcPr>
            <w:tcW w:w="80" w:type="dxa"/>
            <w:vAlign w:val="bottom"/>
            <w:shd w:val="clear" w:color="auto" w:fill="2AD2C9"/>
          </w:tcPr>
          <w:p>
            <w:pPr>
              <w:spacing w:after="0"/>
              <w:rPr>
                <w:sz w:val="5"/>
                <w:szCs w:val="5"/>
                <w:color w:val="auto"/>
              </w:rPr>
            </w:pPr>
          </w:p>
        </w:tc>
        <w:tc>
          <w:tcPr>
            <w:tcW w:w="460" w:type="dxa"/>
            <w:vAlign w:val="bottom"/>
            <w:tcBorders>
              <w:right w:val="single" w:sz="8" w:color="auto"/>
            </w:tcBorders>
            <w:shd w:val="clear" w:color="auto" w:fill="2AD2C9"/>
          </w:tcPr>
          <w:p>
            <w:pPr>
              <w:spacing w:after="0"/>
              <w:rPr>
                <w:sz w:val="5"/>
                <w:szCs w:val="5"/>
                <w:color w:val="auto"/>
              </w:rPr>
            </w:pPr>
          </w:p>
        </w:tc>
        <w:tc>
          <w:tcPr>
            <w:tcW w:w="1120" w:type="dxa"/>
            <w:vAlign w:val="bottom"/>
            <w:tcBorders>
              <w:left w:val="single" w:sz="8" w:color="auto"/>
              <w:right w:val="single" w:sz="8" w:color="auto"/>
            </w:tcBorders>
            <w:gridSpan w:val="2"/>
            <w:vMerge w:val="continue"/>
            <w:shd w:val="clear" w:color="auto" w:fill="2AD2C9"/>
          </w:tcPr>
          <w:p>
            <w:pPr>
              <w:spacing w:after="0"/>
              <w:rPr>
                <w:sz w:val="5"/>
                <w:szCs w:val="5"/>
                <w:color w:val="auto"/>
              </w:rPr>
            </w:pPr>
          </w:p>
        </w:tc>
        <w:tc>
          <w:tcPr>
            <w:tcW w:w="1100" w:type="dxa"/>
            <w:vAlign w:val="bottom"/>
            <w:tcBorders>
              <w:right w:val="single" w:sz="8" w:color="auto"/>
            </w:tcBorders>
            <w:gridSpan w:val="2"/>
            <w:vMerge w:val="continue"/>
            <w:shd w:val="clear" w:color="auto" w:fill="2AD2C9"/>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600" w:type="dxa"/>
            <w:vAlign w:val="bottom"/>
            <w:tcBorders>
              <w:left w:val="single" w:sz="8" w:color="auto"/>
              <w:right w:val="single" w:sz="8" w:color="auto"/>
            </w:tcBorders>
            <w:vMerge w:val="continue"/>
            <w:shd w:val="clear" w:color="auto" w:fill="2AD2C9"/>
          </w:tcPr>
          <w:p>
            <w:pPr>
              <w:spacing w:after="0"/>
              <w:rPr>
                <w:sz w:val="8"/>
                <w:szCs w:val="8"/>
                <w:color w:val="auto"/>
              </w:rPr>
            </w:pPr>
          </w:p>
        </w:tc>
        <w:tc>
          <w:tcPr>
            <w:tcW w:w="560" w:type="dxa"/>
            <w:vAlign w:val="bottom"/>
            <w:shd w:val="clear" w:color="auto" w:fill="2AD2C9"/>
          </w:tcPr>
          <w:p>
            <w:pPr>
              <w:spacing w:after="0"/>
              <w:rPr>
                <w:sz w:val="8"/>
                <w:szCs w:val="8"/>
                <w:color w:val="auto"/>
              </w:rPr>
            </w:pPr>
          </w:p>
        </w:tc>
        <w:tc>
          <w:tcPr>
            <w:tcW w:w="560" w:type="dxa"/>
            <w:vAlign w:val="bottom"/>
            <w:vMerge w:val="restart"/>
            <w:shd w:val="clear" w:color="auto" w:fill="2AD2C9"/>
          </w:tcPr>
          <w:p>
            <w:pPr>
              <w:jc w:val="center"/>
              <w:spacing w:after="0" w:line="126" w:lineRule="exact"/>
              <w:rPr>
                <w:sz w:val="20"/>
                <w:szCs w:val="20"/>
                <w:color w:val="auto"/>
              </w:rPr>
            </w:pPr>
            <w:r>
              <w:rPr>
                <w:rFonts w:ascii="Arial" w:cs="Arial" w:eastAsia="Arial" w:hAnsi="Arial"/>
                <w:sz w:val="12"/>
                <w:szCs w:val="12"/>
                <w:b w:val="1"/>
                <w:bCs w:val="1"/>
                <w:color w:val="FFFFFF"/>
                <w:w w:val="97"/>
              </w:rPr>
              <w:t>Total</w:t>
            </w:r>
          </w:p>
        </w:tc>
        <w:tc>
          <w:tcPr>
            <w:tcW w:w="620" w:type="dxa"/>
            <w:vAlign w:val="bottom"/>
            <w:shd w:val="clear" w:color="auto" w:fill="2AD2C9"/>
          </w:tcPr>
          <w:p>
            <w:pPr>
              <w:spacing w:after="0"/>
              <w:rPr>
                <w:sz w:val="8"/>
                <w:szCs w:val="8"/>
                <w:color w:val="auto"/>
              </w:rPr>
            </w:pPr>
          </w:p>
        </w:tc>
        <w:tc>
          <w:tcPr>
            <w:tcW w:w="580" w:type="dxa"/>
            <w:vAlign w:val="bottom"/>
            <w:shd w:val="clear" w:color="auto" w:fill="2AD2C9"/>
          </w:tcPr>
          <w:p>
            <w:pPr>
              <w:spacing w:after="0"/>
              <w:rPr>
                <w:sz w:val="8"/>
                <w:szCs w:val="8"/>
                <w:color w:val="auto"/>
              </w:rPr>
            </w:pPr>
          </w:p>
        </w:tc>
        <w:tc>
          <w:tcPr>
            <w:tcW w:w="640" w:type="dxa"/>
            <w:vAlign w:val="bottom"/>
            <w:vMerge w:val="restart"/>
            <w:shd w:val="clear" w:color="auto" w:fill="2AD2C9"/>
          </w:tcPr>
          <w:p>
            <w:pPr>
              <w:jc w:val="center"/>
              <w:spacing w:after="0" w:line="126" w:lineRule="exact"/>
              <w:rPr>
                <w:sz w:val="20"/>
                <w:szCs w:val="20"/>
                <w:color w:val="auto"/>
              </w:rPr>
            </w:pPr>
            <w:r>
              <w:rPr>
                <w:rFonts w:ascii="Arial" w:cs="Arial" w:eastAsia="Arial" w:hAnsi="Arial"/>
                <w:sz w:val="12"/>
                <w:szCs w:val="12"/>
                <w:b w:val="1"/>
                <w:bCs w:val="1"/>
                <w:color w:val="FFFFFF"/>
                <w:w w:val="98"/>
              </w:rPr>
              <w:t>Structural</w:t>
            </w:r>
          </w:p>
        </w:tc>
        <w:tc>
          <w:tcPr>
            <w:tcW w:w="540" w:type="dxa"/>
            <w:vAlign w:val="bottom"/>
            <w:tcBorders>
              <w:right w:val="single" w:sz="8" w:color="auto"/>
            </w:tcBorders>
            <w:shd w:val="clear" w:color="auto" w:fill="2AD2C9"/>
          </w:tcPr>
          <w:p>
            <w:pPr>
              <w:spacing w:after="0"/>
              <w:rPr>
                <w:sz w:val="8"/>
                <w:szCs w:val="8"/>
                <w:color w:val="auto"/>
              </w:rPr>
            </w:pPr>
          </w:p>
        </w:tc>
        <w:tc>
          <w:tcPr>
            <w:tcW w:w="560" w:type="dxa"/>
            <w:vAlign w:val="bottom"/>
            <w:shd w:val="clear" w:color="auto" w:fill="2AD2C9"/>
          </w:tcPr>
          <w:p>
            <w:pPr>
              <w:spacing w:after="0"/>
              <w:rPr>
                <w:sz w:val="8"/>
                <w:szCs w:val="8"/>
                <w:color w:val="auto"/>
              </w:rPr>
            </w:pPr>
          </w:p>
        </w:tc>
        <w:tc>
          <w:tcPr>
            <w:tcW w:w="580" w:type="dxa"/>
            <w:vAlign w:val="bottom"/>
            <w:tcBorders>
              <w:right w:val="single" w:sz="8" w:color="auto"/>
            </w:tcBorders>
            <w:shd w:val="clear" w:color="auto" w:fill="2AD2C9"/>
          </w:tcPr>
          <w:p>
            <w:pPr>
              <w:spacing w:after="0"/>
              <w:rPr>
                <w:sz w:val="8"/>
                <w:szCs w:val="8"/>
                <w:color w:val="auto"/>
              </w:rPr>
            </w:pPr>
          </w:p>
        </w:tc>
        <w:tc>
          <w:tcPr>
            <w:tcW w:w="1140" w:type="dxa"/>
            <w:vAlign w:val="bottom"/>
            <w:tcBorders>
              <w:right w:val="single" w:sz="8" w:color="auto"/>
            </w:tcBorders>
            <w:gridSpan w:val="2"/>
            <w:vMerge w:val="continue"/>
            <w:shd w:val="clear" w:color="auto" w:fill="2AD2C9"/>
          </w:tcPr>
          <w:p>
            <w:pPr>
              <w:spacing w:after="0"/>
              <w:rPr>
                <w:sz w:val="8"/>
                <w:szCs w:val="8"/>
                <w:color w:val="auto"/>
              </w:rPr>
            </w:pPr>
          </w:p>
        </w:tc>
        <w:tc>
          <w:tcPr>
            <w:tcW w:w="520" w:type="dxa"/>
            <w:vAlign w:val="bottom"/>
            <w:shd w:val="clear" w:color="auto" w:fill="2AD2C9"/>
          </w:tcPr>
          <w:p>
            <w:pPr>
              <w:spacing w:after="0"/>
              <w:rPr>
                <w:sz w:val="8"/>
                <w:szCs w:val="8"/>
                <w:color w:val="auto"/>
              </w:rPr>
            </w:pPr>
          </w:p>
        </w:tc>
        <w:tc>
          <w:tcPr>
            <w:tcW w:w="580" w:type="dxa"/>
            <w:vAlign w:val="bottom"/>
            <w:vMerge w:val="restart"/>
            <w:shd w:val="clear" w:color="auto" w:fill="2AD2C9"/>
          </w:tcPr>
          <w:p>
            <w:pPr>
              <w:jc w:val="center"/>
              <w:spacing w:after="0" w:line="126" w:lineRule="exact"/>
              <w:rPr>
                <w:sz w:val="20"/>
                <w:szCs w:val="20"/>
                <w:color w:val="auto"/>
              </w:rPr>
            </w:pPr>
            <w:r>
              <w:rPr>
                <w:rFonts w:ascii="Arial" w:cs="Arial" w:eastAsia="Arial" w:hAnsi="Arial"/>
                <w:sz w:val="12"/>
                <w:szCs w:val="12"/>
                <w:b w:val="1"/>
                <w:bCs w:val="1"/>
                <w:color w:val="FFFFFF"/>
                <w:w w:val="90"/>
              </w:rPr>
              <w:t>Total</w:t>
            </w:r>
          </w:p>
        </w:tc>
        <w:tc>
          <w:tcPr>
            <w:tcW w:w="80" w:type="dxa"/>
            <w:vAlign w:val="bottom"/>
            <w:shd w:val="clear" w:color="auto" w:fill="2AD2C9"/>
          </w:tcPr>
          <w:p>
            <w:pPr>
              <w:spacing w:after="0"/>
              <w:rPr>
                <w:sz w:val="8"/>
                <w:szCs w:val="8"/>
                <w:color w:val="auto"/>
              </w:rPr>
            </w:pPr>
          </w:p>
        </w:tc>
        <w:tc>
          <w:tcPr>
            <w:tcW w:w="460" w:type="dxa"/>
            <w:vAlign w:val="bottom"/>
            <w:tcBorders>
              <w:right w:val="single" w:sz="8" w:color="auto"/>
            </w:tcBorders>
            <w:shd w:val="clear" w:color="auto" w:fill="2AD2C9"/>
          </w:tcPr>
          <w:p>
            <w:pPr>
              <w:spacing w:after="0"/>
              <w:rPr>
                <w:sz w:val="8"/>
                <w:szCs w:val="8"/>
                <w:color w:val="auto"/>
              </w:rPr>
            </w:pPr>
          </w:p>
        </w:tc>
        <w:tc>
          <w:tcPr>
            <w:tcW w:w="560" w:type="dxa"/>
            <w:vAlign w:val="bottom"/>
            <w:tcBorders>
              <w:left w:val="single" w:sz="8" w:color="auto"/>
            </w:tcBorders>
            <w:shd w:val="clear" w:color="auto" w:fill="2AD2C9"/>
          </w:tcPr>
          <w:p>
            <w:pPr>
              <w:spacing w:after="0"/>
              <w:rPr>
                <w:sz w:val="8"/>
                <w:szCs w:val="8"/>
                <w:color w:val="auto"/>
              </w:rPr>
            </w:pPr>
          </w:p>
        </w:tc>
        <w:tc>
          <w:tcPr>
            <w:tcW w:w="560" w:type="dxa"/>
            <w:vAlign w:val="bottom"/>
            <w:tcBorders>
              <w:right w:val="single" w:sz="8" w:color="auto"/>
            </w:tcBorders>
            <w:shd w:val="clear" w:color="auto" w:fill="2AD2C9"/>
          </w:tcPr>
          <w:p>
            <w:pPr>
              <w:spacing w:after="0"/>
              <w:rPr>
                <w:sz w:val="8"/>
                <w:szCs w:val="8"/>
                <w:color w:val="auto"/>
              </w:rPr>
            </w:pPr>
          </w:p>
        </w:tc>
        <w:tc>
          <w:tcPr>
            <w:tcW w:w="1100" w:type="dxa"/>
            <w:vAlign w:val="bottom"/>
            <w:tcBorders>
              <w:right w:val="single" w:sz="8" w:color="auto"/>
            </w:tcBorders>
            <w:gridSpan w:val="2"/>
            <w:vMerge w:val="restart"/>
            <w:shd w:val="clear" w:color="auto" w:fill="2AD2C9"/>
          </w:tcPr>
          <w:p>
            <w:pPr>
              <w:jc w:val="center"/>
              <w:spacing w:after="0" w:line="126" w:lineRule="exact"/>
              <w:rPr>
                <w:sz w:val="20"/>
                <w:szCs w:val="20"/>
                <w:color w:val="auto"/>
              </w:rPr>
            </w:pPr>
            <w:r>
              <w:rPr>
                <w:rFonts w:ascii="Arial" w:cs="Arial" w:eastAsia="Arial" w:hAnsi="Arial"/>
                <w:sz w:val="12"/>
                <w:szCs w:val="12"/>
                <w:b w:val="1"/>
                <w:bCs w:val="1"/>
                <w:color w:val="FFFFFF"/>
                <w:w w:val="98"/>
              </w:rPr>
              <w:t>Dec 22</w:t>
            </w:r>
          </w:p>
        </w:tc>
        <w:tc>
          <w:tcPr>
            <w:tcW w:w="0" w:type="dxa"/>
            <w:vAlign w:val="bottom"/>
          </w:tcPr>
          <w:p>
            <w:pPr>
              <w:spacing w:after="0"/>
              <w:rPr>
                <w:sz w:val="1"/>
                <w:szCs w:val="1"/>
                <w:color w:val="auto"/>
              </w:rPr>
            </w:pPr>
          </w:p>
        </w:tc>
      </w:tr>
      <w:tr>
        <w:trPr>
          <w:trHeight w:val="26"/>
        </w:trPr>
        <w:tc>
          <w:tcPr>
            <w:tcW w:w="1600" w:type="dxa"/>
            <w:vAlign w:val="bottom"/>
            <w:tcBorders>
              <w:left w:val="single" w:sz="8" w:color="auto"/>
              <w:right w:val="single" w:sz="8" w:color="auto"/>
            </w:tcBorders>
            <w:shd w:val="clear" w:color="auto" w:fill="2AD2C9"/>
          </w:tcPr>
          <w:p>
            <w:pPr>
              <w:spacing w:after="0"/>
              <w:rPr>
                <w:sz w:val="2"/>
                <w:szCs w:val="2"/>
                <w:color w:val="auto"/>
              </w:rPr>
            </w:pPr>
          </w:p>
        </w:tc>
        <w:tc>
          <w:tcPr>
            <w:tcW w:w="560" w:type="dxa"/>
            <w:vAlign w:val="bottom"/>
            <w:shd w:val="clear" w:color="auto" w:fill="2AD2C9"/>
          </w:tcPr>
          <w:p>
            <w:pPr>
              <w:spacing w:after="0"/>
              <w:rPr>
                <w:sz w:val="2"/>
                <w:szCs w:val="2"/>
                <w:color w:val="auto"/>
              </w:rPr>
            </w:pPr>
          </w:p>
        </w:tc>
        <w:tc>
          <w:tcPr>
            <w:tcW w:w="560" w:type="dxa"/>
            <w:vAlign w:val="bottom"/>
            <w:vMerge w:val="continue"/>
            <w:shd w:val="clear" w:color="auto" w:fill="2AD2C9"/>
          </w:tcPr>
          <w:p>
            <w:pPr>
              <w:spacing w:after="0"/>
              <w:rPr>
                <w:sz w:val="2"/>
                <w:szCs w:val="2"/>
                <w:color w:val="auto"/>
              </w:rPr>
            </w:pPr>
          </w:p>
        </w:tc>
        <w:tc>
          <w:tcPr>
            <w:tcW w:w="620" w:type="dxa"/>
            <w:vAlign w:val="bottom"/>
            <w:shd w:val="clear" w:color="auto" w:fill="2AD2C9"/>
          </w:tcPr>
          <w:p>
            <w:pPr>
              <w:spacing w:after="0"/>
              <w:rPr>
                <w:sz w:val="2"/>
                <w:szCs w:val="2"/>
                <w:color w:val="auto"/>
              </w:rPr>
            </w:pPr>
          </w:p>
        </w:tc>
        <w:tc>
          <w:tcPr>
            <w:tcW w:w="580" w:type="dxa"/>
            <w:vAlign w:val="bottom"/>
            <w:shd w:val="clear" w:color="auto" w:fill="2AD2C9"/>
          </w:tcPr>
          <w:p>
            <w:pPr>
              <w:spacing w:after="0"/>
              <w:rPr>
                <w:sz w:val="2"/>
                <w:szCs w:val="2"/>
                <w:color w:val="auto"/>
              </w:rPr>
            </w:pPr>
          </w:p>
        </w:tc>
        <w:tc>
          <w:tcPr>
            <w:tcW w:w="640" w:type="dxa"/>
            <w:vAlign w:val="bottom"/>
            <w:vMerge w:val="continue"/>
            <w:shd w:val="clear" w:color="auto" w:fill="2AD2C9"/>
          </w:tcPr>
          <w:p>
            <w:pPr>
              <w:spacing w:after="0"/>
              <w:rPr>
                <w:sz w:val="2"/>
                <w:szCs w:val="2"/>
                <w:color w:val="auto"/>
              </w:rPr>
            </w:pPr>
          </w:p>
        </w:tc>
        <w:tc>
          <w:tcPr>
            <w:tcW w:w="540" w:type="dxa"/>
            <w:vAlign w:val="bottom"/>
            <w:tcBorders>
              <w:right w:val="single" w:sz="8" w:color="auto"/>
            </w:tcBorders>
            <w:shd w:val="clear" w:color="auto" w:fill="2AD2C9"/>
          </w:tcPr>
          <w:p>
            <w:pPr>
              <w:spacing w:after="0"/>
              <w:rPr>
                <w:sz w:val="2"/>
                <w:szCs w:val="2"/>
                <w:color w:val="auto"/>
              </w:rPr>
            </w:pPr>
          </w:p>
        </w:tc>
        <w:tc>
          <w:tcPr>
            <w:tcW w:w="560" w:type="dxa"/>
            <w:vAlign w:val="bottom"/>
            <w:shd w:val="clear" w:color="auto" w:fill="2AD2C9"/>
          </w:tcPr>
          <w:p>
            <w:pPr>
              <w:spacing w:after="0"/>
              <w:rPr>
                <w:sz w:val="2"/>
                <w:szCs w:val="2"/>
                <w:color w:val="auto"/>
              </w:rPr>
            </w:pPr>
          </w:p>
        </w:tc>
        <w:tc>
          <w:tcPr>
            <w:tcW w:w="580" w:type="dxa"/>
            <w:vAlign w:val="bottom"/>
            <w:tcBorders>
              <w:right w:val="single" w:sz="8" w:color="auto"/>
            </w:tcBorders>
            <w:shd w:val="clear" w:color="auto" w:fill="2AD2C9"/>
          </w:tcPr>
          <w:p>
            <w:pPr>
              <w:spacing w:after="0"/>
              <w:rPr>
                <w:sz w:val="2"/>
                <w:szCs w:val="2"/>
                <w:color w:val="auto"/>
              </w:rPr>
            </w:pPr>
          </w:p>
        </w:tc>
        <w:tc>
          <w:tcPr>
            <w:tcW w:w="560" w:type="dxa"/>
            <w:vAlign w:val="bottom"/>
            <w:shd w:val="clear" w:color="auto" w:fill="2AD2C9"/>
          </w:tcPr>
          <w:p>
            <w:pPr>
              <w:spacing w:after="0"/>
              <w:rPr>
                <w:sz w:val="2"/>
                <w:szCs w:val="2"/>
                <w:color w:val="auto"/>
              </w:rPr>
            </w:pPr>
          </w:p>
        </w:tc>
        <w:tc>
          <w:tcPr>
            <w:tcW w:w="580" w:type="dxa"/>
            <w:vAlign w:val="bottom"/>
            <w:tcBorders>
              <w:right w:val="single" w:sz="8" w:color="auto"/>
            </w:tcBorders>
            <w:shd w:val="clear" w:color="auto" w:fill="2AD2C9"/>
          </w:tcPr>
          <w:p>
            <w:pPr>
              <w:spacing w:after="0"/>
              <w:rPr>
                <w:sz w:val="2"/>
                <w:szCs w:val="2"/>
                <w:color w:val="auto"/>
              </w:rPr>
            </w:pPr>
          </w:p>
        </w:tc>
        <w:tc>
          <w:tcPr>
            <w:tcW w:w="520" w:type="dxa"/>
            <w:vAlign w:val="bottom"/>
            <w:shd w:val="clear" w:color="auto" w:fill="2AD2C9"/>
          </w:tcPr>
          <w:p>
            <w:pPr>
              <w:spacing w:after="0"/>
              <w:rPr>
                <w:sz w:val="2"/>
                <w:szCs w:val="2"/>
                <w:color w:val="auto"/>
              </w:rPr>
            </w:pPr>
          </w:p>
        </w:tc>
        <w:tc>
          <w:tcPr>
            <w:tcW w:w="580" w:type="dxa"/>
            <w:vAlign w:val="bottom"/>
            <w:vMerge w:val="continue"/>
            <w:shd w:val="clear" w:color="auto" w:fill="2AD2C9"/>
          </w:tcPr>
          <w:p>
            <w:pPr>
              <w:spacing w:after="0"/>
              <w:rPr>
                <w:sz w:val="2"/>
                <w:szCs w:val="2"/>
                <w:color w:val="auto"/>
              </w:rPr>
            </w:pPr>
          </w:p>
        </w:tc>
        <w:tc>
          <w:tcPr>
            <w:tcW w:w="80" w:type="dxa"/>
            <w:vAlign w:val="bottom"/>
            <w:shd w:val="clear" w:color="auto" w:fill="2AD2C9"/>
          </w:tcPr>
          <w:p>
            <w:pPr>
              <w:spacing w:after="0"/>
              <w:rPr>
                <w:sz w:val="2"/>
                <w:szCs w:val="2"/>
                <w:color w:val="auto"/>
              </w:rPr>
            </w:pPr>
          </w:p>
        </w:tc>
        <w:tc>
          <w:tcPr>
            <w:tcW w:w="460" w:type="dxa"/>
            <w:vAlign w:val="bottom"/>
            <w:tcBorders>
              <w:right w:val="single" w:sz="8" w:color="auto"/>
            </w:tcBorders>
            <w:shd w:val="clear" w:color="auto" w:fill="2AD2C9"/>
          </w:tcPr>
          <w:p>
            <w:pPr>
              <w:spacing w:after="0"/>
              <w:rPr>
                <w:sz w:val="2"/>
                <w:szCs w:val="2"/>
                <w:color w:val="auto"/>
              </w:rPr>
            </w:pPr>
          </w:p>
        </w:tc>
        <w:tc>
          <w:tcPr>
            <w:tcW w:w="560" w:type="dxa"/>
            <w:vAlign w:val="bottom"/>
            <w:tcBorders>
              <w:left w:val="single" w:sz="8" w:color="auto"/>
            </w:tcBorders>
            <w:shd w:val="clear" w:color="auto" w:fill="2AD2C9"/>
          </w:tcPr>
          <w:p>
            <w:pPr>
              <w:spacing w:after="0"/>
              <w:rPr>
                <w:sz w:val="2"/>
                <w:szCs w:val="2"/>
                <w:color w:val="auto"/>
              </w:rPr>
            </w:pPr>
          </w:p>
        </w:tc>
        <w:tc>
          <w:tcPr>
            <w:tcW w:w="560" w:type="dxa"/>
            <w:vAlign w:val="bottom"/>
            <w:tcBorders>
              <w:right w:val="single" w:sz="8" w:color="auto"/>
            </w:tcBorders>
            <w:shd w:val="clear" w:color="auto" w:fill="2AD2C9"/>
          </w:tcPr>
          <w:p>
            <w:pPr>
              <w:spacing w:after="0"/>
              <w:rPr>
                <w:sz w:val="2"/>
                <w:szCs w:val="2"/>
                <w:color w:val="auto"/>
              </w:rPr>
            </w:pPr>
          </w:p>
        </w:tc>
        <w:tc>
          <w:tcPr>
            <w:tcW w:w="1100" w:type="dxa"/>
            <w:vAlign w:val="bottom"/>
            <w:tcBorders>
              <w:right w:val="single" w:sz="8" w:color="auto"/>
            </w:tcBorders>
            <w:gridSpan w:val="2"/>
            <w:vMerge w:val="continue"/>
            <w:shd w:val="clear" w:color="auto" w:fill="2AD2C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160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560" w:type="dxa"/>
            <w:vAlign w:val="bottom"/>
            <w:tcBorders>
              <w:bottom w:val="single" w:sz="8" w:color="auto"/>
            </w:tcBorders>
            <w:shd w:val="clear" w:color="auto" w:fill="2AD2C9"/>
          </w:tcPr>
          <w:p>
            <w:pPr>
              <w:ind w:left="80"/>
              <w:spacing w:after="0"/>
              <w:rPr>
                <w:sz w:val="20"/>
                <w:szCs w:val="20"/>
                <w:color w:val="auto"/>
              </w:rPr>
            </w:pPr>
            <w:r>
              <w:rPr>
                <w:rFonts w:ascii="Arial" w:cs="Arial" w:eastAsia="Arial" w:hAnsi="Arial"/>
                <w:sz w:val="12"/>
                <w:szCs w:val="12"/>
                <w:b w:val="1"/>
                <w:bCs w:val="1"/>
                <w:color w:val="FFFFFF"/>
              </w:rPr>
              <w:t>Dec 21</w:t>
            </w:r>
          </w:p>
        </w:tc>
        <w:tc>
          <w:tcPr>
            <w:tcW w:w="5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w w:val="98"/>
              </w:rPr>
              <w:t>Sep 22</w:t>
            </w:r>
          </w:p>
        </w:tc>
        <w:tc>
          <w:tcPr>
            <w:tcW w:w="620" w:type="dxa"/>
            <w:vAlign w:val="bottom"/>
            <w:tcBorders>
              <w:bottom w:val="single" w:sz="8" w:color="auto"/>
            </w:tcBorders>
            <w:shd w:val="clear" w:color="auto" w:fill="2AD2C9"/>
          </w:tcPr>
          <w:p>
            <w:pPr>
              <w:ind w:left="100"/>
              <w:spacing w:after="0"/>
              <w:rPr>
                <w:sz w:val="20"/>
                <w:szCs w:val="20"/>
                <w:color w:val="auto"/>
              </w:rPr>
            </w:pPr>
            <w:r>
              <w:rPr>
                <w:rFonts w:ascii="Arial" w:cs="Arial" w:eastAsia="Arial" w:hAnsi="Arial"/>
                <w:sz w:val="12"/>
                <w:szCs w:val="12"/>
                <w:b w:val="1"/>
                <w:bCs w:val="1"/>
                <w:color w:val="FFFFFF"/>
              </w:rPr>
              <w:t>Dec 22</w:t>
            </w:r>
          </w:p>
        </w:tc>
        <w:tc>
          <w:tcPr>
            <w:tcW w:w="58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2"/>
                <w:szCs w:val="12"/>
                <w:b w:val="1"/>
                <w:bCs w:val="1"/>
                <w:color w:val="FFFFFF"/>
              </w:rPr>
              <w:t>Dec 21</w:t>
            </w:r>
          </w:p>
        </w:tc>
        <w:tc>
          <w:tcPr>
            <w:tcW w:w="6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w w:val="98"/>
              </w:rPr>
              <w:t>Sep 22</w:t>
            </w:r>
          </w:p>
        </w:tc>
        <w:tc>
          <w:tcPr>
            <w:tcW w:w="540" w:type="dxa"/>
            <w:vAlign w:val="bottom"/>
            <w:tcBorders>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2"/>
                <w:szCs w:val="12"/>
                <w:b w:val="1"/>
                <w:bCs w:val="1"/>
                <w:color w:val="FFFFFF"/>
              </w:rPr>
              <w:t>Dec 22</w:t>
            </w:r>
          </w:p>
        </w:tc>
        <w:tc>
          <w:tcPr>
            <w:tcW w:w="56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2"/>
                <w:szCs w:val="12"/>
                <w:b w:val="1"/>
                <w:bCs w:val="1"/>
                <w:color w:val="FFFFFF"/>
              </w:rPr>
              <w:t>QoQ</w:t>
            </w:r>
          </w:p>
        </w:tc>
        <w:tc>
          <w:tcPr>
            <w:tcW w:w="580" w:type="dxa"/>
            <w:vAlign w:val="bottom"/>
            <w:tcBorders>
              <w:bottom w:val="single" w:sz="8" w:color="auto"/>
              <w:right w:val="single" w:sz="8" w:color="auto"/>
            </w:tcBorders>
            <w:shd w:val="clear" w:color="auto" w:fill="2AD2C9"/>
          </w:tcPr>
          <w:p>
            <w:pPr>
              <w:ind w:left="160"/>
              <w:spacing w:after="0"/>
              <w:rPr>
                <w:sz w:val="20"/>
                <w:szCs w:val="20"/>
                <w:color w:val="auto"/>
              </w:rPr>
            </w:pPr>
            <w:r>
              <w:rPr>
                <w:rFonts w:ascii="Arial" w:cs="Arial" w:eastAsia="Arial" w:hAnsi="Arial"/>
                <w:sz w:val="12"/>
                <w:szCs w:val="12"/>
                <w:b w:val="1"/>
                <w:bCs w:val="1"/>
                <w:color w:val="FFFFFF"/>
              </w:rPr>
              <w:t>YoY</w:t>
            </w:r>
          </w:p>
        </w:tc>
        <w:tc>
          <w:tcPr>
            <w:tcW w:w="56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2"/>
                <w:szCs w:val="12"/>
                <w:b w:val="1"/>
                <w:bCs w:val="1"/>
                <w:color w:val="FFFFFF"/>
              </w:rPr>
              <w:t>QoQ</w:t>
            </w:r>
          </w:p>
        </w:tc>
        <w:tc>
          <w:tcPr>
            <w:tcW w:w="580" w:type="dxa"/>
            <w:vAlign w:val="bottom"/>
            <w:tcBorders>
              <w:bottom w:val="single" w:sz="8" w:color="auto"/>
              <w:right w:val="single" w:sz="8" w:color="auto"/>
            </w:tcBorders>
            <w:shd w:val="clear" w:color="auto" w:fill="2AD2C9"/>
          </w:tcPr>
          <w:p>
            <w:pPr>
              <w:ind w:left="160"/>
              <w:spacing w:after="0"/>
              <w:rPr>
                <w:sz w:val="20"/>
                <w:szCs w:val="20"/>
                <w:color w:val="auto"/>
              </w:rPr>
            </w:pPr>
            <w:r>
              <w:rPr>
                <w:rFonts w:ascii="Arial" w:cs="Arial" w:eastAsia="Arial" w:hAnsi="Arial"/>
                <w:sz w:val="12"/>
                <w:szCs w:val="12"/>
                <w:b w:val="1"/>
                <w:bCs w:val="1"/>
                <w:color w:val="FFFFFF"/>
              </w:rPr>
              <w:t>YoY</w:t>
            </w:r>
          </w:p>
        </w:tc>
        <w:tc>
          <w:tcPr>
            <w:tcW w:w="520" w:type="dxa"/>
            <w:vAlign w:val="bottom"/>
            <w:tcBorders>
              <w:bottom w:val="single" w:sz="8" w:color="auto"/>
            </w:tcBorders>
            <w:shd w:val="clear" w:color="auto" w:fill="2AD2C9"/>
          </w:tcPr>
          <w:p>
            <w:pPr>
              <w:ind w:left="80"/>
              <w:spacing w:after="0"/>
              <w:rPr>
                <w:sz w:val="20"/>
                <w:szCs w:val="20"/>
                <w:color w:val="auto"/>
              </w:rPr>
            </w:pPr>
            <w:r>
              <w:rPr>
                <w:rFonts w:ascii="Arial" w:cs="Arial" w:eastAsia="Arial" w:hAnsi="Arial"/>
                <w:sz w:val="12"/>
                <w:szCs w:val="12"/>
                <w:b w:val="1"/>
                <w:bCs w:val="1"/>
                <w:color w:val="FFFFFF"/>
              </w:rPr>
              <w:t>Dec 21</w:t>
            </w:r>
          </w:p>
        </w:tc>
        <w:tc>
          <w:tcPr>
            <w:tcW w:w="5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w w:val="98"/>
              </w:rPr>
              <w:t>Sep 22</w:t>
            </w:r>
          </w:p>
        </w:tc>
        <w:tc>
          <w:tcPr>
            <w:tcW w:w="540" w:type="dxa"/>
            <w:vAlign w:val="bottom"/>
            <w:tcBorders>
              <w:bottom w:val="single" w:sz="8" w:color="auto"/>
              <w:right w:val="single" w:sz="8" w:color="auto"/>
            </w:tcBorders>
            <w:gridSpan w:val="2"/>
            <w:shd w:val="clear" w:color="auto" w:fill="2AD2C9"/>
          </w:tcPr>
          <w:p>
            <w:pPr>
              <w:ind w:left="60"/>
              <w:spacing w:after="0"/>
              <w:rPr>
                <w:sz w:val="20"/>
                <w:szCs w:val="20"/>
                <w:color w:val="auto"/>
              </w:rPr>
            </w:pPr>
            <w:r>
              <w:rPr>
                <w:rFonts w:ascii="Arial" w:cs="Arial" w:eastAsia="Arial" w:hAnsi="Arial"/>
                <w:sz w:val="12"/>
                <w:szCs w:val="12"/>
                <w:b w:val="1"/>
                <w:bCs w:val="1"/>
                <w:color w:val="FFFFFF"/>
              </w:rPr>
              <w:t>Dec 22</w:t>
            </w:r>
          </w:p>
        </w:tc>
        <w:tc>
          <w:tcPr>
            <w:tcW w:w="560" w:type="dxa"/>
            <w:vAlign w:val="bottom"/>
            <w:tcBorders>
              <w:left w:val="single" w:sz="8" w:color="auto"/>
              <w:bottom w:val="single" w:sz="8" w:color="auto"/>
            </w:tcBorders>
            <w:shd w:val="clear" w:color="auto" w:fill="2AD2C9"/>
          </w:tcPr>
          <w:p>
            <w:pPr>
              <w:ind w:left="160"/>
              <w:spacing w:after="0"/>
              <w:rPr>
                <w:sz w:val="20"/>
                <w:szCs w:val="20"/>
                <w:color w:val="auto"/>
              </w:rPr>
            </w:pPr>
            <w:r>
              <w:rPr>
                <w:rFonts w:ascii="Arial" w:cs="Arial" w:eastAsia="Arial" w:hAnsi="Arial"/>
                <w:sz w:val="12"/>
                <w:szCs w:val="12"/>
                <w:b w:val="1"/>
                <w:bCs w:val="1"/>
                <w:color w:val="FFFFFF"/>
              </w:rPr>
              <w:t>QoQ</w:t>
            </w:r>
          </w:p>
        </w:tc>
        <w:tc>
          <w:tcPr>
            <w:tcW w:w="560" w:type="dxa"/>
            <w:vAlign w:val="bottom"/>
            <w:tcBorders>
              <w:bottom w:val="single" w:sz="8" w:color="auto"/>
              <w:right w:val="single" w:sz="8" w:color="auto"/>
            </w:tcBorders>
            <w:shd w:val="clear" w:color="auto" w:fill="2AD2C9"/>
          </w:tcPr>
          <w:p>
            <w:pPr>
              <w:ind w:left="160"/>
              <w:spacing w:after="0"/>
              <w:rPr>
                <w:sz w:val="20"/>
                <w:szCs w:val="20"/>
                <w:color w:val="auto"/>
              </w:rPr>
            </w:pPr>
            <w:r>
              <w:rPr>
                <w:rFonts w:ascii="Arial" w:cs="Arial" w:eastAsia="Arial" w:hAnsi="Arial"/>
                <w:sz w:val="12"/>
                <w:szCs w:val="12"/>
                <w:b w:val="1"/>
                <w:bCs w:val="1"/>
                <w:color w:val="FFFFFF"/>
              </w:rPr>
              <w:t>YoY</w:t>
            </w:r>
          </w:p>
        </w:tc>
        <w:tc>
          <w:tcPr>
            <w:tcW w:w="52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2"/>
                <w:szCs w:val="12"/>
                <w:b w:val="1"/>
                <w:bCs w:val="1"/>
                <w:color w:val="FFFFFF"/>
              </w:rPr>
              <w:t>LC</w:t>
            </w:r>
          </w:p>
        </w:tc>
        <w:tc>
          <w:tcPr>
            <w:tcW w:w="580" w:type="dxa"/>
            <w:vAlign w:val="bottom"/>
            <w:tcBorders>
              <w:bottom w:val="single" w:sz="8" w:color="auto"/>
              <w:right w:val="single" w:sz="8" w:color="auto"/>
            </w:tcBorders>
            <w:shd w:val="clear" w:color="auto" w:fill="2AD2C9"/>
          </w:tcPr>
          <w:p>
            <w:pPr>
              <w:ind w:left="220"/>
              <w:spacing w:after="0"/>
              <w:rPr>
                <w:sz w:val="20"/>
                <w:szCs w:val="20"/>
                <w:color w:val="auto"/>
              </w:rPr>
            </w:pPr>
            <w:r>
              <w:rPr>
                <w:rFonts w:ascii="Arial" w:cs="Arial" w:eastAsia="Arial" w:hAnsi="Arial"/>
                <w:sz w:val="12"/>
                <w:szCs w:val="12"/>
                <w:b w:val="1"/>
                <w:bCs w:val="1"/>
                <w:color w:val="FFFFFF"/>
              </w:rPr>
              <w:t>FC</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ind w:left="60"/>
              <w:spacing w:after="0" w:line="109" w:lineRule="exact"/>
              <w:rPr>
                <w:sz w:val="20"/>
                <w:szCs w:val="20"/>
                <w:color w:val="auto"/>
              </w:rPr>
            </w:pPr>
            <w:r>
              <w:rPr>
                <w:rFonts w:ascii="Arial" w:cs="Arial" w:eastAsia="Arial" w:hAnsi="Arial"/>
                <w:sz w:val="12"/>
                <w:szCs w:val="12"/>
                <w:b w:val="1"/>
                <w:bCs w:val="1"/>
                <w:color w:val="auto"/>
              </w:rPr>
              <w:t>BCP Stand-alone</w:t>
            </w:r>
          </w:p>
        </w:tc>
        <w:tc>
          <w:tcPr>
            <w:tcW w:w="5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7"/>
              </w:rPr>
              <w:t>84,592</w:t>
            </w:r>
          </w:p>
        </w:tc>
        <w:tc>
          <w:tcPr>
            <w:tcW w:w="5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7"/>
              </w:rPr>
              <w:t>85,871</w:t>
            </w:r>
          </w:p>
        </w:tc>
        <w:tc>
          <w:tcPr>
            <w:tcW w:w="620" w:type="dxa"/>
            <w:vAlign w:val="bottom"/>
          </w:tcPr>
          <w:p>
            <w:pPr>
              <w:jc w:val="center"/>
              <w:ind w:right="1"/>
              <w:spacing w:after="0" w:line="109" w:lineRule="exact"/>
              <w:rPr>
                <w:sz w:val="20"/>
                <w:szCs w:val="20"/>
                <w:color w:val="auto"/>
              </w:rPr>
            </w:pPr>
            <w:r>
              <w:rPr>
                <w:rFonts w:ascii="Arial" w:cs="Arial" w:eastAsia="Arial" w:hAnsi="Arial"/>
                <w:sz w:val="12"/>
                <w:szCs w:val="12"/>
                <w:b w:val="1"/>
                <w:bCs w:val="1"/>
                <w:color w:val="auto"/>
                <w:w w:val="97"/>
              </w:rPr>
              <w:t>85,076</w:t>
            </w:r>
          </w:p>
        </w:tc>
        <w:tc>
          <w:tcPr>
            <w:tcW w:w="580" w:type="dxa"/>
            <w:vAlign w:val="bottom"/>
          </w:tcPr>
          <w:p>
            <w:pPr>
              <w:jc w:val="center"/>
              <w:ind w:left="41"/>
              <w:spacing w:after="0" w:line="109" w:lineRule="exact"/>
              <w:rPr>
                <w:sz w:val="20"/>
                <w:szCs w:val="20"/>
                <w:color w:val="auto"/>
              </w:rPr>
            </w:pPr>
            <w:r>
              <w:rPr>
                <w:rFonts w:ascii="Arial" w:cs="Arial" w:eastAsia="Arial" w:hAnsi="Arial"/>
                <w:sz w:val="12"/>
                <w:szCs w:val="12"/>
                <w:b w:val="1"/>
                <w:bCs w:val="1"/>
                <w:color w:val="auto"/>
                <w:w w:val="97"/>
              </w:rPr>
              <w:t>67,221</w:t>
            </w:r>
          </w:p>
        </w:tc>
        <w:tc>
          <w:tcPr>
            <w:tcW w:w="64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7"/>
              </w:rPr>
              <w:t>74,047</w:t>
            </w:r>
          </w:p>
        </w:tc>
        <w:tc>
          <w:tcPr>
            <w:tcW w:w="540" w:type="dxa"/>
            <w:vAlign w:val="bottom"/>
            <w:tcBorders>
              <w:right w:val="single" w:sz="8" w:color="auto"/>
            </w:tcBorders>
          </w:tcPr>
          <w:p>
            <w:pPr>
              <w:jc w:val="center"/>
              <w:ind w:right="1"/>
              <w:spacing w:after="0" w:line="109" w:lineRule="exact"/>
              <w:rPr>
                <w:sz w:val="20"/>
                <w:szCs w:val="20"/>
                <w:color w:val="auto"/>
              </w:rPr>
            </w:pPr>
            <w:r>
              <w:rPr>
                <w:rFonts w:ascii="Arial" w:cs="Arial" w:eastAsia="Arial" w:hAnsi="Arial"/>
                <w:sz w:val="12"/>
                <w:szCs w:val="12"/>
                <w:b w:val="1"/>
                <w:bCs w:val="1"/>
                <w:color w:val="auto"/>
                <w:w w:val="97"/>
              </w:rPr>
              <w:t>75,455</w:t>
            </w:r>
          </w:p>
        </w:tc>
        <w:tc>
          <w:tcPr>
            <w:tcW w:w="5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5"/>
              </w:rPr>
              <w:t>-0.9%</w:t>
            </w:r>
          </w:p>
        </w:tc>
        <w:tc>
          <w:tcPr>
            <w:tcW w:w="5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rPr>
              <w:t>0.6%</w:t>
            </w:r>
          </w:p>
        </w:tc>
        <w:tc>
          <w:tcPr>
            <w:tcW w:w="5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rPr>
              <w:t>1.9%</w:t>
            </w:r>
          </w:p>
        </w:tc>
        <w:tc>
          <w:tcPr>
            <w:tcW w:w="5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9"/>
              </w:rPr>
              <w:t>12.2%</w:t>
            </w:r>
          </w:p>
        </w:tc>
        <w:tc>
          <w:tcPr>
            <w:tcW w:w="52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9"/>
              </w:rPr>
              <w:t>8,600</w:t>
            </w:r>
          </w:p>
        </w:tc>
        <w:tc>
          <w:tcPr>
            <w:tcW w:w="58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9"/>
              </w:rPr>
              <w:t>9,765</w:t>
            </w:r>
          </w:p>
        </w:tc>
        <w:tc>
          <w:tcPr>
            <w:tcW w:w="540" w:type="dxa"/>
            <w:vAlign w:val="bottom"/>
            <w:tcBorders>
              <w:right w:val="single" w:sz="8" w:color="auto"/>
            </w:tcBorders>
            <w:gridSpan w:val="2"/>
          </w:tcPr>
          <w:p>
            <w:pPr>
              <w:jc w:val="center"/>
              <w:ind w:right="20"/>
              <w:spacing w:after="0" w:line="109" w:lineRule="exact"/>
              <w:rPr>
                <w:sz w:val="20"/>
                <w:szCs w:val="20"/>
                <w:color w:val="auto"/>
              </w:rPr>
            </w:pPr>
            <w:r>
              <w:rPr>
                <w:rFonts w:ascii="Arial" w:cs="Arial" w:eastAsia="Arial" w:hAnsi="Arial"/>
                <w:sz w:val="12"/>
                <w:szCs w:val="12"/>
                <w:b w:val="1"/>
                <w:bCs w:val="1"/>
                <w:color w:val="auto"/>
                <w:w w:val="93"/>
              </w:rPr>
              <w:t>9,679</w:t>
            </w:r>
          </w:p>
        </w:tc>
        <w:tc>
          <w:tcPr>
            <w:tcW w:w="560" w:type="dxa"/>
            <w:vAlign w:val="bottom"/>
            <w:tcBorders>
              <w:lef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5"/>
              </w:rPr>
              <w:t>-0.9%</w:t>
            </w:r>
          </w:p>
        </w:tc>
        <w:tc>
          <w:tcPr>
            <w:tcW w:w="5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9"/>
              </w:rPr>
              <w:t>12.5%</w:t>
            </w:r>
          </w:p>
        </w:tc>
        <w:tc>
          <w:tcPr>
            <w:tcW w:w="52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9"/>
              </w:rPr>
              <w:t>69.4%</w:t>
            </w:r>
          </w:p>
        </w:tc>
        <w:tc>
          <w:tcPr>
            <w:tcW w:w="5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9"/>
              </w:rPr>
              <w:t>30.6%</w:t>
            </w:r>
          </w:p>
        </w:tc>
        <w:tc>
          <w:tcPr>
            <w:tcW w:w="0" w:type="dxa"/>
            <w:vAlign w:val="bottom"/>
          </w:tcPr>
          <w:p>
            <w:pPr>
              <w:spacing w:after="0"/>
              <w:rPr>
                <w:sz w:val="1"/>
                <w:szCs w:val="1"/>
                <w:color w:val="auto"/>
              </w:rPr>
            </w:pPr>
          </w:p>
        </w:tc>
      </w:tr>
      <w:tr>
        <w:trPr>
          <w:trHeight w:val="128"/>
        </w:trPr>
        <w:tc>
          <w:tcPr>
            <w:tcW w:w="1600" w:type="dxa"/>
            <w:vAlign w:val="bottom"/>
            <w:tcBorders>
              <w:left w:val="single" w:sz="8" w:color="auto"/>
              <w:right w:val="single" w:sz="8" w:color="auto"/>
            </w:tcBorders>
          </w:tcPr>
          <w:p>
            <w:pPr>
              <w:ind w:left="220"/>
              <w:spacing w:after="0" w:line="128" w:lineRule="exact"/>
              <w:rPr>
                <w:sz w:val="20"/>
                <w:szCs w:val="20"/>
                <w:color w:val="auto"/>
              </w:rPr>
            </w:pPr>
            <w:r>
              <w:rPr>
                <w:rFonts w:ascii="Arial" w:cs="Arial" w:eastAsia="Arial" w:hAnsi="Arial"/>
                <w:sz w:val="12"/>
                <w:szCs w:val="12"/>
                <w:b w:val="1"/>
                <w:bCs w:val="1"/>
                <w:color w:val="auto"/>
              </w:rPr>
              <w:t>Wholesale Banking</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28,967</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28,943</w:t>
            </w:r>
          </w:p>
        </w:tc>
        <w:tc>
          <w:tcPr>
            <w:tcW w:w="620" w:type="dxa"/>
            <w:vAlign w:val="bottom"/>
          </w:tcPr>
          <w:p>
            <w:pPr>
              <w:jc w:val="center"/>
              <w:ind w:right="1"/>
              <w:spacing w:after="0" w:line="128" w:lineRule="exact"/>
              <w:rPr>
                <w:sz w:val="20"/>
                <w:szCs w:val="20"/>
                <w:color w:val="auto"/>
              </w:rPr>
            </w:pPr>
            <w:r>
              <w:rPr>
                <w:rFonts w:ascii="Arial" w:cs="Arial" w:eastAsia="Arial" w:hAnsi="Arial"/>
                <w:sz w:val="12"/>
                <w:szCs w:val="12"/>
                <w:b w:val="1"/>
                <w:bCs w:val="1"/>
                <w:color w:val="auto"/>
                <w:w w:val="97"/>
              </w:rPr>
              <w:t>28,350</w:t>
            </w:r>
          </w:p>
        </w:tc>
        <w:tc>
          <w:tcPr>
            <w:tcW w:w="580" w:type="dxa"/>
            <w:vAlign w:val="bottom"/>
          </w:tcPr>
          <w:p>
            <w:pPr>
              <w:jc w:val="center"/>
              <w:ind w:left="41"/>
              <w:spacing w:after="0" w:line="128" w:lineRule="exact"/>
              <w:rPr>
                <w:sz w:val="20"/>
                <w:szCs w:val="20"/>
                <w:color w:val="auto"/>
              </w:rPr>
            </w:pPr>
            <w:r>
              <w:rPr>
                <w:rFonts w:ascii="Arial" w:cs="Arial" w:eastAsia="Arial" w:hAnsi="Arial"/>
                <w:sz w:val="12"/>
                <w:szCs w:val="12"/>
                <w:b w:val="1"/>
                <w:bCs w:val="1"/>
                <w:color w:val="auto"/>
                <w:w w:val="97"/>
              </w:rPr>
              <w:t>24,898</w:t>
            </w:r>
          </w:p>
        </w:tc>
        <w:tc>
          <w:tcPr>
            <w:tcW w:w="6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26,524</w:t>
            </w:r>
          </w:p>
        </w:tc>
        <w:tc>
          <w:tcPr>
            <w:tcW w:w="540" w:type="dxa"/>
            <w:vAlign w:val="bottom"/>
            <w:tcBorders>
              <w:right w:val="single" w:sz="8" w:color="auto"/>
            </w:tcBorders>
          </w:tcPr>
          <w:p>
            <w:pPr>
              <w:jc w:val="center"/>
              <w:ind w:right="1"/>
              <w:spacing w:after="0" w:line="128" w:lineRule="exact"/>
              <w:rPr>
                <w:sz w:val="20"/>
                <w:szCs w:val="20"/>
                <w:color w:val="auto"/>
              </w:rPr>
            </w:pPr>
            <w:r>
              <w:rPr>
                <w:rFonts w:ascii="Arial" w:cs="Arial" w:eastAsia="Arial" w:hAnsi="Arial"/>
                <w:sz w:val="12"/>
                <w:szCs w:val="12"/>
                <w:b w:val="1"/>
                <w:bCs w:val="1"/>
                <w:color w:val="auto"/>
                <w:w w:val="97"/>
              </w:rPr>
              <w:t>26,474</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-2.0%</w:t>
            </w:r>
          </w:p>
        </w:tc>
        <w:tc>
          <w:tcPr>
            <w:tcW w:w="58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rPr>
              <w:t>-2.1%</w:t>
            </w:r>
          </w:p>
        </w:tc>
        <w:tc>
          <w:tcPr>
            <w:tcW w:w="5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-0.2%</w:t>
            </w:r>
          </w:p>
        </w:tc>
        <w:tc>
          <w:tcPr>
            <w:tcW w:w="58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4"/>
              </w:rPr>
              <w:t>6.3%</w:t>
            </w:r>
          </w:p>
        </w:tc>
        <w:tc>
          <w:tcPr>
            <w:tcW w:w="5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6,827</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7,777</w:t>
            </w:r>
          </w:p>
        </w:tc>
        <w:tc>
          <w:tcPr>
            <w:tcW w:w="540" w:type="dxa"/>
            <w:vAlign w:val="bottom"/>
            <w:tcBorders>
              <w:right w:val="single" w:sz="8" w:color="auto"/>
            </w:tcBorders>
            <w:gridSpan w:val="2"/>
          </w:tcPr>
          <w:p>
            <w:pPr>
              <w:jc w:val="center"/>
              <w:ind w:right="20"/>
              <w:spacing w:after="0" w:line="128" w:lineRule="exact"/>
              <w:rPr>
                <w:sz w:val="20"/>
                <w:szCs w:val="20"/>
                <w:color w:val="auto"/>
              </w:rPr>
            </w:pPr>
            <w:r>
              <w:rPr>
                <w:rFonts w:ascii="Arial" w:cs="Arial" w:eastAsia="Arial" w:hAnsi="Arial"/>
                <w:sz w:val="12"/>
                <w:szCs w:val="12"/>
                <w:b w:val="1"/>
                <w:bCs w:val="1"/>
                <w:color w:val="auto"/>
                <w:w w:val="93"/>
              </w:rPr>
              <w:t>7,665</w:t>
            </w:r>
          </w:p>
        </w:tc>
        <w:tc>
          <w:tcPr>
            <w:tcW w:w="560" w:type="dxa"/>
            <w:vAlign w:val="bottom"/>
            <w:tcBorders>
              <w:lef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5"/>
              </w:rPr>
              <w:t>-1.4%</w:t>
            </w:r>
          </w:p>
        </w:tc>
        <w:tc>
          <w:tcPr>
            <w:tcW w:w="56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9"/>
              </w:rPr>
              <w:t>12.3%</w:t>
            </w:r>
          </w:p>
        </w:tc>
        <w:tc>
          <w:tcPr>
            <w:tcW w:w="5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48.8%</w:t>
            </w:r>
          </w:p>
        </w:tc>
        <w:tc>
          <w:tcPr>
            <w:tcW w:w="58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9"/>
              </w:rPr>
              <w:t>51.2%</w:t>
            </w:r>
          </w:p>
        </w:tc>
        <w:tc>
          <w:tcPr>
            <w:tcW w:w="0" w:type="dxa"/>
            <w:vAlign w:val="bottom"/>
          </w:tcPr>
          <w:p>
            <w:pPr>
              <w:spacing w:after="0"/>
              <w:rPr>
                <w:sz w:val="1"/>
                <w:szCs w:val="1"/>
                <w:color w:val="auto"/>
              </w:rPr>
            </w:pPr>
          </w:p>
        </w:tc>
      </w:tr>
      <w:tr>
        <w:trPr>
          <w:trHeight w:val="141"/>
        </w:trPr>
        <w:tc>
          <w:tcPr>
            <w:tcW w:w="1600" w:type="dxa"/>
            <w:vAlign w:val="bottom"/>
            <w:tcBorders>
              <w:left w:val="single" w:sz="8" w:color="auto"/>
              <w:right w:val="single" w:sz="8" w:color="auto"/>
            </w:tcBorders>
          </w:tcPr>
          <w:p>
            <w:pPr>
              <w:ind w:left="300"/>
              <w:spacing w:after="0" w:line="126" w:lineRule="exact"/>
              <w:rPr>
                <w:sz w:val="20"/>
                <w:szCs w:val="20"/>
                <w:color w:val="auto"/>
              </w:rPr>
            </w:pPr>
            <w:r>
              <w:rPr>
                <w:rFonts w:ascii="Arial" w:cs="Arial" w:eastAsia="Arial" w:hAnsi="Arial"/>
                <w:sz w:val="12"/>
                <w:szCs w:val="12"/>
                <w:color w:val="auto"/>
              </w:rPr>
              <w:t>Corporate</w:t>
            </w:r>
          </w:p>
        </w:tc>
        <w:tc>
          <w:tcPr>
            <w:tcW w:w="560" w:type="dxa"/>
            <w:vAlign w:val="bottom"/>
          </w:tcPr>
          <w:p>
            <w:pPr>
              <w:jc w:val="center"/>
              <w:spacing w:after="0" w:line="126" w:lineRule="exact"/>
              <w:rPr>
                <w:sz w:val="20"/>
                <w:szCs w:val="20"/>
                <w:color w:val="auto"/>
              </w:rPr>
            </w:pPr>
            <w:r>
              <w:rPr>
                <w:rFonts w:ascii="Arial" w:cs="Arial" w:eastAsia="Arial" w:hAnsi="Arial"/>
                <w:sz w:val="12"/>
                <w:szCs w:val="12"/>
                <w:color w:val="auto"/>
                <w:w w:val="97"/>
              </w:rPr>
              <w:t>15,077</w:t>
            </w:r>
          </w:p>
        </w:tc>
        <w:tc>
          <w:tcPr>
            <w:tcW w:w="560" w:type="dxa"/>
            <w:vAlign w:val="bottom"/>
          </w:tcPr>
          <w:p>
            <w:pPr>
              <w:jc w:val="center"/>
              <w:spacing w:after="0" w:line="126" w:lineRule="exact"/>
              <w:rPr>
                <w:sz w:val="20"/>
                <w:szCs w:val="20"/>
                <w:color w:val="auto"/>
              </w:rPr>
            </w:pPr>
            <w:r>
              <w:rPr>
                <w:rFonts w:ascii="Arial" w:cs="Arial" w:eastAsia="Arial" w:hAnsi="Arial"/>
                <w:sz w:val="12"/>
                <w:szCs w:val="12"/>
                <w:color w:val="auto"/>
                <w:w w:val="97"/>
              </w:rPr>
              <w:t>16,303</w:t>
            </w:r>
          </w:p>
        </w:tc>
        <w:tc>
          <w:tcPr>
            <w:tcW w:w="620" w:type="dxa"/>
            <w:vAlign w:val="bottom"/>
          </w:tcPr>
          <w:p>
            <w:pPr>
              <w:jc w:val="center"/>
              <w:ind w:right="1"/>
              <w:spacing w:after="0" w:line="126" w:lineRule="exact"/>
              <w:rPr>
                <w:sz w:val="20"/>
                <w:szCs w:val="20"/>
                <w:color w:val="auto"/>
              </w:rPr>
            </w:pPr>
            <w:r>
              <w:rPr>
                <w:rFonts w:ascii="Arial" w:cs="Arial" w:eastAsia="Arial" w:hAnsi="Arial"/>
                <w:sz w:val="12"/>
                <w:szCs w:val="12"/>
                <w:color w:val="auto"/>
                <w:w w:val="97"/>
              </w:rPr>
              <w:t>16,044</w:t>
            </w:r>
          </w:p>
        </w:tc>
        <w:tc>
          <w:tcPr>
            <w:tcW w:w="580" w:type="dxa"/>
            <w:vAlign w:val="bottom"/>
          </w:tcPr>
          <w:p>
            <w:pPr>
              <w:jc w:val="center"/>
              <w:ind w:left="41"/>
              <w:spacing w:after="0" w:line="126" w:lineRule="exact"/>
              <w:rPr>
                <w:sz w:val="20"/>
                <w:szCs w:val="20"/>
                <w:color w:val="auto"/>
              </w:rPr>
            </w:pPr>
            <w:r>
              <w:rPr>
                <w:rFonts w:ascii="Arial" w:cs="Arial" w:eastAsia="Arial" w:hAnsi="Arial"/>
                <w:sz w:val="12"/>
                <w:szCs w:val="12"/>
                <w:color w:val="auto"/>
                <w:w w:val="97"/>
              </w:rPr>
              <w:t>14,652</w:t>
            </w:r>
          </w:p>
        </w:tc>
        <w:tc>
          <w:tcPr>
            <w:tcW w:w="640" w:type="dxa"/>
            <w:vAlign w:val="bottom"/>
          </w:tcPr>
          <w:p>
            <w:pPr>
              <w:jc w:val="center"/>
              <w:spacing w:after="0" w:line="126" w:lineRule="exact"/>
              <w:rPr>
                <w:sz w:val="20"/>
                <w:szCs w:val="20"/>
                <w:color w:val="auto"/>
              </w:rPr>
            </w:pPr>
            <w:r>
              <w:rPr>
                <w:rFonts w:ascii="Arial" w:cs="Arial" w:eastAsia="Arial" w:hAnsi="Arial"/>
                <w:sz w:val="12"/>
                <w:szCs w:val="12"/>
                <w:color w:val="auto"/>
                <w:w w:val="97"/>
              </w:rPr>
              <w:t>16,029</w:t>
            </w:r>
          </w:p>
        </w:tc>
        <w:tc>
          <w:tcPr>
            <w:tcW w:w="540" w:type="dxa"/>
            <w:vAlign w:val="bottom"/>
            <w:tcBorders>
              <w:right w:val="single" w:sz="8" w:color="auto"/>
            </w:tcBorders>
          </w:tcPr>
          <w:p>
            <w:pPr>
              <w:jc w:val="center"/>
              <w:ind w:right="1"/>
              <w:spacing w:after="0" w:line="126" w:lineRule="exact"/>
              <w:rPr>
                <w:sz w:val="20"/>
                <w:szCs w:val="20"/>
                <w:color w:val="auto"/>
              </w:rPr>
            </w:pPr>
            <w:r>
              <w:rPr>
                <w:rFonts w:ascii="Arial" w:cs="Arial" w:eastAsia="Arial" w:hAnsi="Arial"/>
                <w:sz w:val="12"/>
                <w:szCs w:val="12"/>
                <w:color w:val="auto"/>
                <w:w w:val="97"/>
              </w:rPr>
              <w:t>15,827</w:t>
            </w:r>
          </w:p>
        </w:tc>
        <w:tc>
          <w:tcPr>
            <w:tcW w:w="560" w:type="dxa"/>
            <w:vAlign w:val="bottom"/>
          </w:tcPr>
          <w:p>
            <w:pPr>
              <w:jc w:val="center"/>
              <w:spacing w:after="0" w:line="126" w:lineRule="exact"/>
              <w:rPr>
                <w:sz w:val="20"/>
                <w:szCs w:val="20"/>
                <w:color w:val="auto"/>
              </w:rPr>
            </w:pPr>
            <w:r>
              <w:rPr>
                <w:rFonts w:ascii="Arial" w:cs="Arial" w:eastAsia="Arial" w:hAnsi="Arial"/>
                <w:sz w:val="12"/>
                <w:szCs w:val="12"/>
                <w:color w:val="auto"/>
                <w:w w:val="95"/>
              </w:rPr>
              <w:t>-1.6%</w:t>
            </w:r>
          </w:p>
        </w:tc>
        <w:tc>
          <w:tcPr>
            <w:tcW w:w="580" w:type="dxa"/>
            <w:vAlign w:val="bottom"/>
            <w:tcBorders>
              <w:right w:val="single" w:sz="8" w:color="auto"/>
            </w:tcBorders>
            <w:shd w:val="clear" w:color="auto" w:fill="26D07C"/>
          </w:tcPr>
          <w:p>
            <w:pPr>
              <w:jc w:val="center"/>
              <w:spacing w:after="0" w:line="126" w:lineRule="exact"/>
              <w:rPr>
                <w:sz w:val="20"/>
                <w:szCs w:val="20"/>
                <w:color w:val="auto"/>
              </w:rPr>
            </w:pPr>
            <w:r>
              <w:rPr>
                <w:rFonts w:ascii="Arial" w:cs="Arial" w:eastAsia="Arial" w:hAnsi="Arial"/>
                <w:sz w:val="12"/>
                <w:szCs w:val="12"/>
                <w:color w:val="auto"/>
              </w:rPr>
              <w:t>6.4%</w:t>
            </w:r>
          </w:p>
        </w:tc>
        <w:tc>
          <w:tcPr>
            <w:tcW w:w="560" w:type="dxa"/>
            <w:vAlign w:val="bottom"/>
            <w:shd w:val="clear" w:color="auto" w:fill="E93CAC"/>
          </w:tcPr>
          <w:p>
            <w:pPr>
              <w:jc w:val="center"/>
              <w:spacing w:after="0" w:line="126" w:lineRule="exact"/>
              <w:rPr>
                <w:sz w:val="20"/>
                <w:szCs w:val="20"/>
                <w:color w:val="auto"/>
              </w:rPr>
            </w:pPr>
            <w:r>
              <w:rPr>
                <w:rFonts w:ascii="Arial" w:cs="Arial" w:eastAsia="Arial" w:hAnsi="Arial"/>
                <w:sz w:val="12"/>
                <w:szCs w:val="12"/>
                <w:color w:val="auto"/>
              </w:rPr>
              <w:t>-1.3%</w:t>
            </w:r>
          </w:p>
        </w:tc>
        <w:tc>
          <w:tcPr>
            <w:tcW w:w="580" w:type="dxa"/>
            <w:vAlign w:val="bottom"/>
            <w:tcBorders>
              <w:right w:val="single" w:sz="8" w:color="auto"/>
            </w:tcBorders>
            <w:shd w:val="clear" w:color="auto" w:fill="26D07C"/>
          </w:tcPr>
          <w:p>
            <w:pPr>
              <w:jc w:val="center"/>
              <w:spacing w:after="0" w:line="126" w:lineRule="exact"/>
              <w:rPr>
                <w:sz w:val="20"/>
                <w:szCs w:val="20"/>
                <w:color w:val="auto"/>
              </w:rPr>
            </w:pPr>
            <w:r>
              <w:rPr>
                <w:rFonts w:ascii="Arial" w:cs="Arial" w:eastAsia="Arial" w:hAnsi="Arial"/>
                <w:sz w:val="12"/>
                <w:szCs w:val="12"/>
                <w:color w:val="auto"/>
                <w:w w:val="94"/>
              </w:rPr>
              <w:t>8.0%</w:t>
            </w:r>
          </w:p>
        </w:tc>
        <w:tc>
          <w:tcPr>
            <w:tcW w:w="520" w:type="dxa"/>
            <w:vAlign w:val="bottom"/>
          </w:tcPr>
          <w:p>
            <w:pPr>
              <w:jc w:val="center"/>
              <w:spacing w:after="0" w:line="126" w:lineRule="exact"/>
              <w:rPr>
                <w:sz w:val="20"/>
                <w:szCs w:val="20"/>
                <w:color w:val="auto"/>
              </w:rPr>
            </w:pPr>
            <w:r>
              <w:rPr>
                <w:rFonts w:ascii="Arial" w:cs="Arial" w:eastAsia="Arial" w:hAnsi="Arial"/>
                <w:sz w:val="12"/>
                <w:szCs w:val="12"/>
                <w:color w:val="auto"/>
                <w:w w:val="99"/>
              </w:rPr>
              <w:t>4,181</w:t>
            </w:r>
          </w:p>
        </w:tc>
        <w:tc>
          <w:tcPr>
            <w:tcW w:w="580" w:type="dxa"/>
            <w:vAlign w:val="bottom"/>
          </w:tcPr>
          <w:p>
            <w:pPr>
              <w:jc w:val="center"/>
              <w:spacing w:after="0" w:line="126" w:lineRule="exact"/>
              <w:rPr>
                <w:sz w:val="20"/>
                <w:szCs w:val="20"/>
                <w:color w:val="auto"/>
              </w:rPr>
            </w:pPr>
            <w:r>
              <w:rPr>
                <w:rFonts w:ascii="Arial" w:cs="Arial" w:eastAsia="Arial" w:hAnsi="Arial"/>
                <w:sz w:val="12"/>
                <w:szCs w:val="12"/>
                <w:color w:val="auto"/>
                <w:w w:val="99"/>
              </w:rPr>
              <w:t>4,767</w:t>
            </w:r>
          </w:p>
        </w:tc>
        <w:tc>
          <w:tcPr>
            <w:tcW w:w="540" w:type="dxa"/>
            <w:vAlign w:val="bottom"/>
            <w:tcBorders>
              <w:right w:val="single" w:sz="8" w:color="auto"/>
            </w:tcBorders>
            <w:gridSpan w:val="2"/>
          </w:tcPr>
          <w:p>
            <w:pPr>
              <w:jc w:val="center"/>
              <w:ind w:right="20"/>
              <w:spacing w:after="0" w:line="126" w:lineRule="exact"/>
              <w:rPr>
                <w:sz w:val="20"/>
                <w:szCs w:val="20"/>
                <w:color w:val="auto"/>
              </w:rPr>
            </w:pPr>
            <w:r>
              <w:rPr>
                <w:rFonts w:ascii="Arial" w:cs="Arial" w:eastAsia="Arial" w:hAnsi="Arial"/>
                <w:sz w:val="12"/>
                <w:szCs w:val="12"/>
                <w:color w:val="auto"/>
                <w:w w:val="93"/>
              </w:rPr>
              <w:t>4,645</w:t>
            </w:r>
          </w:p>
        </w:tc>
        <w:tc>
          <w:tcPr>
            <w:tcW w:w="560" w:type="dxa"/>
            <w:vAlign w:val="bottom"/>
            <w:tcBorders>
              <w:left w:val="single" w:sz="8" w:color="auto"/>
            </w:tcBorders>
            <w:shd w:val="clear" w:color="auto" w:fill="E93CAC"/>
          </w:tcPr>
          <w:p>
            <w:pPr>
              <w:jc w:val="center"/>
              <w:spacing w:after="0" w:line="126" w:lineRule="exact"/>
              <w:rPr>
                <w:sz w:val="20"/>
                <w:szCs w:val="20"/>
                <w:color w:val="auto"/>
              </w:rPr>
            </w:pPr>
            <w:r>
              <w:rPr>
                <w:rFonts w:ascii="Arial" w:cs="Arial" w:eastAsia="Arial" w:hAnsi="Arial"/>
                <w:sz w:val="12"/>
                <w:szCs w:val="12"/>
                <w:color w:val="auto"/>
                <w:w w:val="95"/>
              </w:rPr>
              <w:t>-2.5%</w:t>
            </w:r>
          </w:p>
        </w:tc>
        <w:tc>
          <w:tcPr>
            <w:tcW w:w="560" w:type="dxa"/>
            <w:vAlign w:val="bottom"/>
            <w:tcBorders>
              <w:right w:val="single" w:sz="8" w:color="auto"/>
            </w:tcBorders>
            <w:shd w:val="clear" w:color="auto" w:fill="26D07C"/>
          </w:tcPr>
          <w:p>
            <w:pPr>
              <w:jc w:val="center"/>
              <w:spacing w:after="0" w:line="126" w:lineRule="exact"/>
              <w:rPr>
                <w:sz w:val="20"/>
                <w:szCs w:val="20"/>
                <w:color w:val="auto"/>
              </w:rPr>
            </w:pPr>
            <w:r>
              <w:rPr>
                <w:rFonts w:ascii="Arial" w:cs="Arial" w:eastAsia="Arial" w:hAnsi="Arial"/>
                <w:sz w:val="12"/>
                <w:szCs w:val="12"/>
                <w:color w:val="auto"/>
                <w:w w:val="93"/>
              </w:rPr>
              <w:t>11.1%</w:t>
            </w:r>
          </w:p>
        </w:tc>
        <w:tc>
          <w:tcPr>
            <w:tcW w:w="520" w:type="dxa"/>
            <w:vAlign w:val="bottom"/>
          </w:tcPr>
          <w:p>
            <w:pPr>
              <w:jc w:val="center"/>
              <w:spacing w:after="0" w:line="126" w:lineRule="exact"/>
              <w:rPr>
                <w:sz w:val="20"/>
                <w:szCs w:val="20"/>
                <w:color w:val="auto"/>
              </w:rPr>
            </w:pPr>
            <w:r>
              <w:rPr>
                <w:rFonts w:ascii="Arial" w:cs="Arial" w:eastAsia="Arial" w:hAnsi="Arial"/>
                <w:sz w:val="12"/>
                <w:szCs w:val="12"/>
                <w:color w:val="auto"/>
                <w:w w:val="99"/>
              </w:rPr>
              <w:t>47.1%</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99"/>
              </w:rPr>
              <w:t>52.9%</w:t>
            </w: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tcPr>
          <w:p>
            <w:pPr>
              <w:ind w:left="300"/>
              <w:spacing w:after="0" w:line="124" w:lineRule="exact"/>
              <w:rPr>
                <w:sz w:val="20"/>
                <w:szCs w:val="20"/>
                <w:color w:val="auto"/>
              </w:rPr>
            </w:pPr>
            <w:r>
              <w:rPr>
                <w:rFonts w:ascii="Arial" w:cs="Arial" w:eastAsia="Arial" w:hAnsi="Arial"/>
                <w:sz w:val="12"/>
                <w:szCs w:val="12"/>
                <w:color w:val="auto"/>
              </w:rPr>
              <w:t>Middle - Market</w:t>
            </w:r>
          </w:p>
        </w:tc>
        <w:tc>
          <w:tcPr>
            <w:tcW w:w="560" w:type="dxa"/>
            <w:vAlign w:val="bottom"/>
          </w:tcPr>
          <w:p>
            <w:pPr>
              <w:jc w:val="center"/>
              <w:spacing w:after="0" w:line="124" w:lineRule="exact"/>
              <w:rPr>
                <w:sz w:val="20"/>
                <w:szCs w:val="20"/>
                <w:color w:val="auto"/>
              </w:rPr>
            </w:pPr>
            <w:r>
              <w:rPr>
                <w:rFonts w:ascii="Arial" w:cs="Arial" w:eastAsia="Arial" w:hAnsi="Arial"/>
                <w:sz w:val="12"/>
                <w:szCs w:val="12"/>
                <w:color w:val="auto"/>
                <w:w w:val="97"/>
              </w:rPr>
              <w:t>13,890</w:t>
            </w:r>
          </w:p>
        </w:tc>
        <w:tc>
          <w:tcPr>
            <w:tcW w:w="560" w:type="dxa"/>
            <w:vAlign w:val="bottom"/>
          </w:tcPr>
          <w:p>
            <w:pPr>
              <w:jc w:val="center"/>
              <w:spacing w:after="0" w:line="124" w:lineRule="exact"/>
              <w:rPr>
                <w:sz w:val="20"/>
                <w:szCs w:val="20"/>
                <w:color w:val="auto"/>
              </w:rPr>
            </w:pPr>
            <w:r>
              <w:rPr>
                <w:rFonts w:ascii="Arial" w:cs="Arial" w:eastAsia="Arial" w:hAnsi="Arial"/>
                <w:sz w:val="12"/>
                <w:szCs w:val="12"/>
                <w:color w:val="auto"/>
                <w:w w:val="97"/>
              </w:rPr>
              <w:t>12,639</w:t>
            </w:r>
          </w:p>
        </w:tc>
        <w:tc>
          <w:tcPr>
            <w:tcW w:w="620" w:type="dxa"/>
            <w:vAlign w:val="bottom"/>
          </w:tcPr>
          <w:p>
            <w:pPr>
              <w:jc w:val="center"/>
              <w:ind w:right="1"/>
              <w:spacing w:after="0" w:line="124" w:lineRule="exact"/>
              <w:rPr>
                <w:sz w:val="20"/>
                <w:szCs w:val="20"/>
                <w:color w:val="auto"/>
              </w:rPr>
            </w:pPr>
            <w:r>
              <w:rPr>
                <w:rFonts w:ascii="Arial" w:cs="Arial" w:eastAsia="Arial" w:hAnsi="Arial"/>
                <w:sz w:val="12"/>
                <w:szCs w:val="12"/>
                <w:color w:val="auto"/>
                <w:w w:val="97"/>
              </w:rPr>
              <w:t>12,306</w:t>
            </w:r>
          </w:p>
        </w:tc>
        <w:tc>
          <w:tcPr>
            <w:tcW w:w="580" w:type="dxa"/>
            <w:vAlign w:val="bottom"/>
          </w:tcPr>
          <w:p>
            <w:pPr>
              <w:jc w:val="center"/>
              <w:ind w:left="41"/>
              <w:spacing w:after="0" w:line="124" w:lineRule="exact"/>
              <w:rPr>
                <w:sz w:val="20"/>
                <w:szCs w:val="20"/>
                <w:color w:val="auto"/>
              </w:rPr>
            </w:pPr>
            <w:r>
              <w:rPr>
                <w:rFonts w:ascii="Arial" w:cs="Arial" w:eastAsia="Arial" w:hAnsi="Arial"/>
                <w:sz w:val="12"/>
                <w:szCs w:val="12"/>
                <w:color w:val="auto"/>
                <w:w w:val="97"/>
              </w:rPr>
              <w:t>10,246</w:t>
            </w:r>
          </w:p>
        </w:tc>
        <w:tc>
          <w:tcPr>
            <w:tcW w:w="640" w:type="dxa"/>
            <w:vAlign w:val="bottom"/>
          </w:tcPr>
          <w:p>
            <w:pPr>
              <w:jc w:val="center"/>
              <w:spacing w:after="0" w:line="124" w:lineRule="exact"/>
              <w:rPr>
                <w:sz w:val="20"/>
                <w:szCs w:val="20"/>
                <w:color w:val="auto"/>
              </w:rPr>
            </w:pPr>
            <w:r>
              <w:rPr>
                <w:rFonts w:ascii="Arial" w:cs="Arial" w:eastAsia="Arial" w:hAnsi="Arial"/>
                <w:sz w:val="12"/>
                <w:szCs w:val="12"/>
                <w:color w:val="auto"/>
                <w:w w:val="97"/>
              </w:rPr>
              <w:t>10,495</w:t>
            </w:r>
          </w:p>
        </w:tc>
        <w:tc>
          <w:tcPr>
            <w:tcW w:w="540" w:type="dxa"/>
            <w:vAlign w:val="bottom"/>
            <w:tcBorders>
              <w:right w:val="single" w:sz="8" w:color="auto"/>
            </w:tcBorders>
          </w:tcPr>
          <w:p>
            <w:pPr>
              <w:jc w:val="center"/>
              <w:ind w:right="1"/>
              <w:spacing w:after="0" w:line="124" w:lineRule="exact"/>
              <w:rPr>
                <w:sz w:val="20"/>
                <w:szCs w:val="20"/>
                <w:color w:val="auto"/>
              </w:rPr>
            </w:pPr>
            <w:r>
              <w:rPr>
                <w:rFonts w:ascii="Arial" w:cs="Arial" w:eastAsia="Arial" w:hAnsi="Arial"/>
                <w:sz w:val="12"/>
                <w:szCs w:val="12"/>
                <w:color w:val="auto"/>
                <w:w w:val="97"/>
              </w:rPr>
              <w:t>10,647</w:t>
            </w:r>
          </w:p>
        </w:tc>
        <w:tc>
          <w:tcPr>
            <w:tcW w:w="560" w:type="dxa"/>
            <w:vAlign w:val="bottom"/>
            <w:shd w:val="clear" w:color="auto" w:fill="E93CAC"/>
          </w:tcPr>
          <w:p>
            <w:pPr>
              <w:jc w:val="center"/>
              <w:spacing w:after="0" w:line="109" w:lineRule="exact"/>
              <w:rPr>
                <w:sz w:val="20"/>
                <w:szCs w:val="20"/>
                <w:color w:val="auto"/>
              </w:rPr>
            </w:pPr>
            <w:r>
              <w:rPr>
                <w:rFonts w:ascii="Arial" w:cs="Arial" w:eastAsia="Arial" w:hAnsi="Arial"/>
                <w:sz w:val="12"/>
                <w:szCs w:val="12"/>
                <w:color w:val="auto"/>
                <w:w w:val="95"/>
              </w:rPr>
              <w:t>-2.6%</w:t>
            </w:r>
          </w:p>
        </w:tc>
        <w:tc>
          <w:tcPr>
            <w:tcW w:w="580" w:type="dxa"/>
            <w:vAlign w:val="bottom"/>
            <w:tcBorders>
              <w:right w:val="single" w:sz="8" w:color="auto"/>
            </w:tcBorders>
            <w:shd w:val="clear" w:color="auto" w:fill="E93CAC"/>
          </w:tcPr>
          <w:p>
            <w:pPr>
              <w:jc w:val="center"/>
              <w:spacing w:after="0" w:line="109" w:lineRule="exact"/>
              <w:rPr>
                <w:sz w:val="20"/>
                <w:szCs w:val="20"/>
                <w:color w:val="auto"/>
              </w:rPr>
            </w:pPr>
            <w:r>
              <w:rPr>
                <w:rFonts w:ascii="Arial" w:cs="Arial" w:eastAsia="Arial" w:hAnsi="Arial"/>
                <w:sz w:val="12"/>
                <w:szCs w:val="12"/>
                <w:color w:val="auto"/>
                <w:w w:val="94"/>
              </w:rPr>
              <w:t>-11.4%</w:t>
            </w:r>
          </w:p>
        </w:tc>
        <w:tc>
          <w:tcPr>
            <w:tcW w:w="560" w:type="dxa"/>
            <w:vAlign w:val="bottom"/>
          </w:tcPr>
          <w:p>
            <w:pPr>
              <w:jc w:val="center"/>
              <w:spacing w:after="0" w:line="109" w:lineRule="exact"/>
              <w:rPr>
                <w:sz w:val="20"/>
                <w:szCs w:val="20"/>
                <w:color w:val="auto"/>
              </w:rPr>
            </w:pPr>
            <w:r>
              <w:rPr>
                <w:rFonts w:ascii="Arial" w:cs="Arial" w:eastAsia="Arial" w:hAnsi="Arial"/>
                <w:sz w:val="12"/>
                <w:szCs w:val="12"/>
                <w:color w:val="auto"/>
              </w:rPr>
              <w:t>1.4%</w:t>
            </w:r>
          </w:p>
        </w:tc>
        <w:tc>
          <w:tcPr>
            <w:tcW w:w="5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color w:val="auto"/>
                <w:w w:val="94"/>
              </w:rPr>
              <w:t>3.9%</w:t>
            </w:r>
          </w:p>
        </w:tc>
        <w:tc>
          <w:tcPr>
            <w:tcW w:w="520" w:type="dxa"/>
            <w:vAlign w:val="bottom"/>
          </w:tcPr>
          <w:p>
            <w:pPr>
              <w:jc w:val="center"/>
              <w:spacing w:after="0" w:line="124" w:lineRule="exact"/>
              <w:rPr>
                <w:sz w:val="20"/>
                <w:szCs w:val="20"/>
                <w:color w:val="auto"/>
              </w:rPr>
            </w:pPr>
            <w:r>
              <w:rPr>
                <w:rFonts w:ascii="Arial" w:cs="Arial" w:eastAsia="Arial" w:hAnsi="Arial"/>
                <w:sz w:val="12"/>
                <w:szCs w:val="12"/>
                <w:color w:val="auto"/>
                <w:w w:val="99"/>
              </w:rPr>
              <w:t>2,646</w:t>
            </w:r>
          </w:p>
        </w:tc>
        <w:tc>
          <w:tcPr>
            <w:tcW w:w="580" w:type="dxa"/>
            <w:vAlign w:val="bottom"/>
          </w:tcPr>
          <w:p>
            <w:pPr>
              <w:jc w:val="center"/>
              <w:spacing w:after="0" w:line="124" w:lineRule="exact"/>
              <w:rPr>
                <w:sz w:val="20"/>
                <w:szCs w:val="20"/>
                <w:color w:val="auto"/>
              </w:rPr>
            </w:pPr>
            <w:r>
              <w:rPr>
                <w:rFonts w:ascii="Arial" w:cs="Arial" w:eastAsia="Arial" w:hAnsi="Arial"/>
                <w:sz w:val="12"/>
                <w:szCs w:val="12"/>
                <w:color w:val="auto"/>
                <w:w w:val="99"/>
              </w:rPr>
              <w:t>3,011</w:t>
            </w:r>
          </w:p>
        </w:tc>
        <w:tc>
          <w:tcPr>
            <w:tcW w:w="540" w:type="dxa"/>
            <w:vAlign w:val="bottom"/>
            <w:tcBorders>
              <w:right w:val="single" w:sz="8" w:color="auto"/>
            </w:tcBorders>
            <w:gridSpan w:val="2"/>
          </w:tcPr>
          <w:p>
            <w:pPr>
              <w:jc w:val="center"/>
              <w:ind w:right="20"/>
              <w:spacing w:after="0" w:line="124" w:lineRule="exact"/>
              <w:rPr>
                <w:sz w:val="20"/>
                <w:szCs w:val="20"/>
                <w:color w:val="auto"/>
              </w:rPr>
            </w:pPr>
            <w:r>
              <w:rPr>
                <w:rFonts w:ascii="Arial" w:cs="Arial" w:eastAsia="Arial" w:hAnsi="Arial"/>
                <w:sz w:val="12"/>
                <w:szCs w:val="12"/>
                <w:color w:val="auto"/>
                <w:w w:val="93"/>
              </w:rPr>
              <w:t>3,020</w:t>
            </w:r>
          </w:p>
        </w:tc>
        <w:tc>
          <w:tcPr>
            <w:tcW w:w="560" w:type="dxa"/>
            <w:vAlign w:val="bottom"/>
            <w:tcBorders>
              <w:left w:val="single" w:sz="8" w:color="auto"/>
            </w:tcBorders>
          </w:tcPr>
          <w:p>
            <w:pPr>
              <w:jc w:val="center"/>
              <w:spacing w:after="0" w:line="109" w:lineRule="exact"/>
              <w:rPr>
                <w:sz w:val="20"/>
                <w:szCs w:val="20"/>
                <w:color w:val="auto"/>
              </w:rPr>
            </w:pPr>
            <w:r>
              <w:rPr>
                <w:rFonts w:ascii="Arial" w:cs="Arial" w:eastAsia="Arial" w:hAnsi="Arial"/>
                <w:sz w:val="12"/>
                <w:szCs w:val="12"/>
                <w:color w:val="auto"/>
                <w:w w:val="94"/>
              </w:rPr>
              <w:t>0.3%</w:t>
            </w:r>
          </w:p>
        </w:tc>
        <w:tc>
          <w:tcPr>
            <w:tcW w:w="560" w:type="dxa"/>
            <w:vAlign w:val="bottom"/>
            <w:tcBorders>
              <w:right w:val="single" w:sz="8" w:color="auto"/>
            </w:tcBorders>
            <w:shd w:val="clear" w:color="auto" w:fill="26D07C"/>
          </w:tcPr>
          <w:p>
            <w:pPr>
              <w:jc w:val="center"/>
              <w:spacing w:after="0" w:line="124" w:lineRule="exact"/>
              <w:rPr>
                <w:sz w:val="20"/>
                <w:szCs w:val="20"/>
                <w:color w:val="auto"/>
              </w:rPr>
            </w:pPr>
            <w:r>
              <w:rPr>
                <w:rFonts w:ascii="Arial" w:cs="Arial" w:eastAsia="Arial" w:hAnsi="Arial"/>
                <w:sz w:val="12"/>
                <w:szCs w:val="12"/>
                <w:color w:val="auto"/>
                <w:w w:val="99"/>
              </w:rPr>
              <w:t>14.1%</w:t>
            </w:r>
          </w:p>
        </w:tc>
        <w:tc>
          <w:tcPr>
            <w:tcW w:w="520" w:type="dxa"/>
            <w:vAlign w:val="bottom"/>
          </w:tcPr>
          <w:p>
            <w:pPr>
              <w:jc w:val="center"/>
              <w:spacing w:after="0" w:line="124" w:lineRule="exact"/>
              <w:rPr>
                <w:sz w:val="20"/>
                <w:szCs w:val="20"/>
                <w:color w:val="auto"/>
              </w:rPr>
            </w:pPr>
            <w:r>
              <w:rPr>
                <w:rFonts w:ascii="Arial" w:cs="Arial" w:eastAsia="Arial" w:hAnsi="Arial"/>
                <w:sz w:val="12"/>
                <w:szCs w:val="12"/>
                <w:color w:val="auto"/>
                <w:w w:val="99"/>
              </w:rPr>
              <w:t>51.2%</w:t>
            </w:r>
          </w:p>
        </w:tc>
        <w:tc>
          <w:tcPr>
            <w:tcW w:w="5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48.8%</w:t>
            </w:r>
          </w:p>
        </w:tc>
        <w:tc>
          <w:tcPr>
            <w:tcW w:w="0" w:type="dxa"/>
            <w:vAlign w:val="bottom"/>
          </w:tcPr>
          <w:p>
            <w:pPr>
              <w:spacing w:after="0"/>
              <w:rPr>
                <w:sz w:val="1"/>
                <w:szCs w:val="1"/>
                <w:color w:val="auto"/>
              </w:rPr>
            </w:pPr>
          </w:p>
        </w:tc>
      </w:tr>
      <w:tr>
        <w:trPr>
          <w:trHeight w:val="110"/>
        </w:trPr>
        <w:tc>
          <w:tcPr>
            <w:tcW w:w="1600" w:type="dxa"/>
            <w:vAlign w:val="bottom"/>
            <w:tcBorders>
              <w:left w:val="single" w:sz="8" w:color="auto"/>
              <w:right w:val="single" w:sz="8" w:color="auto"/>
            </w:tcBorders>
          </w:tcPr>
          <w:p>
            <w:pPr>
              <w:ind w:left="220"/>
              <w:spacing w:after="0" w:line="110" w:lineRule="exact"/>
              <w:rPr>
                <w:sz w:val="20"/>
                <w:szCs w:val="20"/>
                <w:color w:val="auto"/>
              </w:rPr>
            </w:pPr>
            <w:r>
              <w:rPr>
                <w:rFonts w:ascii="Arial" w:cs="Arial" w:eastAsia="Arial" w:hAnsi="Arial"/>
                <w:sz w:val="12"/>
                <w:szCs w:val="12"/>
                <w:b w:val="1"/>
                <w:bCs w:val="1"/>
                <w:color w:val="auto"/>
              </w:rPr>
              <w:t>Retail Banking</w:t>
            </w:r>
          </w:p>
        </w:tc>
        <w:tc>
          <w:tcPr>
            <w:tcW w:w="5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55,625</w:t>
            </w:r>
          </w:p>
        </w:tc>
        <w:tc>
          <w:tcPr>
            <w:tcW w:w="5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56,929</w:t>
            </w:r>
          </w:p>
        </w:tc>
        <w:tc>
          <w:tcPr>
            <w:tcW w:w="620" w:type="dxa"/>
            <w:vAlign w:val="bottom"/>
          </w:tcPr>
          <w:p>
            <w:pPr>
              <w:jc w:val="center"/>
              <w:ind w:right="1"/>
              <w:spacing w:after="0" w:line="110" w:lineRule="exact"/>
              <w:rPr>
                <w:sz w:val="20"/>
                <w:szCs w:val="20"/>
                <w:color w:val="auto"/>
              </w:rPr>
            </w:pPr>
            <w:r>
              <w:rPr>
                <w:rFonts w:ascii="Arial" w:cs="Arial" w:eastAsia="Arial" w:hAnsi="Arial"/>
                <w:sz w:val="12"/>
                <w:szCs w:val="12"/>
                <w:b w:val="1"/>
                <w:bCs w:val="1"/>
                <w:color w:val="auto"/>
                <w:w w:val="97"/>
              </w:rPr>
              <w:t>56,726</w:t>
            </w:r>
          </w:p>
        </w:tc>
        <w:tc>
          <w:tcPr>
            <w:tcW w:w="580" w:type="dxa"/>
            <w:vAlign w:val="bottom"/>
          </w:tcPr>
          <w:p>
            <w:pPr>
              <w:jc w:val="center"/>
              <w:ind w:left="41"/>
              <w:spacing w:after="0" w:line="110" w:lineRule="exact"/>
              <w:rPr>
                <w:sz w:val="20"/>
                <w:szCs w:val="20"/>
                <w:color w:val="auto"/>
              </w:rPr>
            </w:pPr>
            <w:r>
              <w:rPr>
                <w:rFonts w:ascii="Arial" w:cs="Arial" w:eastAsia="Arial" w:hAnsi="Arial"/>
                <w:sz w:val="12"/>
                <w:szCs w:val="12"/>
                <w:b w:val="1"/>
                <w:bCs w:val="1"/>
                <w:color w:val="auto"/>
                <w:w w:val="97"/>
              </w:rPr>
              <w:t>42,323</w:t>
            </w:r>
          </w:p>
        </w:tc>
        <w:tc>
          <w:tcPr>
            <w:tcW w:w="6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47,523</w:t>
            </w:r>
          </w:p>
        </w:tc>
        <w:tc>
          <w:tcPr>
            <w:tcW w:w="540" w:type="dxa"/>
            <w:vAlign w:val="bottom"/>
            <w:tcBorders>
              <w:right w:val="single" w:sz="8" w:color="auto"/>
            </w:tcBorders>
          </w:tcPr>
          <w:p>
            <w:pPr>
              <w:jc w:val="center"/>
              <w:ind w:right="1"/>
              <w:spacing w:after="0" w:line="110" w:lineRule="exact"/>
              <w:rPr>
                <w:sz w:val="20"/>
                <w:szCs w:val="20"/>
                <w:color w:val="auto"/>
              </w:rPr>
            </w:pPr>
            <w:r>
              <w:rPr>
                <w:rFonts w:ascii="Arial" w:cs="Arial" w:eastAsia="Arial" w:hAnsi="Arial"/>
                <w:sz w:val="12"/>
                <w:szCs w:val="12"/>
                <w:b w:val="1"/>
                <w:bCs w:val="1"/>
                <w:color w:val="auto"/>
                <w:w w:val="97"/>
              </w:rPr>
              <w:t>48,981</w:t>
            </w:r>
          </w:p>
        </w:tc>
        <w:tc>
          <w:tcPr>
            <w:tcW w:w="5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-0.4%</w:t>
            </w:r>
          </w:p>
        </w:tc>
        <w:tc>
          <w:tcPr>
            <w:tcW w:w="5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2.0%</w:t>
            </w:r>
          </w:p>
        </w:tc>
        <w:tc>
          <w:tcPr>
            <w:tcW w:w="5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3.1%</w:t>
            </w:r>
          </w:p>
        </w:tc>
        <w:tc>
          <w:tcPr>
            <w:tcW w:w="5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15.7%</w:t>
            </w:r>
          </w:p>
        </w:tc>
        <w:tc>
          <w:tcPr>
            <w:tcW w:w="5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1,774</w:t>
            </w:r>
          </w:p>
        </w:tc>
        <w:tc>
          <w:tcPr>
            <w:tcW w:w="5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1,988</w:t>
            </w:r>
          </w:p>
        </w:tc>
        <w:tc>
          <w:tcPr>
            <w:tcW w:w="540" w:type="dxa"/>
            <w:vAlign w:val="bottom"/>
            <w:tcBorders>
              <w:right w:val="single" w:sz="8" w:color="auto"/>
            </w:tcBorders>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93"/>
              </w:rPr>
              <w:t>2,014</w:t>
            </w:r>
          </w:p>
        </w:tc>
        <w:tc>
          <w:tcPr>
            <w:tcW w:w="560" w:type="dxa"/>
            <w:vAlign w:val="bottom"/>
            <w:tcBorders>
              <w:lef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1.3%</w:t>
            </w:r>
          </w:p>
        </w:tc>
        <w:tc>
          <w:tcPr>
            <w:tcW w:w="56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13.6%</w:t>
            </w:r>
          </w:p>
        </w:tc>
        <w:tc>
          <w:tcPr>
            <w:tcW w:w="5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9"/>
              </w:rPr>
              <w:t>87.9%</w:t>
            </w:r>
          </w:p>
        </w:tc>
        <w:tc>
          <w:tcPr>
            <w:tcW w:w="5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12.1%</w:t>
            </w:r>
          </w:p>
        </w:tc>
        <w:tc>
          <w:tcPr>
            <w:tcW w:w="0" w:type="dxa"/>
            <w:vAlign w:val="bottom"/>
          </w:tcPr>
          <w:p>
            <w:pPr>
              <w:spacing w:after="0"/>
              <w:rPr>
                <w:sz w:val="1"/>
                <w:szCs w:val="1"/>
                <w:color w:val="auto"/>
              </w:rPr>
            </w:pPr>
          </w:p>
        </w:tc>
      </w:tr>
      <w:tr>
        <w:trPr>
          <w:trHeight w:val="141"/>
        </w:trPr>
        <w:tc>
          <w:tcPr>
            <w:tcW w:w="1600" w:type="dxa"/>
            <w:vAlign w:val="bottom"/>
            <w:tcBorders>
              <w:left w:val="single" w:sz="8" w:color="auto"/>
              <w:right w:val="single" w:sz="8" w:color="auto"/>
            </w:tcBorders>
          </w:tcPr>
          <w:p>
            <w:pPr>
              <w:ind w:left="300"/>
              <w:spacing w:after="0" w:line="126" w:lineRule="exact"/>
              <w:rPr>
                <w:sz w:val="20"/>
                <w:szCs w:val="20"/>
                <w:color w:val="auto"/>
              </w:rPr>
            </w:pPr>
            <w:r>
              <w:rPr>
                <w:rFonts w:ascii="Arial" w:cs="Arial" w:eastAsia="Arial" w:hAnsi="Arial"/>
                <w:sz w:val="12"/>
                <w:szCs w:val="12"/>
                <w:color w:val="auto"/>
              </w:rPr>
              <w:t>SME - Business</w:t>
            </w:r>
          </w:p>
        </w:tc>
        <w:tc>
          <w:tcPr>
            <w:tcW w:w="560" w:type="dxa"/>
            <w:vAlign w:val="bottom"/>
          </w:tcPr>
          <w:p>
            <w:pPr>
              <w:jc w:val="center"/>
              <w:spacing w:after="0" w:line="126" w:lineRule="exact"/>
              <w:rPr>
                <w:sz w:val="20"/>
                <w:szCs w:val="20"/>
                <w:color w:val="auto"/>
              </w:rPr>
            </w:pPr>
            <w:r>
              <w:rPr>
                <w:rFonts w:ascii="Arial" w:cs="Arial" w:eastAsia="Arial" w:hAnsi="Arial"/>
                <w:sz w:val="12"/>
                <w:szCs w:val="12"/>
                <w:color w:val="auto"/>
                <w:w w:val="99"/>
              </w:rPr>
              <w:t>7,780</w:t>
            </w:r>
          </w:p>
        </w:tc>
        <w:tc>
          <w:tcPr>
            <w:tcW w:w="560" w:type="dxa"/>
            <w:vAlign w:val="bottom"/>
          </w:tcPr>
          <w:p>
            <w:pPr>
              <w:jc w:val="center"/>
              <w:spacing w:after="0" w:line="126" w:lineRule="exact"/>
              <w:rPr>
                <w:sz w:val="20"/>
                <w:szCs w:val="20"/>
                <w:color w:val="auto"/>
              </w:rPr>
            </w:pPr>
            <w:r>
              <w:rPr>
                <w:rFonts w:ascii="Arial" w:cs="Arial" w:eastAsia="Arial" w:hAnsi="Arial"/>
                <w:sz w:val="12"/>
                <w:szCs w:val="12"/>
                <w:color w:val="auto"/>
                <w:w w:val="99"/>
              </w:rPr>
              <w:t>6,100</w:t>
            </w:r>
          </w:p>
        </w:tc>
        <w:tc>
          <w:tcPr>
            <w:tcW w:w="620" w:type="dxa"/>
            <w:vAlign w:val="bottom"/>
          </w:tcPr>
          <w:p>
            <w:pPr>
              <w:jc w:val="center"/>
              <w:ind w:right="1"/>
              <w:spacing w:after="0" w:line="126" w:lineRule="exact"/>
              <w:rPr>
                <w:sz w:val="20"/>
                <w:szCs w:val="20"/>
                <w:color w:val="auto"/>
              </w:rPr>
            </w:pPr>
            <w:r>
              <w:rPr>
                <w:rFonts w:ascii="Arial" w:cs="Arial" w:eastAsia="Arial" w:hAnsi="Arial"/>
                <w:sz w:val="12"/>
                <w:szCs w:val="12"/>
                <w:color w:val="auto"/>
                <w:w w:val="93"/>
              </w:rPr>
              <w:t>5,535</w:t>
            </w:r>
          </w:p>
        </w:tc>
        <w:tc>
          <w:tcPr>
            <w:tcW w:w="580" w:type="dxa"/>
            <w:vAlign w:val="bottom"/>
          </w:tcPr>
          <w:p>
            <w:pPr>
              <w:jc w:val="center"/>
              <w:ind w:left="41"/>
              <w:spacing w:after="0" w:line="126" w:lineRule="exact"/>
              <w:rPr>
                <w:sz w:val="20"/>
                <w:szCs w:val="20"/>
                <w:color w:val="auto"/>
              </w:rPr>
            </w:pPr>
            <w:r>
              <w:rPr>
                <w:rFonts w:ascii="Arial" w:cs="Arial" w:eastAsia="Arial" w:hAnsi="Arial"/>
                <w:sz w:val="12"/>
                <w:szCs w:val="12"/>
                <w:color w:val="auto"/>
                <w:w w:val="93"/>
              </w:rPr>
              <w:t>2,597</w:t>
            </w:r>
          </w:p>
        </w:tc>
        <w:tc>
          <w:tcPr>
            <w:tcW w:w="640" w:type="dxa"/>
            <w:vAlign w:val="bottom"/>
          </w:tcPr>
          <w:p>
            <w:pPr>
              <w:jc w:val="center"/>
              <w:spacing w:after="0" w:line="126" w:lineRule="exact"/>
              <w:rPr>
                <w:sz w:val="20"/>
                <w:szCs w:val="20"/>
                <w:color w:val="auto"/>
              </w:rPr>
            </w:pPr>
            <w:r>
              <w:rPr>
                <w:rFonts w:ascii="Arial" w:cs="Arial" w:eastAsia="Arial" w:hAnsi="Arial"/>
                <w:sz w:val="12"/>
                <w:szCs w:val="12"/>
                <w:color w:val="auto"/>
                <w:w w:val="99"/>
              </w:rPr>
              <w:t>2,595</w:t>
            </w:r>
          </w:p>
        </w:tc>
        <w:tc>
          <w:tcPr>
            <w:tcW w:w="5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99"/>
              </w:rPr>
              <w:t>2,703</w:t>
            </w:r>
          </w:p>
        </w:tc>
        <w:tc>
          <w:tcPr>
            <w:tcW w:w="560" w:type="dxa"/>
            <w:vAlign w:val="bottom"/>
            <w:shd w:val="clear" w:color="auto" w:fill="E93CAC"/>
          </w:tcPr>
          <w:p>
            <w:pPr>
              <w:jc w:val="center"/>
              <w:spacing w:after="0" w:line="126" w:lineRule="exact"/>
              <w:rPr>
                <w:sz w:val="20"/>
                <w:szCs w:val="20"/>
                <w:color w:val="auto"/>
              </w:rPr>
            </w:pPr>
            <w:r>
              <w:rPr>
                <w:rFonts w:ascii="Arial" w:cs="Arial" w:eastAsia="Arial" w:hAnsi="Arial"/>
                <w:sz w:val="12"/>
                <w:szCs w:val="12"/>
                <w:color w:val="auto"/>
                <w:w w:val="95"/>
              </w:rPr>
              <w:t>-9.3%</w:t>
            </w:r>
          </w:p>
        </w:tc>
        <w:tc>
          <w:tcPr>
            <w:tcW w:w="580" w:type="dxa"/>
            <w:vAlign w:val="bottom"/>
            <w:tcBorders>
              <w:right w:val="single" w:sz="8" w:color="auto"/>
            </w:tcBorders>
            <w:shd w:val="clear" w:color="auto" w:fill="E93CAC"/>
          </w:tcPr>
          <w:p>
            <w:pPr>
              <w:jc w:val="center"/>
              <w:spacing w:after="0" w:line="126" w:lineRule="exact"/>
              <w:rPr>
                <w:sz w:val="20"/>
                <w:szCs w:val="20"/>
                <w:color w:val="auto"/>
              </w:rPr>
            </w:pPr>
            <w:r>
              <w:rPr>
                <w:rFonts w:ascii="Arial" w:cs="Arial" w:eastAsia="Arial" w:hAnsi="Arial"/>
                <w:sz w:val="12"/>
                <w:szCs w:val="12"/>
                <w:color w:val="auto"/>
                <w:w w:val="94"/>
              </w:rPr>
              <w:t>-28.8%</w:t>
            </w:r>
          </w:p>
        </w:tc>
        <w:tc>
          <w:tcPr>
            <w:tcW w:w="560" w:type="dxa"/>
            <w:vAlign w:val="bottom"/>
          </w:tcPr>
          <w:p>
            <w:pPr>
              <w:jc w:val="center"/>
              <w:spacing w:after="0" w:line="126" w:lineRule="exact"/>
              <w:rPr>
                <w:sz w:val="20"/>
                <w:szCs w:val="20"/>
                <w:color w:val="auto"/>
              </w:rPr>
            </w:pPr>
            <w:r>
              <w:rPr>
                <w:rFonts w:ascii="Arial" w:cs="Arial" w:eastAsia="Arial" w:hAnsi="Arial"/>
                <w:sz w:val="12"/>
                <w:szCs w:val="12"/>
                <w:color w:val="auto"/>
              </w:rPr>
              <w:t>4.2%</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94"/>
              </w:rPr>
              <w:t>4.1%</w:t>
            </w:r>
          </w:p>
        </w:tc>
        <w:tc>
          <w:tcPr>
            <w:tcW w:w="520" w:type="dxa"/>
            <w:vAlign w:val="bottom"/>
          </w:tcPr>
          <w:p>
            <w:pPr>
              <w:jc w:val="center"/>
              <w:spacing w:after="0" w:line="126" w:lineRule="exact"/>
              <w:rPr>
                <w:sz w:val="20"/>
                <w:szCs w:val="20"/>
                <w:color w:val="auto"/>
              </w:rPr>
            </w:pPr>
            <w:r>
              <w:rPr>
                <w:rFonts w:ascii="Arial" w:cs="Arial" w:eastAsia="Arial" w:hAnsi="Arial"/>
                <w:sz w:val="12"/>
                <w:szCs w:val="12"/>
                <w:color w:val="auto"/>
                <w:w w:val="99"/>
              </w:rPr>
              <w:t>674</w:t>
            </w:r>
          </w:p>
        </w:tc>
        <w:tc>
          <w:tcPr>
            <w:tcW w:w="580" w:type="dxa"/>
            <w:vAlign w:val="bottom"/>
          </w:tcPr>
          <w:p>
            <w:pPr>
              <w:jc w:val="center"/>
              <w:spacing w:after="0" w:line="126" w:lineRule="exact"/>
              <w:rPr>
                <w:sz w:val="20"/>
                <w:szCs w:val="20"/>
                <w:color w:val="auto"/>
              </w:rPr>
            </w:pPr>
            <w:r>
              <w:rPr>
                <w:rFonts w:ascii="Arial" w:cs="Arial" w:eastAsia="Arial" w:hAnsi="Arial"/>
                <w:sz w:val="12"/>
                <w:szCs w:val="12"/>
                <w:color w:val="auto"/>
                <w:w w:val="89"/>
              </w:rPr>
              <w:t>797</w:t>
            </w:r>
          </w:p>
        </w:tc>
        <w:tc>
          <w:tcPr>
            <w:tcW w:w="540" w:type="dxa"/>
            <w:vAlign w:val="bottom"/>
            <w:tcBorders>
              <w:right w:val="single" w:sz="8" w:color="auto"/>
            </w:tcBorders>
            <w:gridSpan w:val="2"/>
          </w:tcPr>
          <w:p>
            <w:pPr>
              <w:jc w:val="center"/>
              <w:ind w:right="20"/>
              <w:spacing w:after="0" w:line="126" w:lineRule="exact"/>
              <w:rPr>
                <w:sz w:val="20"/>
                <w:szCs w:val="20"/>
                <w:color w:val="auto"/>
              </w:rPr>
            </w:pPr>
            <w:r>
              <w:rPr>
                <w:rFonts w:ascii="Arial" w:cs="Arial" w:eastAsia="Arial" w:hAnsi="Arial"/>
                <w:sz w:val="12"/>
                <w:szCs w:val="12"/>
                <w:color w:val="auto"/>
                <w:w w:val="99"/>
              </w:rPr>
              <w:t>813</w:t>
            </w:r>
          </w:p>
        </w:tc>
        <w:tc>
          <w:tcPr>
            <w:tcW w:w="560" w:type="dxa"/>
            <w:vAlign w:val="bottom"/>
            <w:tcBorders>
              <w:left w:val="single" w:sz="8" w:color="auto"/>
            </w:tcBorders>
          </w:tcPr>
          <w:p>
            <w:pPr>
              <w:jc w:val="center"/>
              <w:spacing w:after="0" w:line="126" w:lineRule="exact"/>
              <w:rPr>
                <w:sz w:val="20"/>
                <w:szCs w:val="20"/>
                <w:color w:val="auto"/>
              </w:rPr>
            </w:pPr>
            <w:r>
              <w:rPr>
                <w:rFonts w:ascii="Arial" w:cs="Arial" w:eastAsia="Arial" w:hAnsi="Arial"/>
                <w:sz w:val="12"/>
                <w:szCs w:val="12"/>
                <w:color w:val="auto"/>
                <w:w w:val="94"/>
              </w:rPr>
              <w:t>2.1%</w:t>
            </w:r>
          </w:p>
        </w:tc>
        <w:tc>
          <w:tcPr>
            <w:tcW w:w="560" w:type="dxa"/>
            <w:vAlign w:val="bottom"/>
            <w:tcBorders>
              <w:right w:val="single" w:sz="8" w:color="auto"/>
            </w:tcBorders>
            <w:shd w:val="clear" w:color="auto" w:fill="26D07C"/>
          </w:tcPr>
          <w:p>
            <w:pPr>
              <w:jc w:val="center"/>
              <w:spacing w:after="0" w:line="126" w:lineRule="exact"/>
              <w:rPr>
                <w:sz w:val="20"/>
                <w:szCs w:val="20"/>
                <w:color w:val="auto"/>
              </w:rPr>
            </w:pPr>
            <w:r>
              <w:rPr>
                <w:rFonts w:ascii="Arial" w:cs="Arial" w:eastAsia="Arial" w:hAnsi="Arial"/>
                <w:sz w:val="12"/>
                <w:szCs w:val="12"/>
                <w:color w:val="auto"/>
                <w:w w:val="99"/>
              </w:rPr>
              <w:t>20.7%</w:t>
            </w:r>
          </w:p>
        </w:tc>
        <w:tc>
          <w:tcPr>
            <w:tcW w:w="520" w:type="dxa"/>
            <w:vAlign w:val="bottom"/>
          </w:tcPr>
          <w:p>
            <w:pPr>
              <w:jc w:val="center"/>
              <w:spacing w:after="0" w:line="126" w:lineRule="exact"/>
              <w:rPr>
                <w:sz w:val="20"/>
                <w:szCs w:val="20"/>
                <w:color w:val="auto"/>
              </w:rPr>
            </w:pPr>
            <w:r>
              <w:rPr>
                <w:rFonts w:ascii="Arial" w:cs="Arial" w:eastAsia="Arial" w:hAnsi="Arial"/>
                <w:sz w:val="12"/>
                <w:szCs w:val="12"/>
                <w:color w:val="auto"/>
                <w:w w:val="99"/>
              </w:rPr>
              <w:t>63.7%</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99"/>
              </w:rPr>
              <w:t>36.3%</w:t>
            </w:r>
          </w:p>
        </w:tc>
        <w:tc>
          <w:tcPr>
            <w:tcW w:w="0" w:type="dxa"/>
            <w:vAlign w:val="bottom"/>
          </w:tcPr>
          <w:p>
            <w:pPr>
              <w:spacing w:after="0"/>
              <w:rPr>
                <w:sz w:val="1"/>
                <w:szCs w:val="1"/>
                <w:color w:val="auto"/>
              </w:rPr>
            </w:pPr>
          </w:p>
        </w:tc>
      </w:tr>
      <w:tr>
        <w:trPr>
          <w:trHeight w:val="110"/>
        </w:trPr>
        <w:tc>
          <w:tcPr>
            <w:tcW w:w="1600" w:type="dxa"/>
            <w:vAlign w:val="bottom"/>
            <w:tcBorders>
              <w:left w:val="single" w:sz="8" w:color="auto"/>
              <w:right w:val="single" w:sz="8" w:color="auto"/>
            </w:tcBorders>
          </w:tcPr>
          <w:p>
            <w:pPr>
              <w:ind w:left="300"/>
              <w:spacing w:after="0" w:line="110" w:lineRule="exact"/>
              <w:rPr>
                <w:sz w:val="20"/>
                <w:szCs w:val="20"/>
                <w:color w:val="auto"/>
              </w:rPr>
            </w:pPr>
            <w:r>
              <w:rPr>
                <w:rFonts w:ascii="Arial" w:cs="Arial" w:eastAsia="Arial" w:hAnsi="Arial"/>
                <w:sz w:val="12"/>
                <w:szCs w:val="12"/>
                <w:color w:val="auto"/>
              </w:rPr>
              <w:t>SME - Pyme</w:t>
            </w:r>
          </w:p>
        </w:tc>
        <w:tc>
          <w:tcPr>
            <w:tcW w:w="560" w:type="dxa"/>
            <w:vAlign w:val="bottom"/>
          </w:tcPr>
          <w:p>
            <w:pPr>
              <w:jc w:val="center"/>
              <w:spacing w:after="0" w:line="110" w:lineRule="exact"/>
              <w:rPr>
                <w:sz w:val="20"/>
                <w:szCs w:val="20"/>
                <w:color w:val="auto"/>
              </w:rPr>
            </w:pPr>
            <w:r>
              <w:rPr>
                <w:rFonts w:ascii="Arial" w:cs="Arial" w:eastAsia="Arial" w:hAnsi="Arial"/>
                <w:sz w:val="12"/>
                <w:szCs w:val="12"/>
                <w:color w:val="auto"/>
                <w:w w:val="97"/>
              </w:rPr>
              <w:t>19,517</w:t>
            </w:r>
          </w:p>
        </w:tc>
        <w:tc>
          <w:tcPr>
            <w:tcW w:w="560" w:type="dxa"/>
            <w:vAlign w:val="bottom"/>
          </w:tcPr>
          <w:p>
            <w:pPr>
              <w:jc w:val="center"/>
              <w:spacing w:after="0" w:line="110" w:lineRule="exact"/>
              <w:rPr>
                <w:sz w:val="20"/>
                <w:szCs w:val="20"/>
                <w:color w:val="auto"/>
              </w:rPr>
            </w:pPr>
            <w:r>
              <w:rPr>
                <w:rFonts w:ascii="Arial" w:cs="Arial" w:eastAsia="Arial" w:hAnsi="Arial"/>
                <w:sz w:val="12"/>
                <w:szCs w:val="12"/>
                <w:color w:val="auto"/>
                <w:w w:val="97"/>
              </w:rPr>
              <w:t>18,368</w:t>
            </w:r>
          </w:p>
        </w:tc>
        <w:tc>
          <w:tcPr>
            <w:tcW w:w="620" w:type="dxa"/>
            <w:vAlign w:val="bottom"/>
          </w:tcPr>
          <w:p>
            <w:pPr>
              <w:jc w:val="center"/>
              <w:ind w:right="1"/>
              <w:spacing w:after="0" w:line="110" w:lineRule="exact"/>
              <w:rPr>
                <w:sz w:val="20"/>
                <w:szCs w:val="20"/>
                <w:color w:val="auto"/>
              </w:rPr>
            </w:pPr>
            <w:r>
              <w:rPr>
                <w:rFonts w:ascii="Arial" w:cs="Arial" w:eastAsia="Arial" w:hAnsi="Arial"/>
                <w:sz w:val="12"/>
                <w:szCs w:val="12"/>
                <w:color w:val="auto"/>
                <w:w w:val="97"/>
              </w:rPr>
              <w:t>17,767</w:t>
            </w:r>
          </w:p>
        </w:tc>
        <w:tc>
          <w:tcPr>
            <w:tcW w:w="580" w:type="dxa"/>
            <w:vAlign w:val="bottom"/>
          </w:tcPr>
          <w:p>
            <w:pPr>
              <w:jc w:val="center"/>
              <w:ind w:left="41"/>
              <w:spacing w:after="0" w:line="110" w:lineRule="exact"/>
              <w:rPr>
                <w:sz w:val="20"/>
                <w:szCs w:val="20"/>
                <w:color w:val="auto"/>
              </w:rPr>
            </w:pPr>
            <w:r>
              <w:rPr>
                <w:rFonts w:ascii="Arial" w:cs="Arial" w:eastAsia="Arial" w:hAnsi="Arial"/>
                <w:sz w:val="12"/>
                <w:szCs w:val="12"/>
                <w:color w:val="auto"/>
                <w:w w:val="97"/>
              </w:rPr>
              <w:t>11,398</w:t>
            </w:r>
          </w:p>
        </w:tc>
        <w:tc>
          <w:tcPr>
            <w:tcW w:w="640" w:type="dxa"/>
            <w:vAlign w:val="bottom"/>
          </w:tcPr>
          <w:p>
            <w:pPr>
              <w:jc w:val="center"/>
              <w:spacing w:after="0" w:line="110" w:lineRule="exact"/>
              <w:rPr>
                <w:sz w:val="20"/>
                <w:szCs w:val="20"/>
                <w:color w:val="auto"/>
              </w:rPr>
            </w:pPr>
            <w:r>
              <w:rPr>
                <w:rFonts w:ascii="Arial" w:cs="Arial" w:eastAsia="Arial" w:hAnsi="Arial"/>
                <w:sz w:val="12"/>
                <w:szCs w:val="12"/>
                <w:color w:val="auto"/>
                <w:w w:val="97"/>
              </w:rPr>
              <w:t>12,467</w:t>
            </w:r>
          </w:p>
        </w:tc>
        <w:tc>
          <w:tcPr>
            <w:tcW w:w="540" w:type="dxa"/>
            <w:vAlign w:val="bottom"/>
            <w:tcBorders>
              <w:right w:val="single" w:sz="8" w:color="auto"/>
            </w:tcBorders>
          </w:tcPr>
          <w:p>
            <w:pPr>
              <w:jc w:val="center"/>
              <w:ind w:right="1"/>
              <w:spacing w:after="0" w:line="110" w:lineRule="exact"/>
              <w:rPr>
                <w:sz w:val="20"/>
                <w:szCs w:val="20"/>
                <w:color w:val="auto"/>
              </w:rPr>
            </w:pPr>
            <w:r>
              <w:rPr>
                <w:rFonts w:ascii="Arial" w:cs="Arial" w:eastAsia="Arial" w:hAnsi="Arial"/>
                <w:sz w:val="12"/>
                <w:szCs w:val="12"/>
                <w:color w:val="auto"/>
                <w:w w:val="97"/>
              </w:rPr>
              <w:t>12,854</w:t>
            </w:r>
          </w:p>
        </w:tc>
        <w:tc>
          <w:tcPr>
            <w:tcW w:w="560" w:type="dxa"/>
            <w:vAlign w:val="bottom"/>
            <w:shd w:val="clear" w:color="auto" w:fill="E93CAC"/>
          </w:tcPr>
          <w:p>
            <w:pPr>
              <w:jc w:val="center"/>
              <w:spacing w:after="0" w:line="110" w:lineRule="exact"/>
              <w:rPr>
                <w:sz w:val="20"/>
                <w:szCs w:val="20"/>
                <w:color w:val="auto"/>
              </w:rPr>
            </w:pPr>
            <w:r>
              <w:rPr>
                <w:rFonts w:ascii="Arial" w:cs="Arial" w:eastAsia="Arial" w:hAnsi="Arial"/>
                <w:sz w:val="12"/>
                <w:szCs w:val="12"/>
                <w:color w:val="auto"/>
                <w:w w:val="95"/>
              </w:rPr>
              <w:t>-3.3%</w:t>
            </w:r>
          </w:p>
        </w:tc>
        <w:tc>
          <w:tcPr>
            <w:tcW w:w="580" w:type="dxa"/>
            <w:vAlign w:val="bottom"/>
            <w:tcBorders>
              <w:right w:val="single" w:sz="8" w:color="auto"/>
            </w:tcBorders>
            <w:shd w:val="clear" w:color="auto" w:fill="E93CAC"/>
          </w:tcPr>
          <w:p>
            <w:pPr>
              <w:jc w:val="center"/>
              <w:spacing w:after="0" w:line="110" w:lineRule="exact"/>
              <w:rPr>
                <w:sz w:val="20"/>
                <w:szCs w:val="20"/>
                <w:color w:val="auto"/>
              </w:rPr>
            </w:pPr>
            <w:r>
              <w:rPr>
                <w:rFonts w:ascii="Arial" w:cs="Arial" w:eastAsia="Arial" w:hAnsi="Arial"/>
                <w:sz w:val="12"/>
                <w:szCs w:val="12"/>
                <w:color w:val="auto"/>
              </w:rPr>
              <w:t>-9.0%</w:t>
            </w:r>
          </w:p>
        </w:tc>
        <w:tc>
          <w:tcPr>
            <w:tcW w:w="560" w:type="dxa"/>
            <w:vAlign w:val="bottom"/>
            <w:shd w:val="clear" w:color="auto" w:fill="26D07C"/>
          </w:tcPr>
          <w:p>
            <w:pPr>
              <w:jc w:val="center"/>
              <w:spacing w:after="0" w:line="110" w:lineRule="exact"/>
              <w:rPr>
                <w:sz w:val="20"/>
                <w:szCs w:val="20"/>
                <w:color w:val="auto"/>
              </w:rPr>
            </w:pPr>
            <w:r>
              <w:rPr>
                <w:rFonts w:ascii="Arial" w:cs="Arial" w:eastAsia="Arial" w:hAnsi="Arial"/>
                <w:sz w:val="12"/>
                <w:szCs w:val="12"/>
                <w:color w:val="auto"/>
              </w:rPr>
              <w:t>3.1%</w:t>
            </w:r>
          </w:p>
        </w:tc>
        <w:tc>
          <w:tcPr>
            <w:tcW w:w="580" w:type="dxa"/>
            <w:vAlign w:val="bottom"/>
            <w:tcBorders>
              <w:right w:val="single" w:sz="8" w:color="auto"/>
            </w:tcBorders>
            <w:shd w:val="clear" w:color="auto" w:fill="26D07C"/>
          </w:tcPr>
          <w:p>
            <w:pPr>
              <w:jc w:val="center"/>
              <w:spacing w:after="0" w:line="110" w:lineRule="exact"/>
              <w:rPr>
                <w:sz w:val="20"/>
                <w:szCs w:val="20"/>
                <w:color w:val="auto"/>
              </w:rPr>
            </w:pPr>
            <w:r>
              <w:rPr>
                <w:rFonts w:ascii="Arial" w:cs="Arial" w:eastAsia="Arial" w:hAnsi="Arial"/>
                <w:sz w:val="12"/>
                <w:szCs w:val="12"/>
                <w:color w:val="auto"/>
                <w:w w:val="99"/>
              </w:rPr>
              <w:t>12.8%</w:t>
            </w:r>
          </w:p>
        </w:tc>
        <w:tc>
          <w:tcPr>
            <w:tcW w:w="520" w:type="dxa"/>
            <w:vAlign w:val="bottom"/>
          </w:tcPr>
          <w:p>
            <w:pPr>
              <w:jc w:val="center"/>
              <w:spacing w:after="0" w:line="110" w:lineRule="exact"/>
              <w:rPr>
                <w:sz w:val="20"/>
                <w:szCs w:val="20"/>
                <w:color w:val="auto"/>
              </w:rPr>
            </w:pPr>
            <w:r>
              <w:rPr>
                <w:rFonts w:ascii="Arial" w:cs="Arial" w:eastAsia="Arial" w:hAnsi="Arial"/>
                <w:sz w:val="12"/>
                <w:szCs w:val="12"/>
                <w:color w:val="auto"/>
                <w:w w:val="89"/>
              </w:rPr>
              <w:t>50</w:t>
            </w:r>
          </w:p>
        </w:tc>
        <w:tc>
          <w:tcPr>
            <w:tcW w:w="580" w:type="dxa"/>
            <w:vAlign w:val="bottom"/>
          </w:tcPr>
          <w:p>
            <w:pPr>
              <w:jc w:val="center"/>
              <w:spacing w:after="0" w:line="110" w:lineRule="exact"/>
              <w:rPr>
                <w:sz w:val="20"/>
                <w:szCs w:val="20"/>
                <w:color w:val="auto"/>
              </w:rPr>
            </w:pPr>
            <w:r>
              <w:rPr>
                <w:rFonts w:ascii="Arial" w:cs="Arial" w:eastAsia="Arial" w:hAnsi="Arial"/>
                <w:sz w:val="12"/>
                <w:szCs w:val="12"/>
                <w:color w:val="auto"/>
              </w:rPr>
              <w:t>43</w:t>
            </w:r>
          </w:p>
        </w:tc>
        <w:tc>
          <w:tcPr>
            <w:tcW w:w="540" w:type="dxa"/>
            <w:vAlign w:val="bottom"/>
            <w:tcBorders>
              <w:right w:val="single" w:sz="8" w:color="auto"/>
            </w:tcBorders>
            <w:gridSpan w:val="2"/>
          </w:tcPr>
          <w:p>
            <w:pPr>
              <w:jc w:val="center"/>
              <w:ind w:right="20"/>
              <w:spacing w:after="0" w:line="110" w:lineRule="exact"/>
              <w:rPr>
                <w:sz w:val="20"/>
                <w:szCs w:val="20"/>
                <w:color w:val="auto"/>
              </w:rPr>
            </w:pPr>
            <w:r>
              <w:rPr>
                <w:rFonts w:ascii="Arial" w:cs="Arial" w:eastAsia="Arial" w:hAnsi="Arial"/>
                <w:sz w:val="12"/>
                <w:szCs w:val="12"/>
                <w:color w:val="auto"/>
                <w:w w:val="89"/>
              </w:rPr>
              <w:t>45</w:t>
            </w:r>
          </w:p>
        </w:tc>
        <w:tc>
          <w:tcPr>
            <w:tcW w:w="560" w:type="dxa"/>
            <w:vAlign w:val="bottom"/>
            <w:tcBorders>
              <w:left w:val="single" w:sz="8" w:color="auto"/>
            </w:tcBorders>
          </w:tcPr>
          <w:p>
            <w:pPr>
              <w:jc w:val="center"/>
              <w:spacing w:after="0" w:line="110" w:lineRule="exact"/>
              <w:rPr>
                <w:sz w:val="20"/>
                <w:szCs w:val="20"/>
                <w:color w:val="auto"/>
              </w:rPr>
            </w:pPr>
            <w:r>
              <w:rPr>
                <w:rFonts w:ascii="Arial" w:cs="Arial" w:eastAsia="Arial" w:hAnsi="Arial"/>
                <w:sz w:val="12"/>
                <w:szCs w:val="12"/>
                <w:color w:val="auto"/>
                <w:w w:val="94"/>
              </w:rPr>
              <w:t>4.1%</w:t>
            </w:r>
          </w:p>
        </w:tc>
        <w:tc>
          <w:tcPr>
            <w:tcW w:w="56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w w:val="95"/>
              </w:rPr>
              <w:t>-9.1%</w:t>
            </w:r>
          </w:p>
        </w:tc>
        <w:tc>
          <w:tcPr>
            <w:tcW w:w="520" w:type="dxa"/>
            <w:vAlign w:val="bottom"/>
          </w:tcPr>
          <w:p>
            <w:pPr>
              <w:jc w:val="center"/>
              <w:spacing w:after="0" w:line="110" w:lineRule="exact"/>
              <w:rPr>
                <w:sz w:val="20"/>
                <w:szCs w:val="20"/>
                <w:color w:val="auto"/>
              </w:rPr>
            </w:pPr>
            <w:r>
              <w:rPr>
                <w:rFonts w:ascii="Arial" w:cs="Arial" w:eastAsia="Arial" w:hAnsi="Arial"/>
                <w:sz w:val="12"/>
                <w:szCs w:val="12"/>
                <w:color w:val="auto"/>
                <w:w w:val="99"/>
              </w:rPr>
              <w:t>99.0%</w:t>
            </w:r>
          </w:p>
        </w:tc>
        <w:tc>
          <w:tcPr>
            <w:tcW w:w="5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color w:val="auto"/>
                <w:w w:val="94"/>
              </w:rPr>
              <w:t>1.0%</w:t>
            </w: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tcPr>
          <w:p>
            <w:pPr>
              <w:ind w:left="300"/>
              <w:spacing w:after="0" w:line="126" w:lineRule="exact"/>
              <w:rPr>
                <w:sz w:val="20"/>
                <w:szCs w:val="20"/>
                <w:color w:val="auto"/>
              </w:rPr>
            </w:pPr>
            <w:r>
              <w:rPr>
                <w:rFonts w:ascii="Arial" w:cs="Arial" w:eastAsia="Arial" w:hAnsi="Arial"/>
                <w:sz w:val="12"/>
                <w:szCs w:val="12"/>
                <w:color w:val="auto"/>
              </w:rPr>
              <w:t>Mortgage</w:t>
            </w:r>
          </w:p>
        </w:tc>
        <w:tc>
          <w:tcPr>
            <w:tcW w:w="560" w:type="dxa"/>
            <w:vAlign w:val="bottom"/>
          </w:tcPr>
          <w:p>
            <w:pPr>
              <w:jc w:val="center"/>
              <w:spacing w:after="0" w:line="126" w:lineRule="exact"/>
              <w:rPr>
                <w:sz w:val="20"/>
                <w:szCs w:val="20"/>
                <w:color w:val="auto"/>
              </w:rPr>
            </w:pPr>
            <w:r>
              <w:rPr>
                <w:rFonts w:ascii="Arial" w:cs="Arial" w:eastAsia="Arial" w:hAnsi="Arial"/>
                <w:sz w:val="12"/>
                <w:szCs w:val="12"/>
                <w:color w:val="auto"/>
                <w:w w:val="97"/>
              </w:rPr>
              <w:t>16,391</w:t>
            </w:r>
          </w:p>
        </w:tc>
        <w:tc>
          <w:tcPr>
            <w:tcW w:w="560" w:type="dxa"/>
            <w:vAlign w:val="bottom"/>
          </w:tcPr>
          <w:p>
            <w:pPr>
              <w:jc w:val="center"/>
              <w:spacing w:after="0" w:line="126" w:lineRule="exact"/>
              <w:rPr>
                <w:sz w:val="20"/>
                <w:szCs w:val="20"/>
                <w:color w:val="auto"/>
              </w:rPr>
            </w:pPr>
            <w:r>
              <w:rPr>
                <w:rFonts w:ascii="Arial" w:cs="Arial" w:eastAsia="Arial" w:hAnsi="Arial"/>
                <w:sz w:val="12"/>
                <w:szCs w:val="12"/>
                <w:color w:val="auto"/>
                <w:w w:val="97"/>
              </w:rPr>
              <w:t>17,684</w:t>
            </w:r>
          </w:p>
        </w:tc>
        <w:tc>
          <w:tcPr>
            <w:tcW w:w="620" w:type="dxa"/>
            <w:vAlign w:val="bottom"/>
          </w:tcPr>
          <w:p>
            <w:pPr>
              <w:jc w:val="center"/>
              <w:ind w:right="1"/>
              <w:spacing w:after="0" w:line="126" w:lineRule="exact"/>
              <w:rPr>
                <w:sz w:val="20"/>
                <w:szCs w:val="20"/>
                <w:color w:val="auto"/>
              </w:rPr>
            </w:pPr>
            <w:r>
              <w:rPr>
                <w:rFonts w:ascii="Arial" w:cs="Arial" w:eastAsia="Arial" w:hAnsi="Arial"/>
                <w:sz w:val="12"/>
                <w:szCs w:val="12"/>
                <w:color w:val="auto"/>
                <w:w w:val="97"/>
              </w:rPr>
              <w:t>18,006</w:t>
            </w:r>
          </w:p>
        </w:tc>
        <w:tc>
          <w:tcPr>
            <w:tcW w:w="580" w:type="dxa"/>
            <w:vAlign w:val="bottom"/>
          </w:tcPr>
          <w:p>
            <w:pPr>
              <w:jc w:val="center"/>
              <w:ind w:left="41"/>
              <w:spacing w:after="0" w:line="126" w:lineRule="exact"/>
              <w:rPr>
                <w:sz w:val="20"/>
                <w:szCs w:val="20"/>
                <w:color w:val="auto"/>
              </w:rPr>
            </w:pPr>
            <w:r>
              <w:rPr>
                <w:rFonts w:ascii="Arial" w:cs="Arial" w:eastAsia="Arial" w:hAnsi="Arial"/>
                <w:sz w:val="12"/>
                <w:szCs w:val="12"/>
                <w:color w:val="auto"/>
                <w:w w:val="97"/>
              </w:rPr>
              <w:t>16,391</w:t>
            </w:r>
          </w:p>
        </w:tc>
        <w:tc>
          <w:tcPr>
            <w:tcW w:w="640" w:type="dxa"/>
            <w:vAlign w:val="bottom"/>
          </w:tcPr>
          <w:p>
            <w:pPr>
              <w:jc w:val="center"/>
              <w:spacing w:after="0" w:line="126" w:lineRule="exact"/>
              <w:rPr>
                <w:sz w:val="20"/>
                <w:szCs w:val="20"/>
                <w:color w:val="auto"/>
              </w:rPr>
            </w:pPr>
            <w:r>
              <w:rPr>
                <w:rFonts w:ascii="Arial" w:cs="Arial" w:eastAsia="Arial" w:hAnsi="Arial"/>
                <w:sz w:val="12"/>
                <w:szCs w:val="12"/>
                <w:color w:val="auto"/>
                <w:w w:val="97"/>
              </w:rPr>
              <w:t>17,684</w:t>
            </w:r>
          </w:p>
        </w:tc>
        <w:tc>
          <w:tcPr>
            <w:tcW w:w="540" w:type="dxa"/>
            <w:vAlign w:val="bottom"/>
            <w:tcBorders>
              <w:right w:val="single" w:sz="8" w:color="auto"/>
            </w:tcBorders>
          </w:tcPr>
          <w:p>
            <w:pPr>
              <w:jc w:val="center"/>
              <w:ind w:right="1"/>
              <w:spacing w:after="0" w:line="126" w:lineRule="exact"/>
              <w:rPr>
                <w:sz w:val="20"/>
                <w:szCs w:val="20"/>
                <w:color w:val="auto"/>
              </w:rPr>
            </w:pPr>
            <w:r>
              <w:rPr>
                <w:rFonts w:ascii="Arial" w:cs="Arial" w:eastAsia="Arial" w:hAnsi="Arial"/>
                <w:sz w:val="12"/>
                <w:szCs w:val="12"/>
                <w:color w:val="auto"/>
                <w:w w:val="97"/>
              </w:rPr>
              <w:t>18,006</w:t>
            </w:r>
          </w:p>
        </w:tc>
        <w:tc>
          <w:tcPr>
            <w:tcW w:w="560" w:type="dxa"/>
            <w:vAlign w:val="bottom"/>
            <w:shd w:val="clear" w:color="auto" w:fill="26D07C"/>
          </w:tcPr>
          <w:p>
            <w:pPr>
              <w:jc w:val="center"/>
              <w:spacing w:after="0" w:line="126" w:lineRule="exact"/>
              <w:rPr>
                <w:sz w:val="20"/>
                <w:szCs w:val="20"/>
                <w:color w:val="auto"/>
              </w:rPr>
            </w:pPr>
            <w:r>
              <w:rPr>
                <w:rFonts w:ascii="Arial" w:cs="Arial" w:eastAsia="Arial" w:hAnsi="Arial"/>
                <w:sz w:val="12"/>
                <w:szCs w:val="12"/>
                <w:color w:val="auto"/>
                <w:w w:val="94"/>
              </w:rPr>
              <w:t>1.8%</w:t>
            </w:r>
          </w:p>
        </w:tc>
        <w:tc>
          <w:tcPr>
            <w:tcW w:w="580" w:type="dxa"/>
            <w:vAlign w:val="bottom"/>
            <w:tcBorders>
              <w:right w:val="single" w:sz="8" w:color="auto"/>
            </w:tcBorders>
            <w:shd w:val="clear" w:color="auto" w:fill="26D07C"/>
          </w:tcPr>
          <w:p>
            <w:pPr>
              <w:jc w:val="center"/>
              <w:spacing w:after="0" w:line="126" w:lineRule="exact"/>
              <w:rPr>
                <w:sz w:val="20"/>
                <w:szCs w:val="20"/>
                <w:color w:val="auto"/>
              </w:rPr>
            </w:pPr>
            <w:r>
              <w:rPr>
                <w:rFonts w:ascii="Arial" w:cs="Arial" w:eastAsia="Arial" w:hAnsi="Arial"/>
                <w:sz w:val="12"/>
                <w:szCs w:val="12"/>
                <w:color w:val="auto"/>
              </w:rPr>
              <w:t>9.9%</w:t>
            </w:r>
          </w:p>
        </w:tc>
        <w:tc>
          <w:tcPr>
            <w:tcW w:w="560" w:type="dxa"/>
            <w:vAlign w:val="bottom"/>
            <w:shd w:val="clear" w:color="auto" w:fill="26D07C"/>
          </w:tcPr>
          <w:p>
            <w:pPr>
              <w:jc w:val="center"/>
              <w:spacing w:after="0" w:line="126" w:lineRule="exact"/>
              <w:rPr>
                <w:sz w:val="20"/>
                <w:szCs w:val="20"/>
                <w:color w:val="auto"/>
              </w:rPr>
            </w:pPr>
            <w:r>
              <w:rPr>
                <w:rFonts w:ascii="Arial" w:cs="Arial" w:eastAsia="Arial" w:hAnsi="Arial"/>
                <w:sz w:val="12"/>
                <w:szCs w:val="12"/>
                <w:color w:val="auto"/>
              </w:rPr>
              <w:t>1.8%</w:t>
            </w:r>
          </w:p>
        </w:tc>
        <w:tc>
          <w:tcPr>
            <w:tcW w:w="580" w:type="dxa"/>
            <w:vAlign w:val="bottom"/>
            <w:tcBorders>
              <w:right w:val="single" w:sz="8" w:color="auto"/>
            </w:tcBorders>
            <w:shd w:val="clear" w:color="auto" w:fill="26D07C"/>
          </w:tcPr>
          <w:p>
            <w:pPr>
              <w:jc w:val="center"/>
              <w:spacing w:after="0" w:line="126" w:lineRule="exact"/>
              <w:rPr>
                <w:sz w:val="20"/>
                <w:szCs w:val="20"/>
                <w:color w:val="auto"/>
              </w:rPr>
            </w:pPr>
            <w:r>
              <w:rPr>
                <w:rFonts w:ascii="Arial" w:cs="Arial" w:eastAsia="Arial" w:hAnsi="Arial"/>
                <w:sz w:val="12"/>
                <w:szCs w:val="12"/>
                <w:color w:val="auto"/>
                <w:w w:val="94"/>
              </w:rPr>
              <w:t>9.9%</w:t>
            </w:r>
          </w:p>
        </w:tc>
        <w:tc>
          <w:tcPr>
            <w:tcW w:w="520" w:type="dxa"/>
            <w:vAlign w:val="bottom"/>
          </w:tcPr>
          <w:p>
            <w:pPr>
              <w:jc w:val="center"/>
              <w:spacing w:after="0" w:line="126" w:lineRule="exact"/>
              <w:rPr>
                <w:sz w:val="20"/>
                <w:szCs w:val="20"/>
                <w:color w:val="auto"/>
              </w:rPr>
            </w:pPr>
            <w:r>
              <w:rPr>
                <w:rFonts w:ascii="Arial" w:cs="Arial" w:eastAsia="Arial" w:hAnsi="Arial"/>
                <w:sz w:val="12"/>
                <w:szCs w:val="12"/>
                <w:color w:val="auto"/>
                <w:w w:val="99"/>
              </w:rPr>
              <w:t>509</w:t>
            </w:r>
          </w:p>
        </w:tc>
        <w:tc>
          <w:tcPr>
            <w:tcW w:w="580" w:type="dxa"/>
            <w:vAlign w:val="bottom"/>
          </w:tcPr>
          <w:p>
            <w:pPr>
              <w:jc w:val="center"/>
              <w:spacing w:after="0" w:line="126" w:lineRule="exact"/>
              <w:rPr>
                <w:sz w:val="20"/>
                <w:szCs w:val="20"/>
                <w:color w:val="auto"/>
              </w:rPr>
            </w:pPr>
            <w:r>
              <w:rPr>
                <w:rFonts w:ascii="Arial" w:cs="Arial" w:eastAsia="Arial" w:hAnsi="Arial"/>
                <w:sz w:val="12"/>
                <w:szCs w:val="12"/>
                <w:color w:val="auto"/>
                <w:w w:val="89"/>
              </w:rPr>
              <w:t>525</w:t>
            </w:r>
          </w:p>
        </w:tc>
        <w:tc>
          <w:tcPr>
            <w:tcW w:w="540" w:type="dxa"/>
            <w:vAlign w:val="bottom"/>
            <w:tcBorders>
              <w:right w:val="single" w:sz="8" w:color="auto"/>
            </w:tcBorders>
            <w:gridSpan w:val="2"/>
          </w:tcPr>
          <w:p>
            <w:pPr>
              <w:jc w:val="center"/>
              <w:ind w:right="20"/>
              <w:spacing w:after="0" w:line="126" w:lineRule="exact"/>
              <w:rPr>
                <w:sz w:val="20"/>
                <w:szCs w:val="20"/>
                <w:color w:val="auto"/>
              </w:rPr>
            </w:pPr>
            <w:r>
              <w:rPr>
                <w:rFonts w:ascii="Arial" w:cs="Arial" w:eastAsia="Arial" w:hAnsi="Arial"/>
                <w:sz w:val="12"/>
                <w:szCs w:val="12"/>
                <w:color w:val="auto"/>
                <w:w w:val="99"/>
              </w:rPr>
              <w:t>532</w:t>
            </w:r>
          </w:p>
        </w:tc>
        <w:tc>
          <w:tcPr>
            <w:tcW w:w="560" w:type="dxa"/>
            <w:vAlign w:val="bottom"/>
            <w:tcBorders>
              <w:left w:val="single" w:sz="8" w:color="auto"/>
            </w:tcBorders>
          </w:tcPr>
          <w:p>
            <w:pPr>
              <w:jc w:val="center"/>
              <w:spacing w:after="0" w:line="126" w:lineRule="exact"/>
              <w:rPr>
                <w:sz w:val="20"/>
                <w:szCs w:val="20"/>
                <w:color w:val="auto"/>
              </w:rPr>
            </w:pPr>
            <w:r>
              <w:rPr>
                <w:rFonts w:ascii="Arial" w:cs="Arial" w:eastAsia="Arial" w:hAnsi="Arial"/>
                <w:sz w:val="12"/>
                <w:szCs w:val="12"/>
                <w:color w:val="auto"/>
                <w:w w:val="94"/>
              </w:rPr>
              <w:t>1.4%</w:t>
            </w:r>
          </w:p>
        </w:tc>
        <w:tc>
          <w:tcPr>
            <w:tcW w:w="5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94"/>
              </w:rPr>
              <w:t>4.6%</w:t>
            </w:r>
          </w:p>
        </w:tc>
        <w:tc>
          <w:tcPr>
            <w:tcW w:w="520" w:type="dxa"/>
            <w:vAlign w:val="bottom"/>
          </w:tcPr>
          <w:p>
            <w:pPr>
              <w:jc w:val="center"/>
              <w:spacing w:after="0" w:line="126" w:lineRule="exact"/>
              <w:rPr>
                <w:sz w:val="20"/>
                <w:szCs w:val="20"/>
                <w:color w:val="auto"/>
              </w:rPr>
            </w:pPr>
            <w:r>
              <w:rPr>
                <w:rFonts w:ascii="Arial" w:cs="Arial" w:eastAsia="Arial" w:hAnsi="Arial"/>
                <w:sz w:val="12"/>
                <w:szCs w:val="12"/>
                <w:color w:val="auto"/>
                <w:w w:val="99"/>
              </w:rPr>
              <w:t>89.7%</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99"/>
              </w:rPr>
              <w:t>10.3%</w:t>
            </w: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tcPr>
          <w:p>
            <w:pPr>
              <w:ind w:left="300"/>
              <w:spacing w:after="0" w:line="126" w:lineRule="exact"/>
              <w:rPr>
                <w:sz w:val="20"/>
                <w:szCs w:val="20"/>
                <w:color w:val="auto"/>
              </w:rPr>
            </w:pPr>
            <w:r>
              <w:rPr>
                <w:rFonts w:ascii="Arial" w:cs="Arial" w:eastAsia="Arial" w:hAnsi="Arial"/>
                <w:sz w:val="12"/>
                <w:szCs w:val="12"/>
                <w:color w:val="auto"/>
              </w:rPr>
              <w:t>Consumer</w:t>
            </w:r>
          </w:p>
        </w:tc>
        <w:tc>
          <w:tcPr>
            <w:tcW w:w="560" w:type="dxa"/>
            <w:vAlign w:val="bottom"/>
          </w:tcPr>
          <w:p>
            <w:pPr>
              <w:jc w:val="center"/>
              <w:spacing w:after="0" w:line="126" w:lineRule="exact"/>
              <w:rPr>
                <w:sz w:val="20"/>
                <w:szCs w:val="20"/>
                <w:color w:val="auto"/>
              </w:rPr>
            </w:pPr>
            <w:r>
              <w:rPr>
                <w:rFonts w:ascii="Arial" w:cs="Arial" w:eastAsia="Arial" w:hAnsi="Arial"/>
                <w:sz w:val="12"/>
                <w:szCs w:val="12"/>
                <w:color w:val="auto"/>
                <w:w w:val="99"/>
              </w:rPr>
              <w:t>8,898</w:t>
            </w:r>
          </w:p>
        </w:tc>
        <w:tc>
          <w:tcPr>
            <w:tcW w:w="560" w:type="dxa"/>
            <w:vAlign w:val="bottom"/>
          </w:tcPr>
          <w:p>
            <w:pPr>
              <w:jc w:val="center"/>
              <w:spacing w:after="0" w:line="126" w:lineRule="exact"/>
              <w:rPr>
                <w:sz w:val="20"/>
                <w:szCs w:val="20"/>
                <w:color w:val="auto"/>
              </w:rPr>
            </w:pPr>
            <w:r>
              <w:rPr>
                <w:rFonts w:ascii="Arial" w:cs="Arial" w:eastAsia="Arial" w:hAnsi="Arial"/>
                <w:sz w:val="12"/>
                <w:szCs w:val="12"/>
                <w:color w:val="auto"/>
                <w:w w:val="97"/>
              </w:rPr>
              <w:t>10,850</w:t>
            </w:r>
          </w:p>
        </w:tc>
        <w:tc>
          <w:tcPr>
            <w:tcW w:w="620" w:type="dxa"/>
            <w:vAlign w:val="bottom"/>
          </w:tcPr>
          <w:p>
            <w:pPr>
              <w:jc w:val="center"/>
              <w:ind w:right="1"/>
              <w:spacing w:after="0" w:line="126" w:lineRule="exact"/>
              <w:rPr>
                <w:sz w:val="20"/>
                <w:szCs w:val="20"/>
                <w:color w:val="auto"/>
              </w:rPr>
            </w:pPr>
            <w:r>
              <w:rPr>
                <w:rFonts w:ascii="Arial" w:cs="Arial" w:eastAsia="Arial" w:hAnsi="Arial"/>
                <w:sz w:val="12"/>
                <w:szCs w:val="12"/>
                <w:color w:val="auto"/>
                <w:w w:val="97"/>
              </w:rPr>
              <w:t>11,190</w:t>
            </w:r>
          </w:p>
        </w:tc>
        <w:tc>
          <w:tcPr>
            <w:tcW w:w="580" w:type="dxa"/>
            <w:vAlign w:val="bottom"/>
          </w:tcPr>
          <w:p>
            <w:pPr>
              <w:jc w:val="center"/>
              <w:ind w:left="41"/>
              <w:spacing w:after="0" w:line="126" w:lineRule="exact"/>
              <w:rPr>
                <w:sz w:val="20"/>
                <w:szCs w:val="20"/>
                <w:color w:val="auto"/>
              </w:rPr>
            </w:pPr>
            <w:r>
              <w:rPr>
                <w:rFonts w:ascii="Arial" w:cs="Arial" w:eastAsia="Arial" w:hAnsi="Arial"/>
                <w:sz w:val="12"/>
                <w:szCs w:val="12"/>
                <w:color w:val="auto"/>
                <w:w w:val="93"/>
              </w:rPr>
              <w:t>8,898</w:t>
            </w:r>
          </w:p>
        </w:tc>
        <w:tc>
          <w:tcPr>
            <w:tcW w:w="640" w:type="dxa"/>
            <w:vAlign w:val="bottom"/>
          </w:tcPr>
          <w:p>
            <w:pPr>
              <w:jc w:val="center"/>
              <w:spacing w:after="0" w:line="126" w:lineRule="exact"/>
              <w:rPr>
                <w:sz w:val="20"/>
                <w:szCs w:val="20"/>
                <w:color w:val="auto"/>
              </w:rPr>
            </w:pPr>
            <w:r>
              <w:rPr>
                <w:rFonts w:ascii="Arial" w:cs="Arial" w:eastAsia="Arial" w:hAnsi="Arial"/>
                <w:sz w:val="12"/>
                <w:szCs w:val="12"/>
                <w:color w:val="auto"/>
                <w:w w:val="97"/>
              </w:rPr>
              <w:t>10,850</w:t>
            </w:r>
          </w:p>
        </w:tc>
        <w:tc>
          <w:tcPr>
            <w:tcW w:w="5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92"/>
              </w:rPr>
              <w:t>11,190</w:t>
            </w:r>
          </w:p>
        </w:tc>
        <w:tc>
          <w:tcPr>
            <w:tcW w:w="560" w:type="dxa"/>
            <w:vAlign w:val="bottom"/>
            <w:shd w:val="clear" w:color="auto" w:fill="26D07C"/>
          </w:tcPr>
          <w:p>
            <w:pPr>
              <w:jc w:val="center"/>
              <w:spacing w:after="0" w:line="126" w:lineRule="exact"/>
              <w:rPr>
                <w:sz w:val="20"/>
                <w:szCs w:val="20"/>
                <w:color w:val="auto"/>
              </w:rPr>
            </w:pPr>
            <w:r>
              <w:rPr>
                <w:rFonts w:ascii="Arial" w:cs="Arial" w:eastAsia="Arial" w:hAnsi="Arial"/>
                <w:sz w:val="12"/>
                <w:szCs w:val="12"/>
                <w:color w:val="auto"/>
                <w:w w:val="94"/>
              </w:rPr>
              <w:t>3.1%</w:t>
            </w:r>
          </w:p>
        </w:tc>
        <w:tc>
          <w:tcPr>
            <w:tcW w:w="580" w:type="dxa"/>
            <w:vAlign w:val="bottom"/>
            <w:tcBorders>
              <w:right w:val="single" w:sz="8" w:color="auto"/>
            </w:tcBorders>
            <w:shd w:val="clear" w:color="auto" w:fill="26D07C"/>
          </w:tcPr>
          <w:p>
            <w:pPr>
              <w:jc w:val="center"/>
              <w:spacing w:after="0" w:line="126" w:lineRule="exact"/>
              <w:rPr>
                <w:sz w:val="20"/>
                <w:szCs w:val="20"/>
                <w:color w:val="auto"/>
              </w:rPr>
            </w:pPr>
            <w:r>
              <w:rPr>
                <w:rFonts w:ascii="Arial" w:cs="Arial" w:eastAsia="Arial" w:hAnsi="Arial"/>
                <w:sz w:val="12"/>
                <w:szCs w:val="12"/>
                <w:color w:val="auto"/>
                <w:w w:val="93"/>
              </w:rPr>
              <w:t>25.8%</w:t>
            </w:r>
          </w:p>
        </w:tc>
        <w:tc>
          <w:tcPr>
            <w:tcW w:w="560" w:type="dxa"/>
            <w:vAlign w:val="bottom"/>
            <w:shd w:val="clear" w:color="auto" w:fill="26D07C"/>
          </w:tcPr>
          <w:p>
            <w:pPr>
              <w:jc w:val="center"/>
              <w:spacing w:after="0" w:line="126" w:lineRule="exact"/>
              <w:rPr>
                <w:sz w:val="20"/>
                <w:szCs w:val="20"/>
                <w:color w:val="auto"/>
              </w:rPr>
            </w:pPr>
            <w:r>
              <w:rPr>
                <w:rFonts w:ascii="Arial" w:cs="Arial" w:eastAsia="Arial" w:hAnsi="Arial"/>
                <w:sz w:val="12"/>
                <w:szCs w:val="12"/>
                <w:color w:val="auto"/>
              </w:rPr>
              <w:t>3.1%</w:t>
            </w:r>
          </w:p>
        </w:tc>
        <w:tc>
          <w:tcPr>
            <w:tcW w:w="580" w:type="dxa"/>
            <w:vAlign w:val="bottom"/>
            <w:tcBorders>
              <w:right w:val="single" w:sz="8" w:color="auto"/>
            </w:tcBorders>
            <w:shd w:val="clear" w:color="auto" w:fill="26D07C"/>
          </w:tcPr>
          <w:p>
            <w:pPr>
              <w:jc w:val="center"/>
              <w:spacing w:after="0" w:line="126" w:lineRule="exact"/>
              <w:rPr>
                <w:sz w:val="20"/>
                <w:szCs w:val="20"/>
                <w:color w:val="auto"/>
              </w:rPr>
            </w:pPr>
            <w:r>
              <w:rPr>
                <w:rFonts w:ascii="Arial" w:cs="Arial" w:eastAsia="Arial" w:hAnsi="Arial"/>
                <w:sz w:val="12"/>
                <w:szCs w:val="12"/>
                <w:color w:val="auto"/>
                <w:w w:val="99"/>
              </w:rPr>
              <w:t>25.8%</w:t>
            </w:r>
          </w:p>
        </w:tc>
        <w:tc>
          <w:tcPr>
            <w:tcW w:w="520" w:type="dxa"/>
            <w:vAlign w:val="bottom"/>
          </w:tcPr>
          <w:p>
            <w:pPr>
              <w:jc w:val="center"/>
              <w:spacing w:after="0" w:line="126" w:lineRule="exact"/>
              <w:rPr>
                <w:sz w:val="20"/>
                <w:szCs w:val="20"/>
                <w:color w:val="auto"/>
              </w:rPr>
            </w:pPr>
            <w:r>
              <w:rPr>
                <w:rFonts w:ascii="Arial" w:cs="Arial" w:eastAsia="Arial" w:hAnsi="Arial"/>
                <w:sz w:val="12"/>
                <w:szCs w:val="12"/>
                <w:color w:val="auto"/>
                <w:w w:val="99"/>
              </w:rPr>
              <w:t>348</w:t>
            </w:r>
          </w:p>
        </w:tc>
        <w:tc>
          <w:tcPr>
            <w:tcW w:w="580" w:type="dxa"/>
            <w:vAlign w:val="bottom"/>
          </w:tcPr>
          <w:p>
            <w:pPr>
              <w:jc w:val="center"/>
              <w:spacing w:after="0" w:line="126" w:lineRule="exact"/>
              <w:rPr>
                <w:sz w:val="20"/>
                <w:szCs w:val="20"/>
                <w:color w:val="auto"/>
              </w:rPr>
            </w:pPr>
            <w:r>
              <w:rPr>
                <w:rFonts w:ascii="Arial" w:cs="Arial" w:eastAsia="Arial" w:hAnsi="Arial"/>
                <w:sz w:val="12"/>
                <w:szCs w:val="12"/>
                <w:color w:val="auto"/>
                <w:w w:val="89"/>
              </w:rPr>
              <w:t>407</w:t>
            </w:r>
          </w:p>
        </w:tc>
        <w:tc>
          <w:tcPr>
            <w:tcW w:w="540" w:type="dxa"/>
            <w:vAlign w:val="bottom"/>
            <w:tcBorders>
              <w:right w:val="single" w:sz="8" w:color="auto"/>
            </w:tcBorders>
            <w:gridSpan w:val="2"/>
          </w:tcPr>
          <w:p>
            <w:pPr>
              <w:jc w:val="center"/>
              <w:ind w:right="20"/>
              <w:spacing w:after="0" w:line="126" w:lineRule="exact"/>
              <w:rPr>
                <w:sz w:val="20"/>
                <w:szCs w:val="20"/>
                <w:color w:val="auto"/>
              </w:rPr>
            </w:pPr>
            <w:r>
              <w:rPr>
                <w:rFonts w:ascii="Arial" w:cs="Arial" w:eastAsia="Arial" w:hAnsi="Arial"/>
                <w:sz w:val="12"/>
                <w:szCs w:val="12"/>
                <w:color w:val="auto"/>
                <w:w w:val="99"/>
              </w:rPr>
              <w:t>398</w:t>
            </w:r>
          </w:p>
        </w:tc>
        <w:tc>
          <w:tcPr>
            <w:tcW w:w="560" w:type="dxa"/>
            <w:vAlign w:val="bottom"/>
            <w:tcBorders>
              <w:left w:val="single" w:sz="8" w:color="auto"/>
            </w:tcBorders>
          </w:tcPr>
          <w:p>
            <w:pPr>
              <w:jc w:val="center"/>
              <w:spacing w:after="0" w:line="126" w:lineRule="exact"/>
              <w:rPr>
                <w:sz w:val="20"/>
                <w:szCs w:val="20"/>
                <w:color w:val="auto"/>
              </w:rPr>
            </w:pPr>
            <w:r>
              <w:rPr>
                <w:rFonts w:ascii="Arial" w:cs="Arial" w:eastAsia="Arial" w:hAnsi="Arial"/>
                <w:sz w:val="12"/>
                <w:szCs w:val="12"/>
                <w:color w:val="auto"/>
                <w:w w:val="95"/>
              </w:rPr>
              <w:t>-2.3%</w:t>
            </w:r>
          </w:p>
        </w:tc>
        <w:tc>
          <w:tcPr>
            <w:tcW w:w="5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99"/>
              </w:rPr>
              <w:t>14.3%</w:t>
            </w:r>
          </w:p>
        </w:tc>
        <w:tc>
          <w:tcPr>
            <w:tcW w:w="520" w:type="dxa"/>
            <w:vAlign w:val="bottom"/>
          </w:tcPr>
          <w:p>
            <w:pPr>
              <w:jc w:val="center"/>
              <w:spacing w:after="0" w:line="126" w:lineRule="exact"/>
              <w:rPr>
                <w:sz w:val="20"/>
                <w:szCs w:val="20"/>
                <w:color w:val="auto"/>
              </w:rPr>
            </w:pPr>
            <w:r>
              <w:rPr>
                <w:rFonts w:ascii="Arial" w:cs="Arial" w:eastAsia="Arial" w:hAnsi="Arial"/>
                <w:sz w:val="12"/>
                <w:szCs w:val="12"/>
                <w:color w:val="auto"/>
                <w:w w:val="99"/>
              </w:rPr>
              <w:t>87.9%</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99"/>
              </w:rPr>
              <w:t>12.1%</w:t>
            </w:r>
          </w:p>
        </w:tc>
        <w:tc>
          <w:tcPr>
            <w:tcW w:w="0" w:type="dxa"/>
            <w:vAlign w:val="bottom"/>
          </w:tcPr>
          <w:p>
            <w:pPr>
              <w:spacing w:after="0"/>
              <w:rPr>
                <w:sz w:val="1"/>
                <w:szCs w:val="1"/>
                <w:color w:val="auto"/>
              </w:rPr>
            </w:pPr>
          </w:p>
        </w:tc>
      </w:tr>
      <w:tr>
        <w:trPr>
          <w:trHeight w:val="141"/>
        </w:trPr>
        <w:tc>
          <w:tcPr>
            <w:tcW w:w="1600" w:type="dxa"/>
            <w:vAlign w:val="bottom"/>
            <w:tcBorders>
              <w:left w:val="single" w:sz="8" w:color="auto"/>
              <w:right w:val="single" w:sz="8" w:color="auto"/>
            </w:tcBorders>
          </w:tcPr>
          <w:p>
            <w:pPr>
              <w:ind w:left="300"/>
              <w:spacing w:after="0" w:line="124" w:lineRule="exact"/>
              <w:rPr>
                <w:sz w:val="20"/>
                <w:szCs w:val="20"/>
                <w:color w:val="auto"/>
              </w:rPr>
            </w:pPr>
            <w:r>
              <w:rPr>
                <w:rFonts w:ascii="Arial" w:cs="Arial" w:eastAsia="Arial" w:hAnsi="Arial"/>
                <w:sz w:val="12"/>
                <w:szCs w:val="12"/>
                <w:color w:val="auto"/>
              </w:rPr>
              <w:t>Credit Card</w:t>
            </w:r>
          </w:p>
        </w:tc>
        <w:tc>
          <w:tcPr>
            <w:tcW w:w="560" w:type="dxa"/>
            <w:vAlign w:val="bottom"/>
          </w:tcPr>
          <w:p>
            <w:pPr>
              <w:jc w:val="center"/>
              <w:spacing w:after="0" w:line="124" w:lineRule="exact"/>
              <w:rPr>
                <w:sz w:val="20"/>
                <w:szCs w:val="20"/>
                <w:color w:val="auto"/>
              </w:rPr>
            </w:pPr>
            <w:r>
              <w:rPr>
                <w:rFonts w:ascii="Arial" w:cs="Arial" w:eastAsia="Arial" w:hAnsi="Arial"/>
                <w:sz w:val="12"/>
                <w:szCs w:val="12"/>
                <w:color w:val="auto"/>
                <w:w w:val="99"/>
              </w:rPr>
              <w:t>3,039</w:t>
            </w:r>
          </w:p>
        </w:tc>
        <w:tc>
          <w:tcPr>
            <w:tcW w:w="560" w:type="dxa"/>
            <w:vAlign w:val="bottom"/>
          </w:tcPr>
          <w:p>
            <w:pPr>
              <w:jc w:val="center"/>
              <w:spacing w:after="0" w:line="124" w:lineRule="exact"/>
              <w:rPr>
                <w:sz w:val="20"/>
                <w:szCs w:val="20"/>
                <w:color w:val="auto"/>
              </w:rPr>
            </w:pPr>
            <w:r>
              <w:rPr>
                <w:rFonts w:ascii="Arial" w:cs="Arial" w:eastAsia="Arial" w:hAnsi="Arial"/>
                <w:sz w:val="12"/>
                <w:szCs w:val="12"/>
                <w:color w:val="auto"/>
                <w:w w:val="99"/>
              </w:rPr>
              <w:t>3,927</w:t>
            </w:r>
          </w:p>
        </w:tc>
        <w:tc>
          <w:tcPr>
            <w:tcW w:w="620" w:type="dxa"/>
            <w:vAlign w:val="bottom"/>
          </w:tcPr>
          <w:p>
            <w:pPr>
              <w:jc w:val="center"/>
              <w:ind w:right="1"/>
              <w:spacing w:after="0" w:line="124" w:lineRule="exact"/>
              <w:rPr>
                <w:sz w:val="20"/>
                <w:szCs w:val="20"/>
                <w:color w:val="auto"/>
              </w:rPr>
            </w:pPr>
            <w:r>
              <w:rPr>
                <w:rFonts w:ascii="Arial" w:cs="Arial" w:eastAsia="Arial" w:hAnsi="Arial"/>
                <w:sz w:val="12"/>
                <w:szCs w:val="12"/>
                <w:color w:val="auto"/>
                <w:w w:val="93"/>
              </w:rPr>
              <w:t>4,227</w:t>
            </w:r>
          </w:p>
        </w:tc>
        <w:tc>
          <w:tcPr>
            <w:tcW w:w="580" w:type="dxa"/>
            <w:vAlign w:val="bottom"/>
          </w:tcPr>
          <w:p>
            <w:pPr>
              <w:jc w:val="center"/>
              <w:ind w:left="41"/>
              <w:spacing w:after="0" w:line="124" w:lineRule="exact"/>
              <w:rPr>
                <w:sz w:val="20"/>
                <w:szCs w:val="20"/>
                <w:color w:val="auto"/>
              </w:rPr>
            </w:pPr>
            <w:r>
              <w:rPr>
                <w:rFonts w:ascii="Arial" w:cs="Arial" w:eastAsia="Arial" w:hAnsi="Arial"/>
                <w:sz w:val="12"/>
                <w:szCs w:val="12"/>
                <w:color w:val="auto"/>
                <w:w w:val="93"/>
              </w:rPr>
              <w:t>3,039</w:t>
            </w:r>
          </w:p>
        </w:tc>
        <w:tc>
          <w:tcPr>
            <w:tcW w:w="640" w:type="dxa"/>
            <w:vAlign w:val="bottom"/>
          </w:tcPr>
          <w:p>
            <w:pPr>
              <w:jc w:val="center"/>
              <w:spacing w:after="0" w:line="124" w:lineRule="exact"/>
              <w:rPr>
                <w:sz w:val="20"/>
                <w:szCs w:val="20"/>
                <w:color w:val="auto"/>
              </w:rPr>
            </w:pPr>
            <w:r>
              <w:rPr>
                <w:rFonts w:ascii="Arial" w:cs="Arial" w:eastAsia="Arial" w:hAnsi="Arial"/>
                <w:sz w:val="12"/>
                <w:szCs w:val="12"/>
                <w:color w:val="auto"/>
                <w:w w:val="99"/>
              </w:rPr>
              <w:t>3,927</w:t>
            </w:r>
          </w:p>
        </w:tc>
        <w:tc>
          <w:tcPr>
            <w:tcW w:w="5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4,227</w:t>
            </w:r>
          </w:p>
        </w:tc>
        <w:tc>
          <w:tcPr>
            <w:tcW w:w="560" w:type="dxa"/>
            <w:vAlign w:val="bottom"/>
            <w:shd w:val="clear" w:color="auto" w:fill="26D07C"/>
          </w:tcPr>
          <w:p>
            <w:pPr>
              <w:jc w:val="center"/>
              <w:spacing w:after="0" w:line="124" w:lineRule="exact"/>
              <w:rPr>
                <w:sz w:val="20"/>
                <w:szCs w:val="20"/>
                <w:color w:val="auto"/>
              </w:rPr>
            </w:pPr>
            <w:r>
              <w:rPr>
                <w:rFonts w:ascii="Arial" w:cs="Arial" w:eastAsia="Arial" w:hAnsi="Arial"/>
                <w:sz w:val="12"/>
                <w:szCs w:val="12"/>
                <w:color w:val="auto"/>
                <w:w w:val="94"/>
              </w:rPr>
              <w:t>7.6%</w:t>
            </w:r>
          </w:p>
        </w:tc>
        <w:tc>
          <w:tcPr>
            <w:tcW w:w="580" w:type="dxa"/>
            <w:vAlign w:val="bottom"/>
            <w:tcBorders>
              <w:right w:val="single" w:sz="8" w:color="auto"/>
            </w:tcBorders>
            <w:shd w:val="clear" w:color="auto" w:fill="26D07C"/>
          </w:tcPr>
          <w:p>
            <w:pPr>
              <w:jc w:val="center"/>
              <w:spacing w:after="0" w:line="124" w:lineRule="exact"/>
              <w:rPr>
                <w:sz w:val="20"/>
                <w:szCs w:val="20"/>
                <w:color w:val="auto"/>
              </w:rPr>
            </w:pPr>
            <w:r>
              <w:rPr>
                <w:rFonts w:ascii="Arial" w:cs="Arial" w:eastAsia="Arial" w:hAnsi="Arial"/>
                <w:sz w:val="12"/>
                <w:szCs w:val="12"/>
                <w:color w:val="auto"/>
                <w:w w:val="93"/>
              </w:rPr>
              <w:t>39.1%</w:t>
            </w:r>
          </w:p>
        </w:tc>
        <w:tc>
          <w:tcPr>
            <w:tcW w:w="560" w:type="dxa"/>
            <w:vAlign w:val="bottom"/>
            <w:shd w:val="clear" w:color="auto" w:fill="26D07C"/>
          </w:tcPr>
          <w:p>
            <w:pPr>
              <w:jc w:val="center"/>
              <w:spacing w:after="0" w:line="124" w:lineRule="exact"/>
              <w:rPr>
                <w:sz w:val="20"/>
                <w:szCs w:val="20"/>
                <w:color w:val="auto"/>
              </w:rPr>
            </w:pPr>
            <w:r>
              <w:rPr>
                <w:rFonts w:ascii="Arial" w:cs="Arial" w:eastAsia="Arial" w:hAnsi="Arial"/>
                <w:sz w:val="12"/>
                <w:szCs w:val="12"/>
                <w:color w:val="auto"/>
              </w:rPr>
              <w:t>7.6%</w:t>
            </w:r>
          </w:p>
        </w:tc>
        <w:tc>
          <w:tcPr>
            <w:tcW w:w="580" w:type="dxa"/>
            <w:vAlign w:val="bottom"/>
            <w:tcBorders>
              <w:right w:val="single" w:sz="8" w:color="auto"/>
            </w:tcBorders>
            <w:shd w:val="clear" w:color="auto" w:fill="26D07C"/>
          </w:tcPr>
          <w:p>
            <w:pPr>
              <w:jc w:val="center"/>
              <w:spacing w:after="0" w:line="124" w:lineRule="exact"/>
              <w:rPr>
                <w:sz w:val="20"/>
                <w:szCs w:val="20"/>
                <w:color w:val="auto"/>
              </w:rPr>
            </w:pPr>
            <w:r>
              <w:rPr>
                <w:rFonts w:ascii="Arial" w:cs="Arial" w:eastAsia="Arial" w:hAnsi="Arial"/>
                <w:sz w:val="12"/>
                <w:szCs w:val="12"/>
                <w:color w:val="auto"/>
                <w:w w:val="99"/>
              </w:rPr>
              <w:t>39.1%</w:t>
            </w:r>
          </w:p>
        </w:tc>
        <w:tc>
          <w:tcPr>
            <w:tcW w:w="520" w:type="dxa"/>
            <w:vAlign w:val="bottom"/>
          </w:tcPr>
          <w:p>
            <w:pPr>
              <w:jc w:val="center"/>
              <w:spacing w:after="0" w:line="124" w:lineRule="exact"/>
              <w:rPr>
                <w:sz w:val="20"/>
                <w:szCs w:val="20"/>
                <w:color w:val="auto"/>
              </w:rPr>
            </w:pPr>
            <w:r>
              <w:rPr>
                <w:rFonts w:ascii="Arial" w:cs="Arial" w:eastAsia="Arial" w:hAnsi="Arial"/>
                <w:sz w:val="12"/>
                <w:szCs w:val="12"/>
                <w:color w:val="auto"/>
                <w:w w:val="99"/>
              </w:rPr>
              <w:t>193</w:t>
            </w:r>
          </w:p>
        </w:tc>
        <w:tc>
          <w:tcPr>
            <w:tcW w:w="580" w:type="dxa"/>
            <w:vAlign w:val="bottom"/>
          </w:tcPr>
          <w:p>
            <w:pPr>
              <w:jc w:val="center"/>
              <w:spacing w:after="0" w:line="124" w:lineRule="exact"/>
              <w:rPr>
                <w:sz w:val="20"/>
                <w:szCs w:val="20"/>
                <w:color w:val="auto"/>
              </w:rPr>
            </w:pPr>
            <w:r>
              <w:rPr>
                <w:rFonts w:ascii="Arial" w:cs="Arial" w:eastAsia="Arial" w:hAnsi="Arial"/>
                <w:sz w:val="12"/>
                <w:szCs w:val="12"/>
                <w:color w:val="auto"/>
                <w:w w:val="89"/>
              </w:rPr>
              <w:t>216</w:t>
            </w:r>
          </w:p>
        </w:tc>
        <w:tc>
          <w:tcPr>
            <w:tcW w:w="540" w:type="dxa"/>
            <w:vAlign w:val="bottom"/>
            <w:tcBorders>
              <w:right w:val="single" w:sz="8" w:color="auto"/>
            </w:tcBorders>
            <w:gridSpan w:val="2"/>
          </w:tcPr>
          <w:p>
            <w:pPr>
              <w:jc w:val="center"/>
              <w:ind w:right="20"/>
              <w:spacing w:after="0" w:line="124" w:lineRule="exact"/>
              <w:rPr>
                <w:sz w:val="20"/>
                <w:szCs w:val="20"/>
                <w:color w:val="auto"/>
              </w:rPr>
            </w:pPr>
            <w:r>
              <w:rPr>
                <w:rFonts w:ascii="Arial" w:cs="Arial" w:eastAsia="Arial" w:hAnsi="Arial"/>
                <w:sz w:val="12"/>
                <w:szCs w:val="12"/>
                <w:color w:val="auto"/>
                <w:w w:val="99"/>
              </w:rPr>
              <w:t>226</w:t>
            </w:r>
          </w:p>
        </w:tc>
        <w:tc>
          <w:tcPr>
            <w:tcW w:w="560" w:type="dxa"/>
            <w:vAlign w:val="bottom"/>
            <w:tcBorders>
              <w:left w:val="single" w:sz="8" w:color="auto"/>
            </w:tcBorders>
          </w:tcPr>
          <w:p>
            <w:pPr>
              <w:jc w:val="center"/>
              <w:spacing w:after="0" w:line="124" w:lineRule="exact"/>
              <w:rPr>
                <w:sz w:val="20"/>
                <w:szCs w:val="20"/>
                <w:color w:val="auto"/>
              </w:rPr>
            </w:pPr>
            <w:r>
              <w:rPr>
                <w:rFonts w:ascii="Arial" w:cs="Arial" w:eastAsia="Arial" w:hAnsi="Arial"/>
                <w:sz w:val="12"/>
                <w:szCs w:val="12"/>
                <w:color w:val="auto"/>
                <w:w w:val="94"/>
              </w:rPr>
              <w:t>4.4%</w:t>
            </w:r>
          </w:p>
        </w:tc>
        <w:tc>
          <w:tcPr>
            <w:tcW w:w="5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16.9%</w:t>
            </w:r>
          </w:p>
        </w:tc>
        <w:tc>
          <w:tcPr>
            <w:tcW w:w="520" w:type="dxa"/>
            <w:vAlign w:val="bottom"/>
          </w:tcPr>
          <w:p>
            <w:pPr>
              <w:jc w:val="center"/>
              <w:spacing w:after="0" w:line="124" w:lineRule="exact"/>
              <w:rPr>
                <w:sz w:val="20"/>
                <w:szCs w:val="20"/>
                <w:color w:val="auto"/>
              </w:rPr>
            </w:pPr>
            <w:r>
              <w:rPr>
                <w:rFonts w:ascii="Arial" w:cs="Arial" w:eastAsia="Arial" w:hAnsi="Arial"/>
                <w:sz w:val="12"/>
                <w:szCs w:val="12"/>
                <w:color w:val="auto"/>
                <w:w w:val="99"/>
              </w:rPr>
              <w:t>82.8%</w:t>
            </w:r>
          </w:p>
        </w:tc>
        <w:tc>
          <w:tcPr>
            <w:tcW w:w="5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17.2%</w:t>
            </w: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ind w:left="60"/>
              <w:spacing w:after="0" w:line="109" w:lineRule="exact"/>
              <w:rPr>
                <w:sz w:val="20"/>
                <w:szCs w:val="20"/>
                <w:color w:val="auto"/>
              </w:rPr>
            </w:pPr>
            <w:r>
              <w:rPr>
                <w:rFonts w:ascii="Arial" w:cs="Arial" w:eastAsia="Arial" w:hAnsi="Arial"/>
                <w:sz w:val="12"/>
                <w:szCs w:val="12"/>
                <w:b w:val="1"/>
                <w:bCs w:val="1"/>
                <w:color w:val="auto"/>
              </w:rPr>
              <w:t>Mibanco</w:t>
            </w:r>
          </w:p>
        </w:tc>
        <w:tc>
          <w:tcPr>
            <w:tcW w:w="5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7"/>
              </w:rPr>
              <w:t>12,880</w:t>
            </w:r>
          </w:p>
        </w:tc>
        <w:tc>
          <w:tcPr>
            <w:tcW w:w="5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7"/>
              </w:rPr>
              <w:t>13,812</w:t>
            </w:r>
          </w:p>
        </w:tc>
        <w:tc>
          <w:tcPr>
            <w:tcW w:w="620" w:type="dxa"/>
            <w:vAlign w:val="bottom"/>
          </w:tcPr>
          <w:p>
            <w:pPr>
              <w:jc w:val="center"/>
              <w:ind w:right="1"/>
              <w:spacing w:after="0" w:line="109" w:lineRule="exact"/>
              <w:rPr>
                <w:sz w:val="20"/>
                <w:szCs w:val="20"/>
                <w:color w:val="auto"/>
              </w:rPr>
            </w:pPr>
            <w:r>
              <w:rPr>
                <w:rFonts w:ascii="Arial" w:cs="Arial" w:eastAsia="Arial" w:hAnsi="Arial"/>
                <w:sz w:val="12"/>
                <w:szCs w:val="12"/>
                <w:b w:val="1"/>
                <w:bCs w:val="1"/>
                <w:color w:val="auto"/>
                <w:w w:val="97"/>
              </w:rPr>
              <w:t>13,784</w:t>
            </w:r>
          </w:p>
        </w:tc>
        <w:tc>
          <w:tcPr>
            <w:tcW w:w="580" w:type="dxa"/>
            <w:vAlign w:val="bottom"/>
          </w:tcPr>
          <w:p>
            <w:pPr>
              <w:jc w:val="center"/>
              <w:ind w:left="41"/>
              <w:spacing w:after="0" w:line="109" w:lineRule="exact"/>
              <w:rPr>
                <w:sz w:val="20"/>
                <w:szCs w:val="20"/>
                <w:color w:val="auto"/>
              </w:rPr>
            </w:pPr>
            <w:r>
              <w:rPr>
                <w:rFonts w:ascii="Arial" w:cs="Arial" w:eastAsia="Arial" w:hAnsi="Arial"/>
                <w:sz w:val="12"/>
                <w:szCs w:val="12"/>
                <w:b w:val="1"/>
                <w:bCs w:val="1"/>
                <w:color w:val="auto"/>
                <w:w w:val="97"/>
              </w:rPr>
              <w:t>10,519</w:t>
            </w:r>
          </w:p>
        </w:tc>
        <w:tc>
          <w:tcPr>
            <w:tcW w:w="64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7"/>
              </w:rPr>
              <w:t>12,309</w:t>
            </w:r>
          </w:p>
        </w:tc>
        <w:tc>
          <w:tcPr>
            <w:tcW w:w="540" w:type="dxa"/>
            <w:vAlign w:val="bottom"/>
            <w:tcBorders>
              <w:right w:val="single" w:sz="8" w:color="auto"/>
            </w:tcBorders>
          </w:tcPr>
          <w:p>
            <w:pPr>
              <w:jc w:val="center"/>
              <w:ind w:right="1"/>
              <w:spacing w:after="0" w:line="109" w:lineRule="exact"/>
              <w:rPr>
                <w:sz w:val="20"/>
                <w:szCs w:val="20"/>
                <w:color w:val="auto"/>
              </w:rPr>
            </w:pPr>
            <w:r>
              <w:rPr>
                <w:rFonts w:ascii="Arial" w:cs="Arial" w:eastAsia="Arial" w:hAnsi="Arial"/>
                <w:sz w:val="12"/>
                <w:szCs w:val="12"/>
                <w:b w:val="1"/>
                <w:bCs w:val="1"/>
                <w:color w:val="auto"/>
                <w:w w:val="97"/>
              </w:rPr>
              <w:t>12,644</w:t>
            </w:r>
          </w:p>
        </w:tc>
        <w:tc>
          <w:tcPr>
            <w:tcW w:w="5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5"/>
              </w:rPr>
              <w:t>-0.2%</w:t>
            </w:r>
          </w:p>
        </w:tc>
        <w:tc>
          <w:tcPr>
            <w:tcW w:w="5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rPr>
              <w:t>7.0%</w:t>
            </w:r>
          </w:p>
        </w:tc>
        <w:tc>
          <w:tcPr>
            <w:tcW w:w="5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rPr>
              <w:t>2.7%</w:t>
            </w:r>
          </w:p>
        </w:tc>
        <w:tc>
          <w:tcPr>
            <w:tcW w:w="5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9"/>
              </w:rPr>
              <w:t>20.2%</w:t>
            </w:r>
          </w:p>
        </w:tc>
        <w:tc>
          <w:tcPr>
            <w:tcW w:w="52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9"/>
              </w:rPr>
              <w:t>118</w:t>
            </w:r>
          </w:p>
        </w:tc>
        <w:tc>
          <w:tcPr>
            <w:tcW w:w="58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89"/>
              </w:rPr>
              <w:t>121</w:t>
            </w:r>
          </w:p>
        </w:tc>
        <w:tc>
          <w:tcPr>
            <w:tcW w:w="540" w:type="dxa"/>
            <w:vAlign w:val="bottom"/>
            <w:tcBorders>
              <w:right w:val="single" w:sz="8" w:color="auto"/>
            </w:tcBorders>
            <w:gridSpan w:val="2"/>
          </w:tcPr>
          <w:p>
            <w:pPr>
              <w:jc w:val="center"/>
              <w:ind w:right="20"/>
              <w:spacing w:after="0" w:line="109" w:lineRule="exact"/>
              <w:rPr>
                <w:sz w:val="20"/>
                <w:szCs w:val="20"/>
                <w:color w:val="auto"/>
              </w:rPr>
            </w:pPr>
            <w:r>
              <w:rPr>
                <w:rFonts w:ascii="Arial" w:cs="Arial" w:eastAsia="Arial" w:hAnsi="Arial"/>
                <w:sz w:val="12"/>
                <w:szCs w:val="12"/>
                <w:b w:val="1"/>
                <w:bCs w:val="1"/>
                <w:color w:val="auto"/>
                <w:w w:val="99"/>
              </w:rPr>
              <w:t>123</w:t>
            </w:r>
          </w:p>
        </w:tc>
        <w:tc>
          <w:tcPr>
            <w:tcW w:w="560" w:type="dxa"/>
            <w:vAlign w:val="bottom"/>
            <w:tcBorders>
              <w:lef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4"/>
              </w:rPr>
              <w:t>1.6%</w:t>
            </w:r>
          </w:p>
        </w:tc>
        <w:tc>
          <w:tcPr>
            <w:tcW w:w="5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4"/>
              </w:rPr>
              <w:t>4.5%</w:t>
            </w:r>
          </w:p>
        </w:tc>
        <w:tc>
          <w:tcPr>
            <w:tcW w:w="52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9"/>
              </w:rPr>
              <w:t>96.7%</w:t>
            </w:r>
          </w:p>
        </w:tc>
        <w:tc>
          <w:tcPr>
            <w:tcW w:w="5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4"/>
              </w:rPr>
              <w:t>3.3%</w:t>
            </w: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tcPr>
          <w:p>
            <w:pPr>
              <w:ind w:left="60"/>
              <w:spacing w:after="0" w:line="126" w:lineRule="exact"/>
              <w:rPr>
                <w:sz w:val="20"/>
                <w:szCs w:val="20"/>
                <w:color w:val="auto"/>
              </w:rPr>
            </w:pPr>
            <w:r>
              <w:rPr>
                <w:rFonts w:ascii="Arial" w:cs="Arial" w:eastAsia="Arial" w:hAnsi="Arial"/>
                <w:sz w:val="12"/>
                <w:szCs w:val="12"/>
                <w:b w:val="1"/>
                <w:bCs w:val="1"/>
                <w:color w:val="auto"/>
              </w:rPr>
              <w:t>Mibanco Colombia</w:t>
            </w:r>
          </w:p>
        </w:tc>
        <w:tc>
          <w:tcPr>
            <w:tcW w:w="5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62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8"/>
              </w:rPr>
              <w:t>-</w:t>
            </w:r>
          </w:p>
        </w:tc>
        <w:tc>
          <w:tcPr>
            <w:tcW w:w="580" w:type="dxa"/>
            <w:vAlign w:val="bottom"/>
          </w:tcPr>
          <w:p>
            <w:pPr>
              <w:jc w:val="center"/>
              <w:ind w:left="41"/>
              <w:spacing w:after="0" w:line="126" w:lineRule="exact"/>
              <w:rPr>
                <w:sz w:val="20"/>
                <w:szCs w:val="20"/>
                <w:color w:val="auto"/>
              </w:rPr>
            </w:pPr>
            <w:r>
              <w:rPr>
                <w:rFonts w:ascii="Arial" w:cs="Arial" w:eastAsia="Arial" w:hAnsi="Arial"/>
                <w:sz w:val="12"/>
                <w:szCs w:val="12"/>
                <w:b w:val="1"/>
                <w:bCs w:val="1"/>
                <w:color w:val="auto"/>
                <w:w w:val="98"/>
              </w:rPr>
              <w:t>-</w:t>
            </w:r>
          </w:p>
        </w:tc>
        <w:tc>
          <w:tcPr>
            <w:tcW w:w="6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40" w:type="dxa"/>
            <w:vAlign w:val="bottom"/>
            <w:tcBorders>
              <w:right w:val="single" w:sz="8" w:color="auto"/>
            </w:tcBorders>
          </w:tcPr>
          <w:p>
            <w:pPr>
              <w:jc w:val="center"/>
              <w:ind w:right="1"/>
              <w:spacing w:after="0" w:line="126" w:lineRule="exact"/>
              <w:rPr>
                <w:sz w:val="20"/>
                <w:szCs w:val="20"/>
                <w:color w:val="auto"/>
              </w:rPr>
            </w:pPr>
            <w:r>
              <w:rPr>
                <w:rFonts w:ascii="Arial" w:cs="Arial" w:eastAsia="Arial" w:hAnsi="Arial"/>
                <w:sz w:val="12"/>
                <w:szCs w:val="12"/>
                <w:b w:val="1"/>
                <w:bCs w:val="1"/>
                <w:color w:val="auto"/>
                <w:w w:val="98"/>
              </w:rPr>
              <w:t>-</w:t>
            </w:r>
          </w:p>
        </w:tc>
        <w:tc>
          <w:tcPr>
            <w:tcW w:w="5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9"/>
              </w:rPr>
              <w:t>265</w:t>
            </w:r>
          </w:p>
        </w:tc>
        <w:tc>
          <w:tcPr>
            <w:tcW w:w="5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9"/>
              </w:rPr>
              <w:t>297</w:t>
            </w:r>
          </w:p>
        </w:tc>
        <w:tc>
          <w:tcPr>
            <w:tcW w:w="540" w:type="dxa"/>
            <w:vAlign w:val="bottom"/>
            <w:tcBorders>
              <w:right w:val="single" w:sz="8" w:color="auto"/>
            </w:tcBorders>
            <w:gridSpan w:val="2"/>
          </w:tcPr>
          <w:p>
            <w:pPr>
              <w:jc w:val="center"/>
              <w:ind w:right="20"/>
              <w:spacing w:after="0" w:line="126" w:lineRule="exact"/>
              <w:rPr>
                <w:sz w:val="20"/>
                <w:szCs w:val="20"/>
                <w:color w:val="auto"/>
              </w:rPr>
            </w:pPr>
            <w:r>
              <w:rPr>
                <w:rFonts w:ascii="Arial" w:cs="Arial" w:eastAsia="Arial" w:hAnsi="Arial"/>
                <w:sz w:val="12"/>
                <w:szCs w:val="12"/>
                <w:b w:val="1"/>
                <w:bCs w:val="1"/>
                <w:color w:val="auto"/>
                <w:w w:val="99"/>
              </w:rPr>
              <w:t>303</w:t>
            </w:r>
          </w:p>
        </w:tc>
        <w:tc>
          <w:tcPr>
            <w:tcW w:w="560" w:type="dxa"/>
            <w:vAlign w:val="bottom"/>
            <w:tcBorders>
              <w:lef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4"/>
              </w:rPr>
              <w:t>1.8%</w:t>
            </w:r>
          </w:p>
        </w:tc>
        <w:tc>
          <w:tcPr>
            <w:tcW w:w="5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14.1%</w:t>
            </w:r>
          </w:p>
        </w:tc>
        <w:tc>
          <w:tcPr>
            <w:tcW w:w="5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8"/>
              </w:rPr>
              <w:t>100.0%</w:t>
            </w: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tcPr>
          <w:p>
            <w:pPr>
              <w:ind w:left="60"/>
              <w:spacing w:after="0" w:line="126" w:lineRule="exact"/>
              <w:rPr>
                <w:sz w:val="20"/>
                <w:szCs w:val="20"/>
                <w:color w:val="auto"/>
              </w:rPr>
            </w:pPr>
            <w:r>
              <w:rPr>
                <w:rFonts w:ascii="Arial" w:cs="Arial" w:eastAsia="Arial" w:hAnsi="Arial"/>
                <w:sz w:val="12"/>
                <w:szCs w:val="12"/>
                <w:b w:val="1"/>
                <w:bCs w:val="1"/>
                <w:color w:val="auto"/>
              </w:rPr>
              <w:t>Bolivia</w:t>
            </w:r>
          </w:p>
        </w:tc>
        <w:tc>
          <w:tcPr>
            <w:tcW w:w="5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62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8"/>
              </w:rPr>
              <w:t>-</w:t>
            </w:r>
          </w:p>
        </w:tc>
        <w:tc>
          <w:tcPr>
            <w:tcW w:w="580" w:type="dxa"/>
            <w:vAlign w:val="bottom"/>
          </w:tcPr>
          <w:p>
            <w:pPr>
              <w:jc w:val="center"/>
              <w:ind w:left="41"/>
              <w:spacing w:after="0" w:line="126" w:lineRule="exact"/>
              <w:rPr>
                <w:sz w:val="20"/>
                <w:szCs w:val="20"/>
                <w:color w:val="auto"/>
              </w:rPr>
            </w:pPr>
            <w:r>
              <w:rPr>
                <w:rFonts w:ascii="Arial" w:cs="Arial" w:eastAsia="Arial" w:hAnsi="Arial"/>
                <w:sz w:val="12"/>
                <w:szCs w:val="12"/>
                <w:b w:val="1"/>
                <w:bCs w:val="1"/>
                <w:color w:val="auto"/>
                <w:w w:val="98"/>
              </w:rPr>
              <w:t>-</w:t>
            </w:r>
          </w:p>
        </w:tc>
        <w:tc>
          <w:tcPr>
            <w:tcW w:w="6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40" w:type="dxa"/>
            <w:vAlign w:val="bottom"/>
            <w:tcBorders>
              <w:right w:val="single" w:sz="8" w:color="auto"/>
            </w:tcBorders>
          </w:tcPr>
          <w:p>
            <w:pPr>
              <w:jc w:val="center"/>
              <w:ind w:right="1"/>
              <w:spacing w:after="0" w:line="126" w:lineRule="exact"/>
              <w:rPr>
                <w:sz w:val="20"/>
                <w:szCs w:val="20"/>
                <w:color w:val="auto"/>
              </w:rPr>
            </w:pPr>
            <w:r>
              <w:rPr>
                <w:rFonts w:ascii="Arial" w:cs="Arial" w:eastAsia="Arial" w:hAnsi="Arial"/>
                <w:sz w:val="12"/>
                <w:szCs w:val="12"/>
                <w:b w:val="1"/>
                <w:bCs w:val="1"/>
                <w:color w:val="auto"/>
                <w:w w:val="98"/>
              </w:rPr>
              <w:t>-</w:t>
            </w:r>
          </w:p>
        </w:tc>
        <w:tc>
          <w:tcPr>
            <w:tcW w:w="5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8"/>
              </w:rPr>
              <w:t>-</w:t>
            </w:r>
          </w:p>
        </w:tc>
        <w:tc>
          <w:tcPr>
            <w:tcW w:w="5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9"/>
              </w:rPr>
              <w:t>2,300</w:t>
            </w:r>
          </w:p>
        </w:tc>
        <w:tc>
          <w:tcPr>
            <w:tcW w:w="5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9"/>
              </w:rPr>
              <w:t>2,297</w:t>
            </w:r>
          </w:p>
        </w:tc>
        <w:tc>
          <w:tcPr>
            <w:tcW w:w="540" w:type="dxa"/>
            <w:vAlign w:val="bottom"/>
            <w:tcBorders>
              <w:right w:val="single" w:sz="8" w:color="auto"/>
            </w:tcBorders>
            <w:gridSpan w:val="2"/>
          </w:tcPr>
          <w:p>
            <w:pPr>
              <w:jc w:val="center"/>
              <w:ind w:right="20"/>
              <w:spacing w:after="0" w:line="126" w:lineRule="exact"/>
              <w:rPr>
                <w:sz w:val="20"/>
                <w:szCs w:val="20"/>
                <w:color w:val="auto"/>
              </w:rPr>
            </w:pPr>
            <w:r>
              <w:rPr>
                <w:rFonts w:ascii="Arial" w:cs="Arial" w:eastAsia="Arial" w:hAnsi="Arial"/>
                <w:sz w:val="12"/>
                <w:szCs w:val="12"/>
                <w:b w:val="1"/>
                <w:bCs w:val="1"/>
                <w:color w:val="auto"/>
                <w:w w:val="93"/>
              </w:rPr>
              <w:t>2,326</w:t>
            </w:r>
          </w:p>
        </w:tc>
        <w:tc>
          <w:tcPr>
            <w:tcW w:w="560" w:type="dxa"/>
            <w:vAlign w:val="bottom"/>
            <w:tcBorders>
              <w:lef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4"/>
              </w:rPr>
              <w:t>1.3%</w:t>
            </w:r>
          </w:p>
        </w:tc>
        <w:tc>
          <w:tcPr>
            <w:tcW w:w="5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4"/>
              </w:rPr>
              <w:t>1.1%</w:t>
            </w:r>
          </w:p>
        </w:tc>
        <w:tc>
          <w:tcPr>
            <w:tcW w:w="520" w:type="dxa"/>
            <w:vAlign w:val="bottom"/>
          </w:tcPr>
          <w:p>
            <w:pPr>
              <w:ind w:left="200"/>
              <w:spacing w:after="0" w:line="126"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8"/>
              </w:rPr>
              <w:t>100.0%</w:t>
            </w: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ASB Bank Corp.</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w:t>
            </w:r>
          </w:p>
        </w:tc>
        <w:tc>
          <w:tcPr>
            <w:tcW w:w="62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98"/>
              </w:rPr>
              <w:t>-</w:t>
            </w:r>
          </w:p>
        </w:tc>
        <w:tc>
          <w:tcPr>
            <w:tcW w:w="580" w:type="dxa"/>
            <w:vAlign w:val="bottom"/>
            <w:tcBorders>
              <w:bottom w:val="single" w:sz="8" w:color="auto"/>
            </w:tcBorders>
          </w:tcPr>
          <w:p>
            <w:pPr>
              <w:jc w:val="center"/>
              <w:ind w:left="41"/>
              <w:spacing w:after="0"/>
              <w:rPr>
                <w:sz w:val="20"/>
                <w:szCs w:val="20"/>
                <w:color w:val="auto"/>
              </w:rPr>
            </w:pPr>
            <w:r>
              <w:rPr>
                <w:rFonts w:ascii="Arial" w:cs="Arial" w:eastAsia="Arial" w:hAnsi="Arial"/>
                <w:sz w:val="12"/>
                <w:szCs w:val="12"/>
                <w:b w:val="1"/>
                <w:bCs w:val="1"/>
                <w:color w:val="auto"/>
                <w:w w:val="98"/>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w:t>
            </w:r>
          </w:p>
        </w:tc>
        <w:tc>
          <w:tcPr>
            <w:tcW w:w="54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98"/>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576</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525</w:t>
            </w:r>
          </w:p>
        </w:tc>
        <w:tc>
          <w:tcPr>
            <w:tcW w:w="54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2"/>
                <w:szCs w:val="12"/>
                <w:b w:val="1"/>
                <w:bCs w:val="1"/>
                <w:color w:val="auto"/>
                <w:w w:val="99"/>
              </w:rPr>
              <w:t>525</w:t>
            </w:r>
          </w:p>
        </w:tc>
        <w:tc>
          <w:tcPr>
            <w:tcW w:w="56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0.0%</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-7.6%</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100.0%</w:t>
            </w: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bottom w:val="single" w:sz="8" w:color="auto"/>
              <w:right w:val="single" w:sz="8" w:color="auto"/>
            </w:tcBorders>
          </w:tcPr>
          <w:p>
            <w:pPr>
              <w:ind w:left="60"/>
              <w:spacing w:after="0" w:line="126" w:lineRule="exact"/>
              <w:rPr>
                <w:sz w:val="20"/>
                <w:szCs w:val="20"/>
                <w:color w:val="auto"/>
              </w:rPr>
            </w:pPr>
            <w:r>
              <w:rPr>
                <w:rFonts w:ascii="Arial" w:cs="Arial" w:eastAsia="Arial" w:hAnsi="Arial"/>
                <w:sz w:val="12"/>
                <w:szCs w:val="12"/>
                <w:b w:val="1"/>
                <w:bCs w:val="1"/>
                <w:color w:val="auto"/>
              </w:rPr>
              <w:t>Total loans</w:t>
            </w:r>
          </w:p>
        </w:tc>
        <w:tc>
          <w:tcPr>
            <w:tcW w:w="56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97,472</w:t>
            </w:r>
          </w:p>
        </w:tc>
        <w:tc>
          <w:tcPr>
            <w:tcW w:w="56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99,684</w:t>
            </w:r>
          </w:p>
        </w:tc>
        <w:tc>
          <w:tcPr>
            <w:tcW w:w="620" w:type="dxa"/>
            <w:vAlign w:val="bottom"/>
            <w:tcBorders>
              <w:bottom w:val="single" w:sz="8" w:color="auto"/>
            </w:tcBorders>
          </w:tcPr>
          <w:p>
            <w:pPr>
              <w:jc w:val="center"/>
              <w:ind w:right="1"/>
              <w:spacing w:after="0" w:line="126" w:lineRule="exact"/>
              <w:rPr>
                <w:sz w:val="20"/>
                <w:szCs w:val="20"/>
                <w:color w:val="auto"/>
              </w:rPr>
            </w:pPr>
            <w:r>
              <w:rPr>
                <w:rFonts w:ascii="Arial" w:cs="Arial" w:eastAsia="Arial" w:hAnsi="Arial"/>
                <w:sz w:val="12"/>
                <w:szCs w:val="12"/>
                <w:b w:val="1"/>
                <w:bCs w:val="1"/>
                <w:color w:val="auto"/>
                <w:w w:val="97"/>
              </w:rPr>
              <w:t>98,860</w:t>
            </w:r>
          </w:p>
        </w:tc>
        <w:tc>
          <w:tcPr>
            <w:tcW w:w="580" w:type="dxa"/>
            <w:vAlign w:val="bottom"/>
            <w:tcBorders>
              <w:bottom w:val="single" w:sz="8" w:color="auto"/>
            </w:tcBorders>
          </w:tcPr>
          <w:p>
            <w:pPr>
              <w:jc w:val="center"/>
              <w:ind w:left="41"/>
              <w:spacing w:after="0" w:line="126" w:lineRule="exact"/>
              <w:rPr>
                <w:sz w:val="20"/>
                <w:szCs w:val="20"/>
                <w:color w:val="auto"/>
              </w:rPr>
            </w:pPr>
            <w:r>
              <w:rPr>
                <w:rFonts w:ascii="Arial" w:cs="Arial" w:eastAsia="Arial" w:hAnsi="Arial"/>
                <w:sz w:val="12"/>
                <w:szCs w:val="12"/>
                <w:b w:val="1"/>
                <w:bCs w:val="1"/>
                <w:color w:val="auto"/>
                <w:w w:val="97"/>
              </w:rPr>
              <w:t>77,740</w:t>
            </w:r>
          </w:p>
        </w:tc>
        <w:tc>
          <w:tcPr>
            <w:tcW w:w="64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86,356</w:t>
            </w:r>
          </w:p>
        </w:tc>
        <w:tc>
          <w:tcPr>
            <w:tcW w:w="540" w:type="dxa"/>
            <w:vAlign w:val="bottom"/>
            <w:tcBorders>
              <w:bottom w:val="single" w:sz="8" w:color="auto"/>
              <w:right w:val="single" w:sz="8" w:color="auto"/>
            </w:tcBorders>
          </w:tcPr>
          <w:p>
            <w:pPr>
              <w:jc w:val="center"/>
              <w:ind w:right="1"/>
              <w:spacing w:after="0" w:line="126" w:lineRule="exact"/>
              <w:rPr>
                <w:sz w:val="20"/>
                <w:szCs w:val="20"/>
                <w:color w:val="auto"/>
              </w:rPr>
            </w:pPr>
            <w:r>
              <w:rPr>
                <w:rFonts w:ascii="Arial" w:cs="Arial" w:eastAsia="Arial" w:hAnsi="Arial"/>
                <w:sz w:val="12"/>
                <w:szCs w:val="12"/>
                <w:b w:val="1"/>
                <w:bCs w:val="1"/>
                <w:color w:val="auto"/>
                <w:w w:val="97"/>
              </w:rPr>
              <w:t>88,099</w:t>
            </w:r>
          </w:p>
        </w:tc>
        <w:tc>
          <w:tcPr>
            <w:tcW w:w="56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5"/>
              </w:rPr>
              <w:t>-0.8%</w:t>
            </w:r>
          </w:p>
        </w:tc>
        <w:tc>
          <w:tcPr>
            <w:tcW w:w="58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1.4%</w:t>
            </w:r>
          </w:p>
        </w:tc>
        <w:tc>
          <w:tcPr>
            <w:tcW w:w="56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2.0%</w:t>
            </w:r>
          </w:p>
        </w:tc>
        <w:tc>
          <w:tcPr>
            <w:tcW w:w="58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13.3%</w:t>
            </w:r>
          </w:p>
        </w:tc>
        <w:tc>
          <w:tcPr>
            <w:tcW w:w="5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11,859</w:t>
            </w:r>
          </w:p>
        </w:tc>
        <w:tc>
          <w:tcPr>
            <w:tcW w:w="58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2"/>
              </w:rPr>
              <w:t>13,005</w:t>
            </w:r>
          </w:p>
        </w:tc>
        <w:tc>
          <w:tcPr>
            <w:tcW w:w="540" w:type="dxa"/>
            <w:vAlign w:val="bottom"/>
            <w:tcBorders>
              <w:bottom w:val="single" w:sz="8" w:color="auto"/>
              <w:right w:val="single" w:sz="8" w:color="auto"/>
            </w:tcBorders>
            <w:gridSpan w:val="2"/>
          </w:tcPr>
          <w:p>
            <w:pPr>
              <w:jc w:val="center"/>
              <w:ind w:right="20"/>
              <w:spacing w:after="0" w:line="126" w:lineRule="exact"/>
              <w:rPr>
                <w:sz w:val="20"/>
                <w:szCs w:val="20"/>
                <w:color w:val="auto"/>
              </w:rPr>
            </w:pPr>
            <w:r>
              <w:rPr>
                <w:rFonts w:ascii="Arial" w:cs="Arial" w:eastAsia="Arial" w:hAnsi="Arial"/>
                <w:sz w:val="12"/>
                <w:szCs w:val="12"/>
                <w:b w:val="1"/>
                <w:bCs w:val="1"/>
                <w:color w:val="auto"/>
                <w:w w:val="97"/>
              </w:rPr>
              <w:t>12,955</w:t>
            </w:r>
          </w:p>
        </w:tc>
        <w:tc>
          <w:tcPr>
            <w:tcW w:w="560" w:type="dxa"/>
            <w:vAlign w:val="bottom"/>
            <w:tcBorders>
              <w:left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5"/>
              </w:rPr>
              <w:t>-0.4%</w:t>
            </w:r>
          </w:p>
        </w:tc>
        <w:tc>
          <w:tcPr>
            <w:tcW w:w="56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4"/>
              </w:rPr>
              <w:t>9.3%</w:t>
            </w:r>
          </w:p>
        </w:tc>
        <w:tc>
          <w:tcPr>
            <w:tcW w:w="5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66.3%</w:t>
            </w:r>
          </w:p>
        </w:tc>
        <w:tc>
          <w:tcPr>
            <w:tcW w:w="58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33.7%</w:t>
            </w:r>
          </w:p>
        </w:tc>
        <w:tc>
          <w:tcPr>
            <w:tcW w:w="0" w:type="dxa"/>
            <w:vAlign w:val="bottom"/>
          </w:tcPr>
          <w:p>
            <w:pPr>
              <w:spacing w:after="0"/>
              <w:rPr>
                <w:sz w:val="1"/>
                <w:szCs w:val="1"/>
                <w:color w:val="auto"/>
              </w:rPr>
            </w:pPr>
          </w:p>
        </w:tc>
      </w:tr>
      <w:tr>
        <w:trPr>
          <w:trHeight w:val="38"/>
        </w:trPr>
        <w:tc>
          <w:tcPr>
            <w:tcW w:w="2720" w:type="dxa"/>
            <w:vAlign w:val="bottom"/>
            <w:gridSpan w:val="3"/>
            <w:vMerge w:val="restart"/>
          </w:tcPr>
          <w:p>
            <w:pPr>
              <w:spacing w:after="0"/>
              <w:rPr>
                <w:sz w:val="20"/>
                <w:szCs w:val="20"/>
                <w:color w:val="auto"/>
              </w:rPr>
            </w:pPr>
            <w:r>
              <w:rPr>
                <w:rFonts w:ascii="Arial" w:cs="Arial" w:eastAsia="Arial" w:hAnsi="Arial"/>
                <w:sz w:val="12"/>
                <w:szCs w:val="12"/>
                <w:color w:val="auto"/>
              </w:rPr>
              <w:t>(1) Includes Work out unit, and other banking.</w:t>
            </w: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2"/>
                <w:szCs w:val="12"/>
                <w:color w:val="auto"/>
              </w:rPr>
              <w:t>Higher volume contracted</w:t>
            </w: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72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E93CAC"/>
            </w:tcBorders>
            <w:shd w:val="clear" w:color="auto" w:fill="E93CAC"/>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160" w:type="dxa"/>
            <w:vAlign w:val="bottom"/>
            <w:gridSpan w:val="2"/>
            <w:vMerge w:val="restart"/>
          </w:tcPr>
          <w:p>
            <w:pPr>
              <w:spacing w:after="0"/>
              <w:rPr>
                <w:sz w:val="20"/>
                <w:szCs w:val="20"/>
                <w:color w:val="auto"/>
              </w:rPr>
            </w:pPr>
            <w:r>
              <w:rPr>
                <w:rFonts w:ascii="Arial" w:cs="Arial" w:eastAsia="Arial" w:hAnsi="Arial"/>
                <w:sz w:val="12"/>
                <w:szCs w:val="12"/>
                <w:color w:val="auto"/>
              </w:rPr>
              <w:t>(2) Internal Management Figures.</w:t>
            </w: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2"/>
                <w:szCs w:val="12"/>
                <w:color w:val="auto"/>
              </w:rPr>
              <w:t>Higher volume expansion</w:t>
            </w: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16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right w:val="single" w:sz="8" w:color="26D07C"/>
            </w:tcBorders>
            <w:shd w:val="clear" w:color="auto" w:fill="26D07C"/>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-1541145</wp:posOffset>
            </wp:positionV>
            <wp:extent cx="10382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38225" cy="8255"/>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-1541145</wp:posOffset>
            </wp:positionV>
            <wp:extent cx="22129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12975" cy="8255"/>
                    </a:xfrm>
                    <a:prstGeom prst="rect">
                      <a:avLst/>
                    </a:prstGeom>
                    <a:noFill/>
                  </pic:spPr>
                </pic:pic>
              </a:graphicData>
            </a:graphic>
          </wp:anchor>
        </w:drawing>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At the end of December 2022, the dollarization level of structural loans fell 74 bps in QoQ terms (36.4% in Dec22). This evolution was driven by growth in retail banking loans in soles (the majority of this portfolio is LC-denominated) and by downward pressures on the US Dollar, which impacted Wholesale Banking and SME Business at BCP Stand-alone. Structural loans in LC rose 2.0%, led by SME-Pyme followed by Consumer.</w:t>
      </w:r>
    </w:p>
    <w:p>
      <w:pPr>
        <w:spacing w:after="0" w:line="135"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714184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9" w:name="page20"/>
    <w:bookmarkEnd w:id="19"/>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2393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845" cy="239395"/>
                    </a:xfrm>
                    <a:prstGeom prst="rect">
                      <a:avLst/>
                    </a:prstGeom>
                    <a:noFill/>
                  </pic:spPr>
                </pic:pic>
              </a:graphicData>
            </a:graphic>
          </wp:anchor>
        </w:drawing>
      </w:r>
    </w:p>
    <w:p>
      <w:pPr>
        <w:spacing w:after="0" w:line="37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01. Loan Portfolio</w:t>
      </w:r>
    </w:p>
    <w:p>
      <w:pPr>
        <w:spacing w:after="0" w:line="8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YoY, the dollarization level of the structural portfolio fell (-160bps). This evolution was attributable to the fact that the uptick in LC loans (13.3%) outpaced the growth registered in FC (+9.3%). The increase in LC was led by the Consumer, Mortgage and SME-Pyme segments at BCP Stand-alone, which benefitted from economic reactivation and entries into new segments. In FC, the increase was driven by Wholesale Banking.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of the Dollarization Level of Structural 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126365</wp:posOffset>
            </wp:positionV>
            <wp:extent cx="6614160" cy="18611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416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0" w:hanging="179"/>
        <w:spacing w:after="0"/>
        <w:tabs>
          <w:tab w:leader="none" w:pos="1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FC share of Credicorp’s loan portfolio is calculated including BCP Bolivia and ASB Bank Corp., however the chart shows only the loan books of BCP Stand-alone and Mibanco.</w:t>
      </w:r>
    </w:p>
    <w:p>
      <w:pPr>
        <w:ind w:right="1640" w:firstLine="1"/>
        <w:spacing w:after="0" w:line="234" w:lineRule="auto"/>
        <w:tabs>
          <w:tab w:leader="none" w:pos="176"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year with the historic maximum level of dollarization for Wholesale Banking was 2012, for Mibanco was 2016, for Credit Card was in 2021 and for the rest of segments was 2009. * For dollarization figures in quarter-end period, please refer to “12. Annexes – 12.2 Loan Portfolio Quality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Evolution in Quarter-end Balances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Structural loans remained relatively stable, registering a reduction of -0.1% QoQ in quarter-end balances. If we isolate the impact o the exchange rate, structural loans grew 0.1% QoQ, driven by the same factors as those seen in the quarterly analysis of average daily balances. If we include the contraction of GP loans in the analysis, total loans increased 0.7% QoQ (-0.7% excluding the exchange rate effect).</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QoQ, structural loans rose 7.9%. If we exclude the exchange rate effect, structural loans grew 27.3% due to the same factors discussed in the analysis of average daily balances. If we include the drop in GP loans in the calculation, total loans increased 0.7% YoY.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Portfolio Quality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Quality of the Structural Portfolio (in Quarter-end balances)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50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Structural Portfolio quality and Delinquency ratios (1)</w:t>
            </w:r>
          </w:p>
        </w:tc>
        <w:tc>
          <w:tcPr>
            <w:tcW w:w="1400" w:type="dxa"/>
            <w:vAlign w:val="bottom"/>
            <w:tcBorders>
              <w:top w:val="single" w:sz="8" w:color="auto"/>
            </w:tcBorders>
            <w:shd w:val="clear" w:color="auto" w:fill="2AD2C9"/>
          </w:tcPr>
          <w:p>
            <w:pPr>
              <w:spacing w:after="0"/>
              <w:rPr>
                <w:sz w:val="18"/>
                <w:szCs w:val="18"/>
                <w:color w:val="auto"/>
              </w:rPr>
            </w:pPr>
          </w:p>
        </w:tc>
        <w:tc>
          <w:tcPr>
            <w:tcW w:w="1220" w:type="dxa"/>
            <w:vAlign w:val="bottom"/>
            <w:tcBorders>
              <w:top w:val="single" w:sz="8" w:color="auto"/>
            </w:tcBorders>
            <w:shd w:val="clear" w:color="auto" w:fill="2AD2C9"/>
          </w:tcPr>
          <w:p>
            <w:pPr>
              <w:jc w:val="right"/>
              <w:ind w:right="553"/>
              <w:spacing w:after="0"/>
              <w:rPr>
                <w:sz w:val="20"/>
                <w:szCs w:val="20"/>
                <w:color w:val="auto"/>
              </w:rPr>
            </w:pPr>
            <w:r>
              <w:rPr>
                <w:rFonts w:ascii="Arial" w:cs="Arial" w:eastAsia="Arial" w:hAnsi="Arial"/>
                <w:sz w:val="13"/>
                <w:szCs w:val="13"/>
                <w:b w:val="1"/>
                <w:bCs w:val="1"/>
                <w:color w:val="FFFFFF"/>
              </w:rPr>
              <w:t>As of</w:t>
            </w:r>
          </w:p>
        </w:tc>
        <w:tc>
          <w:tcPr>
            <w:tcW w:w="1080" w:type="dxa"/>
            <w:vAlign w:val="bottom"/>
            <w:tcBorders>
              <w:top w:val="single" w:sz="8" w:color="auto"/>
              <w:right w:val="single" w:sz="8" w:color="auto"/>
            </w:tcBorders>
            <w:shd w:val="clear" w:color="auto" w:fill="2AD2C9"/>
          </w:tcPr>
          <w:p>
            <w:pPr>
              <w:spacing w:after="0"/>
              <w:rPr>
                <w:sz w:val="18"/>
                <w:szCs w:val="18"/>
                <w:color w:val="auto"/>
              </w:rPr>
            </w:pPr>
          </w:p>
        </w:tc>
        <w:tc>
          <w:tcPr>
            <w:tcW w:w="880" w:type="dxa"/>
            <w:vAlign w:val="bottom"/>
            <w:tcBorders>
              <w:top w:val="single" w:sz="8" w:color="auto"/>
            </w:tcBorders>
            <w:shd w:val="clear" w:color="auto" w:fill="2AD2C9"/>
          </w:tcPr>
          <w:p>
            <w:pPr>
              <w:spacing w:after="0"/>
              <w:rPr>
                <w:sz w:val="18"/>
                <w:szCs w:val="18"/>
                <w:color w:val="auto"/>
              </w:rPr>
            </w:pPr>
          </w:p>
        </w:tc>
        <w:tc>
          <w:tcPr>
            <w:tcW w:w="1580" w:type="dxa"/>
            <w:vAlign w:val="bottom"/>
            <w:tcBorders>
              <w:top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 change</w:t>
            </w:r>
          </w:p>
        </w:tc>
      </w:tr>
      <w:tr>
        <w:trPr>
          <w:trHeight w:val="219"/>
        </w:trPr>
        <w:tc>
          <w:tcPr>
            <w:tcW w:w="5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000</w:t>
            </w:r>
          </w:p>
        </w:tc>
        <w:tc>
          <w:tcPr>
            <w:tcW w:w="1400" w:type="dxa"/>
            <w:vAlign w:val="bottom"/>
            <w:tcBorders>
              <w:bottom w:val="single" w:sz="8" w:color="auto"/>
            </w:tcBorders>
            <w:shd w:val="clear" w:color="auto" w:fill="2AD2C9"/>
          </w:tcPr>
          <w:p>
            <w:pPr>
              <w:jc w:val="right"/>
              <w:ind w:right="513"/>
              <w:spacing w:after="0"/>
              <w:rPr>
                <w:sz w:val="20"/>
                <w:szCs w:val="20"/>
                <w:color w:val="auto"/>
              </w:rPr>
            </w:pPr>
            <w:r>
              <w:rPr>
                <w:rFonts w:ascii="Arial" w:cs="Arial" w:eastAsia="Arial" w:hAnsi="Arial"/>
                <w:sz w:val="13"/>
                <w:szCs w:val="13"/>
                <w:b w:val="1"/>
                <w:bCs w:val="1"/>
                <w:color w:val="FFFFFF"/>
              </w:rPr>
              <w:t>Dec 21</w:t>
            </w:r>
          </w:p>
        </w:tc>
        <w:tc>
          <w:tcPr>
            <w:tcW w:w="1220" w:type="dxa"/>
            <w:vAlign w:val="bottom"/>
            <w:tcBorders>
              <w:bottom w:val="single" w:sz="8" w:color="auto"/>
            </w:tcBorders>
            <w:shd w:val="clear" w:color="auto" w:fill="2AD2C9"/>
          </w:tcPr>
          <w:p>
            <w:pPr>
              <w:jc w:val="right"/>
              <w:ind w:right="513"/>
              <w:spacing w:after="0"/>
              <w:rPr>
                <w:sz w:val="20"/>
                <w:szCs w:val="20"/>
                <w:color w:val="auto"/>
              </w:rPr>
            </w:pPr>
            <w:r>
              <w:rPr>
                <w:rFonts w:ascii="Arial" w:cs="Arial" w:eastAsia="Arial" w:hAnsi="Arial"/>
                <w:sz w:val="13"/>
                <w:szCs w:val="13"/>
                <w:b w:val="1"/>
                <w:bCs w:val="1"/>
                <w:color w:val="FFFFFF"/>
              </w:rPr>
              <w:t>Sep 22</w:t>
            </w:r>
          </w:p>
        </w:tc>
        <w:tc>
          <w:tcPr>
            <w:tcW w:w="1080" w:type="dxa"/>
            <w:vAlign w:val="bottom"/>
            <w:tcBorders>
              <w:bottom w:val="single" w:sz="8" w:color="auto"/>
              <w:right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Dec 22</w:t>
            </w:r>
          </w:p>
        </w:tc>
        <w:tc>
          <w:tcPr>
            <w:tcW w:w="880" w:type="dxa"/>
            <w:vAlign w:val="bottom"/>
            <w:tcBorders>
              <w:bottom w:val="single" w:sz="8" w:color="auto"/>
            </w:tcBorders>
            <w:shd w:val="clear" w:color="auto" w:fill="2AD2C9"/>
          </w:tcPr>
          <w:p>
            <w:pPr>
              <w:jc w:val="center"/>
              <w:ind w:left="233"/>
              <w:spacing w:after="0"/>
              <w:rPr>
                <w:sz w:val="20"/>
                <w:szCs w:val="20"/>
                <w:color w:val="auto"/>
              </w:rPr>
            </w:pPr>
            <w:r>
              <w:rPr>
                <w:rFonts w:ascii="Arial" w:cs="Arial" w:eastAsia="Arial" w:hAnsi="Arial"/>
                <w:sz w:val="13"/>
                <w:szCs w:val="13"/>
                <w:b w:val="1"/>
                <w:bCs w:val="1"/>
                <w:color w:val="FFFFFF"/>
              </w:rPr>
              <w:t>QoQ</w:t>
            </w:r>
          </w:p>
        </w:tc>
        <w:tc>
          <w:tcPr>
            <w:tcW w:w="1580" w:type="dxa"/>
            <w:vAlign w:val="bottom"/>
            <w:tcBorders>
              <w:bottom w:val="single" w:sz="8" w:color="auto"/>
              <w:right w:val="single" w:sz="8" w:color="auto"/>
            </w:tcBorders>
            <w:shd w:val="clear" w:color="auto" w:fill="2AD2C9"/>
          </w:tcPr>
          <w:p>
            <w:pPr>
              <w:jc w:val="center"/>
              <w:ind w:left="233"/>
              <w:spacing w:after="0"/>
              <w:rPr>
                <w:sz w:val="20"/>
                <w:szCs w:val="20"/>
                <w:color w:val="auto"/>
              </w:rPr>
            </w:pPr>
            <w:r>
              <w:rPr>
                <w:rFonts w:ascii="Arial" w:cs="Arial" w:eastAsia="Arial" w:hAnsi="Arial"/>
                <w:sz w:val="13"/>
                <w:szCs w:val="13"/>
                <w:b w:val="1"/>
                <w:bCs w:val="1"/>
                <w:color w:val="FFFFFF"/>
                <w:w w:val="94"/>
              </w:rPr>
              <w:t>YoY</w:t>
            </w:r>
          </w:p>
        </w:tc>
      </w:tr>
      <w:tr>
        <w:trPr>
          <w:trHeight w:val="156"/>
        </w:trPr>
        <w:tc>
          <w:tcPr>
            <w:tcW w:w="5080" w:type="dxa"/>
            <w:vAlign w:val="bottom"/>
            <w:tcBorders>
              <w:left w:val="single" w:sz="8" w:color="auto"/>
              <w:bottom w:val="single" w:sz="8" w:color="auto"/>
              <w:right w:val="single" w:sz="8" w:color="auto"/>
            </w:tcBorders>
          </w:tcPr>
          <w:p>
            <w:pPr>
              <w:ind w:left="20"/>
              <w:spacing w:after="0" w:line="151" w:lineRule="exact"/>
              <w:rPr>
                <w:sz w:val="20"/>
                <w:szCs w:val="20"/>
                <w:color w:val="auto"/>
              </w:rPr>
            </w:pPr>
            <w:r>
              <w:rPr>
                <w:rFonts w:ascii="Arial" w:cs="Arial" w:eastAsia="Arial" w:hAnsi="Arial"/>
                <w:sz w:val="11"/>
                <w:szCs w:val="11"/>
                <w:b w:val="1"/>
                <w:bCs w:val="1"/>
                <w:color w:val="auto"/>
              </w:rPr>
              <w:t>Structural loans (Quarter-end balance)</w:t>
            </w:r>
            <w:r>
              <w:rPr>
                <w:rFonts w:ascii="Arial" w:cs="Arial" w:eastAsia="Arial" w:hAnsi="Arial"/>
                <w:sz w:val="17"/>
                <w:szCs w:val="17"/>
                <w:b w:val="1"/>
                <w:bCs w:val="1"/>
                <w:color w:val="auto"/>
                <w:vertAlign w:val="superscript"/>
              </w:rPr>
              <w:t>(2)</w:t>
            </w: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128,956,585</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139,190,832</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139,115,242</w:t>
            </w:r>
          </w:p>
        </w:tc>
        <w:tc>
          <w:tcPr>
            <w:tcW w:w="8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b w:val="1"/>
                <w:bCs w:val="1"/>
                <w:color w:val="auto"/>
              </w:rPr>
              <w:t>-0.1%</w:t>
            </w:r>
          </w:p>
        </w:tc>
        <w:tc>
          <w:tcPr>
            <w:tcW w:w="158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7.9%</w:t>
            </w:r>
          </w:p>
        </w:tc>
      </w:tr>
      <w:tr>
        <w:trPr>
          <w:trHeight w:val="156"/>
        </w:trPr>
        <w:tc>
          <w:tcPr>
            <w:tcW w:w="5080" w:type="dxa"/>
            <w:vAlign w:val="bottom"/>
            <w:tcBorders>
              <w:left w:val="single" w:sz="8" w:color="auto"/>
              <w:bottom w:val="single" w:sz="8" w:color="auto"/>
              <w:right w:val="single" w:sz="8" w:color="auto"/>
            </w:tcBorders>
          </w:tcPr>
          <w:p>
            <w:pPr>
              <w:ind w:left="20"/>
              <w:spacing w:after="0" w:line="151" w:lineRule="exact"/>
              <w:rPr>
                <w:sz w:val="20"/>
                <w:szCs w:val="20"/>
                <w:color w:val="auto"/>
              </w:rPr>
            </w:pPr>
            <w:r>
              <w:rPr>
                <w:rFonts w:ascii="Arial" w:cs="Arial" w:eastAsia="Arial" w:hAnsi="Arial"/>
                <w:sz w:val="11"/>
                <w:szCs w:val="11"/>
                <w:color w:val="auto"/>
              </w:rPr>
              <w:t>Structural Allowance for loan losses</w:t>
            </w:r>
            <w:r>
              <w:rPr>
                <w:rFonts w:ascii="Arial" w:cs="Arial" w:eastAsia="Arial" w:hAnsi="Arial"/>
                <w:sz w:val="17"/>
                <w:szCs w:val="17"/>
                <w:color w:val="auto"/>
                <w:vertAlign w:val="superscript"/>
              </w:rPr>
              <w:t>(2)</w:t>
            </w: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8,280,467</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7,875,552</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7,733,575</w:t>
            </w:r>
          </w:p>
        </w:tc>
        <w:tc>
          <w:tcPr>
            <w:tcW w:w="8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-1.8%</w:t>
            </w:r>
          </w:p>
        </w:tc>
        <w:tc>
          <w:tcPr>
            <w:tcW w:w="1580" w:type="dxa"/>
            <w:vAlign w:val="bottom"/>
            <w:tcBorders>
              <w:bottom w:val="single" w:sz="8" w:color="auto"/>
              <w:right w:val="single" w:sz="8" w:color="auto"/>
            </w:tcBorders>
          </w:tcPr>
          <w:p>
            <w:pPr>
              <w:jc w:val="center"/>
              <w:ind w:left="233"/>
              <w:spacing w:after="0"/>
              <w:rPr>
                <w:sz w:val="20"/>
                <w:szCs w:val="20"/>
                <w:color w:val="auto"/>
              </w:rPr>
            </w:pPr>
            <w:r>
              <w:rPr>
                <w:rFonts w:ascii="Arial" w:cs="Arial" w:eastAsia="Arial" w:hAnsi="Arial"/>
                <w:sz w:val="13"/>
                <w:szCs w:val="13"/>
                <w:color w:val="auto"/>
              </w:rPr>
              <w:t>-6.6%</w:t>
            </w:r>
          </w:p>
        </w:tc>
      </w:tr>
      <w:tr>
        <w:trPr>
          <w:trHeight w:val="156"/>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Structural Write-offs</w:t>
            </w: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683,181</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837,924</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754,326</w:t>
            </w:r>
          </w:p>
        </w:tc>
        <w:tc>
          <w:tcPr>
            <w:tcW w:w="880" w:type="dxa"/>
            <w:vAlign w:val="bottom"/>
            <w:tcBorders>
              <w:bottom w:val="single" w:sz="8" w:color="auto"/>
            </w:tcBorders>
          </w:tcPr>
          <w:p>
            <w:pPr>
              <w:jc w:val="center"/>
              <w:ind w:left="233"/>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3"/>
                <w:szCs w:val="13"/>
                <w:color w:val="auto"/>
              </w:rPr>
              <w:t>10.4%</w:t>
            </w:r>
          </w:p>
        </w:tc>
      </w:tr>
      <w:tr>
        <w:trPr>
          <w:trHeight w:val="143"/>
        </w:trPr>
        <w:tc>
          <w:tcPr>
            <w:tcW w:w="508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Structural IOLs</w:t>
            </w:r>
          </w:p>
        </w:tc>
        <w:tc>
          <w:tcPr>
            <w:tcW w:w="1400" w:type="dxa"/>
            <w:vAlign w:val="bottom"/>
          </w:tcPr>
          <w:p>
            <w:pPr>
              <w:jc w:val="right"/>
              <w:ind w:right="133"/>
              <w:spacing w:after="0" w:line="144" w:lineRule="exact"/>
              <w:rPr>
                <w:sz w:val="20"/>
                <w:szCs w:val="20"/>
                <w:color w:val="auto"/>
              </w:rPr>
            </w:pPr>
            <w:r>
              <w:rPr>
                <w:rFonts w:ascii="Arial" w:cs="Arial" w:eastAsia="Arial" w:hAnsi="Arial"/>
                <w:sz w:val="13"/>
                <w:szCs w:val="13"/>
                <w:color w:val="auto"/>
              </w:rPr>
              <w:t>4,471,348</w:t>
            </w:r>
          </w:p>
        </w:tc>
        <w:tc>
          <w:tcPr>
            <w:tcW w:w="1220" w:type="dxa"/>
            <w:vAlign w:val="bottom"/>
          </w:tcPr>
          <w:p>
            <w:pPr>
              <w:jc w:val="right"/>
              <w:ind w:right="133"/>
              <w:spacing w:after="0" w:line="144" w:lineRule="exact"/>
              <w:rPr>
                <w:sz w:val="20"/>
                <w:szCs w:val="20"/>
                <w:color w:val="auto"/>
              </w:rPr>
            </w:pPr>
            <w:r>
              <w:rPr>
                <w:rFonts w:ascii="Arial" w:cs="Arial" w:eastAsia="Arial" w:hAnsi="Arial"/>
                <w:sz w:val="13"/>
                <w:szCs w:val="13"/>
                <w:color w:val="auto"/>
              </w:rPr>
              <w:t>5,037,163</w:t>
            </w:r>
          </w:p>
        </w:tc>
        <w:tc>
          <w:tcPr>
            <w:tcW w:w="108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4,791,245</w:t>
            </w:r>
          </w:p>
        </w:tc>
        <w:tc>
          <w:tcPr>
            <w:tcW w:w="880" w:type="dxa"/>
            <w:vAlign w:val="bottom"/>
          </w:tcPr>
          <w:p>
            <w:pPr>
              <w:jc w:val="center"/>
              <w:ind w:left="253"/>
              <w:spacing w:after="0" w:line="144" w:lineRule="exact"/>
              <w:rPr>
                <w:sz w:val="20"/>
                <w:szCs w:val="20"/>
                <w:color w:val="auto"/>
              </w:rPr>
            </w:pPr>
            <w:r>
              <w:rPr>
                <w:rFonts w:ascii="Arial" w:cs="Arial" w:eastAsia="Arial" w:hAnsi="Arial"/>
                <w:sz w:val="13"/>
                <w:szCs w:val="13"/>
                <w:color w:val="auto"/>
              </w:rPr>
              <w:t>-4.9%</w:t>
            </w:r>
          </w:p>
        </w:tc>
        <w:tc>
          <w:tcPr>
            <w:tcW w:w="1580" w:type="dxa"/>
            <w:vAlign w:val="bottom"/>
            <w:tcBorders>
              <w:right w:val="single" w:sz="8" w:color="auto"/>
            </w:tcBorders>
          </w:tcPr>
          <w:p>
            <w:pPr>
              <w:jc w:val="center"/>
              <w:ind w:left="213"/>
              <w:spacing w:after="0" w:line="144" w:lineRule="exact"/>
              <w:rPr>
                <w:sz w:val="20"/>
                <w:szCs w:val="20"/>
                <w:color w:val="auto"/>
              </w:rPr>
            </w:pPr>
            <w:r>
              <w:rPr>
                <w:rFonts w:ascii="Arial" w:cs="Arial" w:eastAsia="Arial" w:hAnsi="Arial"/>
                <w:sz w:val="13"/>
                <w:szCs w:val="13"/>
                <w:color w:val="auto"/>
              </w:rPr>
              <w:t>7.2%</w:t>
            </w:r>
          </w:p>
        </w:tc>
      </w:tr>
      <w:tr>
        <w:trPr>
          <w:trHeight w:val="151"/>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Structural Refinanced loans</w:t>
            </w:r>
          </w:p>
        </w:tc>
        <w:tc>
          <w:tcPr>
            <w:tcW w:w="1400" w:type="dxa"/>
            <w:vAlign w:val="bottom"/>
          </w:tcPr>
          <w:p>
            <w:pPr>
              <w:jc w:val="right"/>
              <w:ind w:right="133"/>
              <w:spacing w:after="0"/>
              <w:rPr>
                <w:sz w:val="20"/>
                <w:szCs w:val="20"/>
                <w:color w:val="auto"/>
              </w:rPr>
            </w:pPr>
            <w:r>
              <w:rPr>
                <w:rFonts w:ascii="Arial" w:cs="Arial" w:eastAsia="Arial" w:hAnsi="Arial"/>
                <w:sz w:val="13"/>
                <w:szCs w:val="13"/>
                <w:color w:val="auto"/>
              </w:rPr>
              <w:t>1,799,541</w:t>
            </w:r>
          </w:p>
        </w:tc>
        <w:tc>
          <w:tcPr>
            <w:tcW w:w="1220" w:type="dxa"/>
            <w:vAlign w:val="bottom"/>
          </w:tcPr>
          <w:p>
            <w:pPr>
              <w:jc w:val="right"/>
              <w:ind w:right="133"/>
              <w:spacing w:after="0"/>
              <w:rPr>
                <w:sz w:val="20"/>
                <w:szCs w:val="20"/>
                <w:color w:val="auto"/>
              </w:rPr>
            </w:pPr>
            <w:r>
              <w:rPr>
                <w:rFonts w:ascii="Arial" w:cs="Arial" w:eastAsia="Arial" w:hAnsi="Arial"/>
                <w:sz w:val="13"/>
                <w:szCs w:val="13"/>
                <w:color w:val="auto"/>
              </w:rPr>
              <w:t>1,808,982</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2,098,748</w:t>
            </w:r>
          </w:p>
        </w:tc>
        <w:tc>
          <w:tcPr>
            <w:tcW w:w="880" w:type="dxa"/>
            <w:vAlign w:val="bottom"/>
          </w:tcPr>
          <w:p>
            <w:pPr>
              <w:jc w:val="center"/>
              <w:ind w:left="233"/>
              <w:spacing w:after="0"/>
              <w:rPr>
                <w:sz w:val="20"/>
                <w:szCs w:val="20"/>
                <w:color w:val="auto"/>
              </w:rPr>
            </w:pPr>
            <w:r>
              <w:rPr>
                <w:rFonts w:ascii="Arial" w:cs="Arial" w:eastAsia="Arial" w:hAnsi="Arial"/>
                <w:sz w:val="13"/>
                <w:szCs w:val="13"/>
                <w:color w:val="auto"/>
              </w:rPr>
              <w:t>16.0%</w:t>
            </w:r>
          </w:p>
        </w:tc>
        <w:tc>
          <w:tcPr>
            <w:tcW w:w="158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16.6%</w:t>
            </w:r>
          </w:p>
        </w:tc>
      </w:tr>
      <w:tr>
        <w:trPr>
          <w:trHeight w:val="164"/>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Structural NPLs</w:t>
            </w: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6,270,889</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6,846,145</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6,889,993</w:t>
            </w:r>
          </w:p>
        </w:tc>
        <w:tc>
          <w:tcPr>
            <w:tcW w:w="880" w:type="dxa"/>
            <w:vAlign w:val="bottom"/>
            <w:tcBorders>
              <w:bottom w:val="single" w:sz="8" w:color="auto"/>
            </w:tcBorders>
          </w:tcPr>
          <w:p>
            <w:pPr>
              <w:jc w:val="center"/>
              <w:ind w:left="233"/>
              <w:spacing w:after="0"/>
              <w:rPr>
                <w:sz w:val="20"/>
                <w:szCs w:val="20"/>
                <w:color w:val="auto"/>
              </w:rPr>
            </w:pPr>
            <w:r>
              <w:rPr>
                <w:rFonts w:ascii="Arial" w:cs="Arial" w:eastAsia="Arial" w:hAnsi="Arial"/>
                <w:sz w:val="13"/>
                <w:szCs w:val="13"/>
                <w:color w:val="auto"/>
              </w:rPr>
              <w:t>0.6%</w:t>
            </w:r>
          </w:p>
        </w:tc>
        <w:tc>
          <w:tcPr>
            <w:tcW w:w="158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3"/>
                <w:szCs w:val="13"/>
                <w:color w:val="auto"/>
              </w:rPr>
              <w:t>9.9%</w:t>
            </w:r>
          </w:p>
        </w:tc>
      </w:tr>
      <w:tr>
        <w:trPr>
          <w:trHeight w:val="141"/>
        </w:trPr>
        <w:tc>
          <w:tcPr>
            <w:tcW w:w="5080" w:type="dxa"/>
            <w:vAlign w:val="bottom"/>
            <w:tcBorders>
              <w:left w:val="single" w:sz="8" w:color="auto"/>
              <w:right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Structural IOL ratio</w:t>
            </w:r>
          </w:p>
        </w:tc>
        <w:tc>
          <w:tcPr>
            <w:tcW w:w="14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3.47%</w:t>
            </w:r>
          </w:p>
        </w:tc>
        <w:tc>
          <w:tcPr>
            <w:tcW w:w="122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3.62%</w:t>
            </w:r>
          </w:p>
        </w:tc>
        <w:tc>
          <w:tcPr>
            <w:tcW w:w="108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3.44%</w:t>
            </w:r>
          </w:p>
        </w:tc>
        <w:tc>
          <w:tcPr>
            <w:tcW w:w="880" w:type="dxa"/>
            <w:vAlign w:val="bottom"/>
          </w:tcPr>
          <w:p>
            <w:pPr>
              <w:jc w:val="center"/>
              <w:ind w:left="253"/>
              <w:spacing w:after="0" w:line="142" w:lineRule="exact"/>
              <w:rPr>
                <w:sz w:val="20"/>
                <w:szCs w:val="20"/>
                <w:color w:val="auto"/>
              </w:rPr>
            </w:pPr>
            <w:r>
              <w:rPr>
                <w:rFonts w:ascii="Arial" w:cs="Arial" w:eastAsia="Arial" w:hAnsi="Arial"/>
                <w:sz w:val="13"/>
                <w:szCs w:val="13"/>
                <w:color w:val="auto"/>
              </w:rPr>
              <w:t>-18 bps</w:t>
            </w:r>
          </w:p>
        </w:tc>
        <w:tc>
          <w:tcPr>
            <w:tcW w:w="1580" w:type="dxa"/>
            <w:vAlign w:val="bottom"/>
            <w:tcBorders>
              <w:right w:val="single" w:sz="8" w:color="auto"/>
            </w:tcBorders>
          </w:tcPr>
          <w:p>
            <w:pPr>
              <w:jc w:val="center"/>
              <w:ind w:left="213"/>
              <w:spacing w:after="0" w:line="142" w:lineRule="exact"/>
              <w:rPr>
                <w:sz w:val="20"/>
                <w:szCs w:val="20"/>
                <w:color w:val="auto"/>
              </w:rPr>
            </w:pPr>
            <w:r>
              <w:rPr>
                <w:rFonts w:ascii="Arial" w:cs="Arial" w:eastAsia="Arial" w:hAnsi="Arial"/>
                <w:sz w:val="13"/>
                <w:szCs w:val="13"/>
                <w:color w:val="auto"/>
              </w:rPr>
              <w:t>-3 bps</w:t>
            </w:r>
          </w:p>
        </w:tc>
      </w:tr>
      <w:tr>
        <w:trPr>
          <w:trHeight w:val="151"/>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Structural NPL ratio</w:t>
            </w:r>
          </w:p>
        </w:tc>
        <w:tc>
          <w:tcPr>
            <w:tcW w:w="1400" w:type="dxa"/>
            <w:vAlign w:val="bottom"/>
          </w:tcPr>
          <w:p>
            <w:pPr>
              <w:jc w:val="right"/>
              <w:ind w:right="133"/>
              <w:spacing w:after="0"/>
              <w:rPr>
                <w:sz w:val="20"/>
                <w:szCs w:val="20"/>
                <w:color w:val="auto"/>
              </w:rPr>
            </w:pPr>
            <w:r>
              <w:rPr>
                <w:rFonts w:ascii="Arial" w:cs="Arial" w:eastAsia="Arial" w:hAnsi="Arial"/>
                <w:sz w:val="13"/>
                <w:szCs w:val="13"/>
                <w:b w:val="1"/>
                <w:bCs w:val="1"/>
                <w:color w:val="auto"/>
              </w:rPr>
              <w:t>4.86%</w:t>
            </w:r>
          </w:p>
        </w:tc>
        <w:tc>
          <w:tcPr>
            <w:tcW w:w="1220" w:type="dxa"/>
            <w:vAlign w:val="bottom"/>
          </w:tcPr>
          <w:p>
            <w:pPr>
              <w:jc w:val="right"/>
              <w:ind w:right="133"/>
              <w:spacing w:after="0"/>
              <w:rPr>
                <w:sz w:val="20"/>
                <w:szCs w:val="20"/>
                <w:color w:val="auto"/>
              </w:rPr>
            </w:pPr>
            <w:r>
              <w:rPr>
                <w:rFonts w:ascii="Arial" w:cs="Arial" w:eastAsia="Arial" w:hAnsi="Arial"/>
                <w:sz w:val="13"/>
                <w:szCs w:val="13"/>
                <w:b w:val="1"/>
                <w:bCs w:val="1"/>
                <w:color w:val="auto"/>
              </w:rPr>
              <w:t>4.92%</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4.95%</w:t>
            </w:r>
          </w:p>
        </w:tc>
        <w:tc>
          <w:tcPr>
            <w:tcW w:w="880" w:type="dxa"/>
            <w:vAlign w:val="bottom"/>
          </w:tcPr>
          <w:p>
            <w:pPr>
              <w:jc w:val="center"/>
              <w:ind w:left="253"/>
              <w:spacing w:after="0"/>
              <w:rPr>
                <w:sz w:val="20"/>
                <w:szCs w:val="20"/>
                <w:color w:val="auto"/>
              </w:rPr>
            </w:pPr>
            <w:r>
              <w:rPr>
                <w:rFonts w:ascii="Arial" w:cs="Arial" w:eastAsia="Arial" w:hAnsi="Arial"/>
                <w:sz w:val="13"/>
                <w:szCs w:val="13"/>
                <w:color w:val="auto"/>
              </w:rPr>
              <w:t>3 bps</w:t>
            </w:r>
          </w:p>
        </w:tc>
        <w:tc>
          <w:tcPr>
            <w:tcW w:w="158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9 bps</w:t>
            </w:r>
          </w:p>
        </w:tc>
      </w:tr>
      <w:tr>
        <w:trPr>
          <w:trHeight w:val="153"/>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Structural Allowance for loan losses over Structural loans</w:t>
            </w:r>
          </w:p>
        </w:tc>
        <w:tc>
          <w:tcPr>
            <w:tcW w:w="1400" w:type="dxa"/>
            <w:vAlign w:val="bottom"/>
          </w:tcPr>
          <w:p>
            <w:pPr>
              <w:jc w:val="right"/>
              <w:ind w:right="133"/>
              <w:spacing w:after="0"/>
              <w:rPr>
                <w:sz w:val="20"/>
                <w:szCs w:val="20"/>
                <w:color w:val="auto"/>
              </w:rPr>
            </w:pPr>
            <w:r>
              <w:rPr>
                <w:rFonts w:ascii="Arial" w:cs="Arial" w:eastAsia="Arial" w:hAnsi="Arial"/>
                <w:sz w:val="13"/>
                <w:szCs w:val="13"/>
                <w:b w:val="1"/>
                <w:bCs w:val="1"/>
                <w:color w:val="auto"/>
              </w:rPr>
              <w:t>6.4%</w:t>
            </w:r>
          </w:p>
        </w:tc>
        <w:tc>
          <w:tcPr>
            <w:tcW w:w="1220" w:type="dxa"/>
            <w:vAlign w:val="bottom"/>
          </w:tcPr>
          <w:p>
            <w:pPr>
              <w:jc w:val="right"/>
              <w:ind w:right="133"/>
              <w:spacing w:after="0"/>
              <w:rPr>
                <w:sz w:val="20"/>
                <w:szCs w:val="20"/>
                <w:color w:val="auto"/>
              </w:rPr>
            </w:pPr>
            <w:r>
              <w:rPr>
                <w:rFonts w:ascii="Arial" w:cs="Arial" w:eastAsia="Arial" w:hAnsi="Arial"/>
                <w:sz w:val="13"/>
                <w:szCs w:val="13"/>
                <w:b w:val="1"/>
                <w:bCs w:val="1"/>
                <w:color w:val="auto"/>
              </w:rPr>
              <w:t>5.7%</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5.6%</w:t>
            </w:r>
          </w:p>
        </w:tc>
        <w:tc>
          <w:tcPr>
            <w:tcW w:w="880" w:type="dxa"/>
            <w:vAlign w:val="bottom"/>
          </w:tcPr>
          <w:p>
            <w:pPr>
              <w:jc w:val="center"/>
              <w:ind w:left="253"/>
              <w:spacing w:after="0"/>
              <w:rPr>
                <w:sz w:val="20"/>
                <w:szCs w:val="20"/>
                <w:color w:val="auto"/>
              </w:rPr>
            </w:pPr>
            <w:r>
              <w:rPr>
                <w:rFonts w:ascii="Arial" w:cs="Arial" w:eastAsia="Arial" w:hAnsi="Arial"/>
                <w:sz w:val="13"/>
                <w:szCs w:val="13"/>
                <w:color w:val="auto"/>
              </w:rPr>
              <w:t>-10 bps</w:t>
            </w:r>
          </w:p>
        </w:tc>
        <w:tc>
          <w:tcPr>
            <w:tcW w:w="158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-86 bps</w:t>
            </w:r>
          </w:p>
        </w:tc>
      </w:tr>
      <w:tr>
        <w:trPr>
          <w:trHeight w:val="164"/>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Structural Coverage ratio of NPLs</w:t>
            </w: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132.0%</w:t>
            </w: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115.0%</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112.2%</w:t>
            </w:r>
          </w:p>
        </w:tc>
        <w:tc>
          <w:tcPr>
            <w:tcW w:w="8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-280 bps</w:t>
            </w:r>
          </w:p>
        </w:tc>
        <w:tc>
          <w:tcPr>
            <w:tcW w:w="1580" w:type="dxa"/>
            <w:vAlign w:val="bottom"/>
            <w:tcBorders>
              <w:bottom w:val="single" w:sz="8" w:color="auto"/>
              <w:right w:val="single" w:sz="8" w:color="auto"/>
            </w:tcBorders>
          </w:tcPr>
          <w:p>
            <w:pPr>
              <w:jc w:val="center"/>
              <w:ind w:left="233"/>
              <w:spacing w:after="0"/>
              <w:rPr>
                <w:sz w:val="20"/>
                <w:szCs w:val="20"/>
                <w:color w:val="auto"/>
              </w:rPr>
            </w:pPr>
            <w:r>
              <w:rPr>
                <w:rFonts w:ascii="Arial" w:cs="Arial" w:eastAsia="Arial" w:hAnsi="Arial"/>
                <w:sz w:val="13"/>
                <w:szCs w:val="13"/>
                <w:color w:val="auto"/>
              </w:rPr>
              <w:t>-1981 bps</w:t>
            </w:r>
          </w:p>
        </w:tc>
      </w:tr>
    </w:tbl>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(1) The Structural Portfolio excludes Government Programs (GP) effects.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volume of the NPL loans increased </w:t>
      </w:r>
      <w:r>
        <w:rPr>
          <w:rFonts w:ascii="Arial" w:cs="Arial" w:eastAsia="Arial" w:hAnsi="Arial"/>
          <w:sz w:val="17"/>
          <w:szCs w:val="17"/>
          <w:b w:val="1"/>
          <w:bCs w:val="1"/>
          <w:color w:val="auto"/>
        </w:rPr>
        <w:t>QoQ</w:t>
      </w:r>
      <w:r>
        <w:rPr>
          <w:rFonts w:ascii="Arial" w:cs="Arial" w:eastAsia="Arial" w:hAnsi="Arial"/>
          <w:sz w:val="17"/>
          <w:szCs w:val="17"/>
          <w:color w:val="auto"/>
        </w:rPr>
        <w:t xml:space="preserve"> and </w:t>
      </w:r>
      <w:r>
        <w:rPr>
          <w:rFonts w:ascii="Arial" w:cs="Arial" w:eastAsia="Arial" w:hAnsi="Arial"/>
          <w:sz w:val="17"/>
          <w:szCs w:val="17"/>
          <w:b w:val="1"/>
          <w:bCs w:val="1"/>
          <w:color w:val="auto"/>
        </w:rPr>
        <w:t>YoY</w:t>
      </w:r>
      <w:r>
        <w:rPr>
          <w:rFonts w:ascii="Arial" w:cs="Arial" w:eastAsia="Arial" w:hAnsi="Arial"/>
          <w:sz w:val="17"/>
          <w:szCs w:val="17"/>
          <w:color w:val="auto"/>
        </w:rPr>
        <w:t xml:space="preserve"> by 0.6% and 9.9% respectively, reflecting growth in refinanced loans in </w:t>
      </w:r>
      <w:r>
        <w:rPr>
          <w:rFonts w:ascii="Arial" w:cs="Arial" w:eastAsia="Arial" w:hAnsi="Arial"/>
          <w:sz w:val="17"/>
          <w:szCs w:val="17"/>
          <w:b w:val="1"/>
          <w:bCs w:val="1"/>
          <w:color w:val="auto"/>
        </w:rPr>
        <w:t>Wholesale Banking</w:t>
      </w:r>
      <w:r>
        <w:rPr>
          <w:rFonts w:ascii="Arial" w:cs="Arial" w:eastAsia="Arial" w:hAnsi="Arial"/>
          <w:sz w:val="17"/>
          <w:szCs w:val="17"/>
          <w:color w:val="auto"/>
        </w:rPr>
        <w:t xml:space="preserve"> and overdue loans in </w:t>
      </w:r>
      <w:r>
        <w:rPr>
          <w:rFonts w:ascii="Arial" w:cs="Arial" w:eastAsia="Arial" w:hAnsi="Arial"/>
          <w:sz w:val="17"/>
          <w:szCs w:val="17"/>
          <w:b w:val="1"/>
          <w:bCs w:val="1"/>
          <w:color w:val="auto"/>
        </w:rPr>
        <w:t>Pyme</w:t>
      </w:r>
      <w:r>
        <w:rPr>
          <w:rFonts w:ascii="Arial" w:cs="Arial" w:eastAsia="Arial" w:hAnsi="Arial"/>
          <w:sz w:val="17"/>
          <w:szCs w:val="17"/>
          <w:color w:val="auto"/>
        </w:rPr>
        <w:t xml:space="preserve">. The QoQ and YoY decrease in the NPL volume at </w:t>
      </w:r>
      <w:r>
        <w:rPr>
          <w:rFonts w:ascii="Arial" w:cs="Arial" w:eastAsia="Arial" w:hAnsi="Arial"/>
          <w:sz w:val="17"/>
          <w:szCs w:val="17"/>
          <w:b w:val="1"/>
          <w:bCs w:val="1"/>
          <w:color w:val="auto"/>
        </w:rPr>
        <w:t>Mibanco</w:t>
      </w:r>
      <w:r>
        <w:rPr>
          <w:rFonts w:ascii="Arial" w:cs="Arial" w:eastAsia="Arial" w:hAnsi="Arial"/>
          <w:sz w:val="17"/>
          <w:szCs w:val="17"/>
          <w:color w:val="auto"/>
        </w:rPr>
        <w:t xml:space="preserve"> was insufficient to offset the aforementioned growth.</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0" w:name="page21"/>
    <w:bookmarkEnd w:id="20"/>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2235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845" cy="223520"/>
                    </a:xfrm>
                    <a:prstGeom prst="rect">
                      <a:avLst/>
                    </a:prstGeom>
                    <a:noFill/>
                  </pic:spPr>
                </pic:pic>
              </a:graphicData>
            </a:graphic>
          </wp:anchor>
        </w:drawing>
      </w:r>
    </w:p>
    <w:p>
      <w:pPr>
        <w:spacing w:after="0" w:line="36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01. Loan Portfolio</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Structural NPL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126365</wp:posOffset>
            </wp:positionV>
            <wp:extent cx="4857115" cy="2452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5711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In the QoQ and YoY analysis, the segments that drove growth in the structural NPL portfolio were:</w:t>
      </w:r>
    </w:p>
    <w:p>
      <w:pPr>
        <w:spacing w:after="0" w:line="182" w:lineRule="exact"/>
        <w:rPr>
          <w:sz w:val="20"/>
          <w:szCs w:val="20"/>
          <w:color w:val="auto"/>
        </w:rPr>
      </w:pPr>
    </w:p>
    <w:p>
      <w:pPr>
        <w:ind w:left="600" w:hanging="297"/>
        <w:spacing w:after="0" w:line="241"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Wholesale Banking</w:t>
      </w:r>
      <w:r>
        <w:rPr>
          <w:rFonts w:ascii="Arial" w:cs="Arial" w:eastAsia="Arial" w:hAnsi="Arial"/>
          <w:sz w:val="17"/>
          <w:szCs w:val="17"/>
          <w:color w:val="auto"/>
        </w:rPr>
        <w:t>, due to an increase in refinanced loans for a small number of clients in the real estate sector (builders and office rental</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and the tourism sector, mainly in Corporate Banking.</w:t>
      </w:r>
    </w:p>
    <w:p>
      <w:pPr>
        <w:jc w:val="both"/>
        <w:ind w:left="600" w:hanging="297"/>
        <w:spacing w:after="0" w:line="238"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Small and Medium Businesses, </w:t>
      </w:r>
      <w:r>
        <w:rPr>
          <w:rFonts w:ascii="Arial" w:cs="Arial" w:eastAsia="Arial" w:hAnsi="Arial"/>
          <w:sz w:val="17"/>
          <w:szCs w:val="17"/>
          <w:color w:val="auto"/>
        </w:rPr>
        <w:t>where growth corresponds mainly to SME-Pyme, which registered an increase in overdue loans after new</w:t>
      </w:r>
      <w:r>
        <w:rPr>
          <w:rFonts w:ascii="Arial" w:cs="Arial" w:eastAsia="Arial" w:hAnsi="Arial"/>
          <w:sz w:val="17"/>
          <w:szCs w:val="17"/>
          <w:b w:val="1"/>
          <w:bCs w:val="1"/>
          <w:color w:val="auto"/>
        </w:rPr>
        <w:t xml:space="preserve"> </w:t>
      </w:r>
      <w:r>
        <w:rPr>
          <w:rFonts w:ascii="Arial" w:cs="Arial" w:eastAsia="Arial" w:hAnsi="Arial"/>
          <w:sz w:val="17"/>
          <w:szCs w:val="17"/>
          <w:color w:val="auto"/>
        </w:rPr>
        <w:t>segments with higher risk profiles and commensurately higher margins (debt below S/90,000) reported an increase in delinquency. It is important to note that this deterioration is within the risk appetite for this new segment.</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Growth in NPL loans was partially offset by a reduction in NPLs within </w:t>
      </w:r>
      <w:r>
        <w:rPr>
          <w:rFonts w:ascii="Arial" w:cs="Arial" w:eastAsia="Arial" w:hAnsi="Arial"/>
          <w:sz w:val="17"/>
          <w:szCs w:val="17"/>
          <w:b w:val="1"/>
          <w:bCs w:val="1"/>
          <w:color w:val="auto"/>
        </w:rPr>
        <w:t>Mibanco</w:t>
      </w:r>
      <w:r>
        <w:rPr>
          <w:rFonts w:ascii="Arial" w:cs="Arial" w:eastAsia="Arial" w:hAnsi="Arial"/>
          <w:sz w:val="17"/>
          <w:szCs w:val="17"/>
          <w:color w:val="auto"/>
        </w:rPr>
        <w:t xml:space="preserve"> and </w:t>
      </w:r>
      <w:r>
        <w:rPr>
          <w:rFonts w:ascii="Arial" w:cs="Arial" w:eastAsia="Arial" w:hAnsi="Arial"/>
          <w:sz w:val="17"/>
          <w:szCs w:val="17"/>
          <w:b w:val="1"/>
          <w:bCs w:val="1"/>
          <w:color w:val="auto"/>
        </w:rPr>
        <w:t>Consumer</w:t>
      </w:r>
      <w:r>
        <w:rPr>
          <w:rFonts w:ascii="Arial" w:cs="Arial" w:eastAsia="Arial" w:hAnsi="Arial"/>
          <w:sz w:val="17"/>
          <w:szCs w:val="17"/>
          <w:color w:val="auto"/>
        </w:rPr>
        <w:t xml:space="preserve"> after new entrants to the NPL portfolio were offset by charge-offs this quarter. For more information on charge-offs, see the Structural Charge-Offs section.</w:t>
      </w:r>
    </w:p>
    <w:p>
      <w:pPr>
        <w:spacing w:after="0" w:line="138" w:lineRule="exact"/>
        <w:rPr>
          <w:sz w:val="20"/>
          <w:szCs w:val="20"/>
          <w:color w:val="auto"/>
        </w:rPr>
      </w:pPr>
    </w:p>
    <w:p>
      <w:pPr>
        <w:jc w:val="center"/>
        <w:ind w:right="5880"/>
        <w:spacing w:after="0"/>
        <w:rPr>
          <w:sz w:val="20"/>
          <w:szCs w:val="20"/>
          <w:color w:val="auto"/>
        </w:rPr>
      </w:pPr>
      <w:r>
        <w:rPr>
          <w:rFonts w:ascii="Arial" w:cs="Arial" w:eastAsia="Arial" w:hAnsi="Arial"/>
          <w:sz w:val="17"/>
          <w:szCs w:val="17"/>
          <w:b w:val="1"/>
          <w:bCs w:val="1"/>
          <w:color w:val="auto"/>
        </w:rPr>
        <w:t>Structural write-offs</w:t>
      </w:r>
    </w:p>
    <w:p>
      <w:pPr>
        <w:spacing w:after="0" w:line="9" w:lineRule="exact"/>
        <w:rPr>
          <w:sz w:val="20"/>
          <w:szCs w:val="20"/>
          <w:color w:val="auto"/>
        </w:rPr>
      </w:pPr>
    </w:p>
    <w:p>
      <w:pPr>
        <w:jc w:val="center"/>
        <w:ind w:right="5840"/>
        <w:spacing w:after="0"/>
        <w:rPr>
          <w:sz w:val="20"/>
          <w:szCs w:val="20"/>
          <w:color w:val="auto"/>
        </w:rPr>
      </w:pPr>
      <w:r>
        <w:rPr>
          <w:rFonts w:ascii="Arial" w:cs="Arial" w:eastAsia="Arial" w:hAnsi="Arial"/>
          <w:sz w:val="17"/>
          <w:szCs w:val="17"/>
          <w:color w:val="auto"/>
        </w:rPr>
        <w:t>(in quarter-end balances – S/ thousands)</w:t>
      </w:r>
    </w:p>
    <w:p>
      <w:pPr>
        <w:spacing w:after="0" w:line="166" w:lineRule="exact"/>
        <w:rPr>
          <w:sz w:val="20"/>
          <w:szCs w:val="20"/>
          <w:color w:val="auto"/>
        </w:rPr>
      </w:pPr>
    </w:p>
    <w:p>
      <w:pPr>
        <w:jc w:val="both"/>
        <w:ind w:left="5840"/>
        <w:spacing w:after="0" w:line="254" w:lineRule="auto"/>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structural loans fell -10%. This evolution was attributable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fact that regulatory restrictions that impeded taking charge-offs on structural loans held by clients that also possess Reactiva loans were lifted. Consequently, the first wave of charge-offs was rolled out in the </w:t>
      </w:r>
      <w:r>
        <w:rPr>
          <w:rFonts w:ascii="Arial" w:cs="Arial" w:eastAsia="Arial" w:hAnsi="Arial"/>
          <w:sz w:val="16"/>
          <w:szCs w:val="16"/>
          <w:b w:val="1"/>
          <w:bCs w:val="1"/>
          <w:color w:val="auto"/>
        </w:rPr>
        <w:t xml:space="preserve">SME-Pyme </w:t>
      </w:r>
      <w:r>
        <w:rPr>
          <w:rFonts w:ascii="Arial" w:cs="Arial" w:eastAsia="Arial" w:hAnsi="Arial"/>
          <w:sz w:val="16"/>
          <w:szCs w:val="16"/>
          <w:color w:val="auto"/>
        </w:rPr>
        <w:t>sector in 3Q22 and continued through this quarter. Although</w:t>
      </w:r>
      <w:r>
        <w:rPr>
          <w:rFonts w:ascii="Arial" w:cs="Arial" w:eastAsia="Arial" w:hAnsi="Arial"/>
          <w:sz w:val="16"/>
          <w:szCs w:val="16"/>
          <w:b w:val="1"/>
          <w:bCs w:val="1"/>
          <w:color w:val="auto"/>
        </w:rPr>
        <w:t xml:space="preserve"> </w:t>
      </w:r>
      <w:r>
        <w:rPr>
          <w:rFonts w:ascii="Arial" w:cs="Arial" w:eastAsia="Arial" w:hAnsi="Arial"/>
          <w:sz w:val="16"/>
          <w:szCs w:val="16"/>
          <w:color w:val="auto"/>
        </w:rPr>
        <w:t>charge-offs in 4Q22 were lower than those registered last quarter, the level is high and is expected to remain so over coming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-854075</wp:posOffset>
            </wp:positionV>
            <wp:extent cx="2612390" cy="1445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12390" cy="1445895"/>
                    </a:xfrm>
                    <a:prstGeom prst="rect">
                      <a:avLst/>
                    </a:prstGeom>
                    <a:noFill/>
                  </pic:spPr>
                </pic:pic>
              </a:graphicData>
            </a:graphic>
          </wp:anchor>
        </w:drawing>
      </w:r>
    </w:p>
    <w:p>
      <w:pPr>
        <w:spacing w:after="0" w:line="127" w:lineRule="exact"/>
        <w:rPr>
          <w:sz w:val="20"/>
          <w:szCs w:val="20"/>
          <w:color w:val="auto"/>
        </w:rPr>
      </w:pPr>
    </w:p>
    <w:p>
      <w:pPr>
        <w:jc w:val="both"/>
        <w:ind w:left="5840"/>
        <w:spacing w:after="0" w:line="242" w:lineRule="auto"/>
        <w:rPr>
          <w:sz w:val="20"/>
          <w:szCs w:val="20"/>
          <w:color w:val="auto"/>
        </w:rPr>
      </w:pPr>
      <w:r>
        <w:rPr>
          <w:rFonts w:ascii="Arial" w:cs="Arial" w:eastAsia="Arial" w:hAnsi="Arial"/>
          <w:sz w:val="17"/>
          <w:szCs w:val="17"/>
          <w:color w:val="auto"/>
        </w:rPr>
        <w:t xml:space="preserve">The reduction in charge-offs in </w:t>
      </w:r>
      <w:r>
        <w:rPr>
          <w:rFonts w:ascii="Arial" w:cs="Arial" w:eastAsia="Arial" w:hAnsi="Arial"/>
          <w:sz w:val="17"/>
          <w:szCs w:val="17"/>
          <w:b w:val="1"/>
          <w:bCs w:val="1"/>
          <w:color w:val="auto"/>
        </w:rPr>
        <w:t>SME-Pyme</w:t>
      </w:r>
      <w:r>
        <w:rPr>
          <w:rFonts w:ascii="Arial" w:cs="Arial" w:eastAsia="Arial" w:hAnsi="Arial"/>
          <w:sz w:val="17"/>
          <w:szCs w:val="17"/>
          <w:color w:val="auto"/>
        </w:rPr>
        <w:t xml:space="preserve"> was partially offset by an uptick in charge-offs at Mibanco, which conducted its first wave of charge-offs of structural loans of clients that also possess Reactiva loans recently in 4Q22.</w:t>
      </w:r>
    </w:p>
    <w:p>
      <w:pPr>
        <w:spacing w:after="0" w:line="24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YoY, growth in NPLs (+10%) was driven by an increase in charge-offs in Small and Medium Businesses. This growth was primarily driven by an increase in charge-offs in SME-Pyme (after the aforementioned regulatory restrictions were lifted) and, to a lesser extent, by an uptick in charge-offs in Consumer and Credit Cards. The aforementioned was partially offset by the reduction of write-offs in Mibanco.</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Coverage Ratio of Structural NPL Loans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jc w:val="right"/>
        <w:ind w:right="300"/>
        <w:spacing w:after="0"/>
        <w:tabs>
          <w:tab w:leader="none" w:pos="34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216535</wp:posOffset>
            </wp:positionV>
            <wp:extent cx="7141845" cy="535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2235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845" cy="223520"/>
                    </a:xfrm>
                    <a:prstGeom prst="rect">
                      <a:avLst/>
                    </a:prstGeom>
                    <a:noFill/>
                  </pic:spPr>
                </pic:pic>
              </a:graphicData>
            </a:graphic>
          </wp:anchor>
        </w:drawing>
      </w:r>
    </w:p>
    <w:p>
      <w:pPr>
        <w:spacing w:after="0" w:line="36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01. Loan Portfolio</w:t>
      </w: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0" w:right="680" w:hanging="291"/>
        <w:spacing w:after="0" w:line="295" w:lineRule="auto"/>
        <w:rPr>
          <w:sz w:val="20"/>
          <w:szCs w:val="20"/>
          <w:color w:val="auto"/>
        </w:rPr>
      </w:pPr>
      <w:r>
        <w:rPr>
          <w:rFonts w:ascii="Arial" w:cs="Arial" w:eastAsia="Arial" w:hAnsi="Arial"/>
          <w:sz w:val="16"/>
          <w:szCs w:val="16"/>
          <w:b w:val="1"/>
          <w:bCs w:val="1"/>
          <w:color w:val="auto"/>
        </w:rPr>
        <w:t xml:space="preserve">NPL loans in the Government Loan Portfolio </w:t>
      </w:r>
      <w:r>
        <w:rPr>
          <w:rFonts w:ascii="Arial" w:cs="Arial" w:eastAsia="Arial" w:hAnsi="Arial"/>
          <w:sz w:val="16"/>
          <w:szCs w:val="16"/>
          <w:color w:val="auto"/>
        </w:rPr>
        <w:t>(in quarter-end balances– 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-2185035</wp:posOffset>
            </wp:positionV>
            <wp:extent cx="2660015" cy="1765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60015" cy="17653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83185</wp:posOffset>
            </wp:positionV>
            <wp:extent cx="2820035" cy="16135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20035" cy="16135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QoQ, </w:t>
      </w:r>
      <w:r>
        <w:rPr>
          <w:rFonts w:ascii="Arial" w:cs="Arial" w:eastAsia="Arial" w:hAnsi="Arial"/>
          <w:sz w:val="17"/>
          <w:szCs w:val="17"/>
          <w:color w:val="auto"/>
        </w:rPr>
        <w:t>the reduction in the Structural NPL coverage ratio was driven by</w:t>
      </w:r>
      <w:r>
        <w:rPr>
          <w:rFonts w:ascii="Arial" w:cs="Arial" w:eastAsia="Arial" w:hAnsi="Arial"/>
          <w:sz w:val="17"/>
          <w:szCs w:val="17"/>
          <w:b w:val="1"/>
          <w:bCs w:val="1"/>
          <w:color w:val="auto"/>
        </w:rPr>
        <w:t xml:space="preserve"> </w:t>
      </w:r>
      <w:r>
        <w:rPr>
          <w:rFonts w:ascii="Arial" w:cs="Arial" w:eastAsia="Arial" w:hAnsi="Arial"/>
          <w:sz w:val="17"/>
          <w:szCs w:val="17"/>
          <w:color w:val="auto"/>
        </w:rPr>
        <w:t>growth in refinanced loans in Wholesale Banking and overdue loans in SME-Pyem.</w:t>
      </w:r>
    </w:p>
    <w:p>
      <w:pPr>
        <w:spacing w:after="0" w:line="15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YoY, </w:t>
      </w:r>
      <w:r>
        <w:rPr>
          <w:rFonts w:ascii="Arial" w:cs="Arial" w:eastAsia="Arial" w:hAnsi="Arial"/>
          <w:sz w:val="17"/>
          <w:szCs w:val="17"/>
          <w:color w:val="auto"/>
        </w:rPr>
        <w:t>the Structural NPL coverage ratio continues to follow a downward</w:t>
      </w:r>
      <w:r>
        <w:rPr>
          <w:rFonts w:ascii="Arial" w:cs="Arial" w:eastAsia="Arial" w:hAnsi="Arial"/>
          <w:sz w:val="17"/>
          <w:szCs w:val="17"/>
          <w:b w:val="1"/>
          <w:bCs w:val="1"/>
          <w:color w:val="auto"/>
        </w:rPr>
        <w:t xml:space="preserve"> </w:t>
      </w:r>
      <w:r>
        <w:rPr>
          <w:rFonts w:ascii="Arial" w:cs="Arial" w:eastAsia="Arial" w:hAnsi="Arial"/>
          <w:sz w:val="17"/>
          <w:szCs w:val="17"/>
          <w:color w:val="auto"/>
        </w:rPr>
        <w:t>trend, which reflects growth in NPL loans and provisions releases at BCP Bolivia given that payment performance has exceeded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the non-performing GP loan volume decreased due to an uptick in</w:t>
      </w:r>
      <w:r>
        <w:rPr>
          <w:rFonts w:ascii="Arial" w:cs="Arial" w:eastAsia="Arial" w:hAnsi="Arial"/>
          <w:sz w:val="16"/>
          <w:szCs w:val="16"/>
          <w:b w:val="1"/>
          <w:bCs w:val="1"/>
          <w:color w:val="auto"/>
        </w:rPr>
        <w:t xml:space="preserve"> </w:t>
      </w:r>
      <w:r>
        <w:rPr>
          <w:rFonts w:ascii="Arial" w:cs="Arial" w:eastAsia="Arial" w:hAnsi="Arial"/>
          <w:sz w:val="16"/>
          <w:szCs w:val="16"/>
          <w:color w:val="auto"/>
        </w:rPr>
        <w:t>honoring processes for Reactiva loans. At the end of December 2022, Credicorp received a total of S/1,133 million against state guarantees.</w:t>
      </w:r>
    </w:p>
    <w:p>
      <w:pPr>
        <w:spacing w:after="0" w:line="13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Prior to initiating honoring processes, loans must be more than 90 days delinquent. Average guarantees stand at 84%, 91% and 97% for Wholesale Banking, Retail Banking and Mibanco respectively.</w:t>
      </w:r>
    </w:p>
    <w:p>
      <w:pPr>
        <w:spacing w:after="0" w:line="200" w:lineRule="exact"/>
        <w:rPr>
          <w:sz w:val="20"/>
          <w:szCs w:val="20"/>
          <w:color w:val="auto"/>
        </w:rPr>
      </w:pPr>
    </w:p>
    <w:p>
      <w:pPr>
        <w:sectPr>
          <w:pgSz w:w="11900" w:h="16838" w:orient="portrait"/>
          <w:cols w:equalWidth="0" w:num="2">
            <w:col w:w="5120" w:space="720"/>
            <w:col w:w="5400"/>
          </w:cols>
          <w:pgMar w:left="320" w:top="6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Quality of the Total Portfolio (in quarter-end balances)</w:t>
      </w:r>
    </w:p>
    <w:p>
      <w:pPr>
        <w:spacing w:after="0" w:line="53" w:lineRule="exact"/>
        <w:rPr>
          <w:sz w:val="20"/>
          <w:szCs w:val="20"/>
          <w:color w:val="auto"/>
        </w:rPr>
      </w:pPr>
    </w:p>
    <w:tbl>
      <w:tblPr>
        <w:tblLayout w:type="fixed"/>
        <w:tblInd w:w="630" w:type="dxa"/>
        <w:tblCellMar>
          <w:top w:w="0" w:type="dxa"/>
          <w:left w:w="0" w:type="dxa"/>
          <w:bottom w:w="0" w:type="dxa"/>
          <w:right w:w="0" w:type="dxa"/>
        </w:tblCellMar>
      </w:tblPr>
      <w:tr>
        <w:trPr>
          <w:trHeight w:val="214"/>
        </w:trPr>
        <w:tc>
          <w:tcPr>
            <w:tcW w:w="4640" w:type="dxa"/>
            <w:vAlign w:val="bottom"/>
            <w:tcBorders>
              <w:top w:val="single" w:sz="8" w:color="auto"/>
              <w:left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3"/>
                <w:szCs w:val="13"/>
                <w:b w:val="1"/>
                <w:bCs w:val="1"/>
                <w:color w:val="FFFFFF"/>
              </w:rPr>
              <w:t>Loan Portfolio Quality and Delinquency Ratios</w:t>
            </w:r>
          </w:p>
        </w:tc>
        <w:tc>
          <w:tcPr>
            <w:tcW w:w="1160" w:type="dxa"/>
            <w:vAlign w:val="bottom"/>
            <w:tcBorders>
              <w:top w:val="single" w:sz="8" w:color="auto"/>
            </w:tcBorders>
            <w:shd w:val="clear" w:color="auto" w:fill="2AD2C9"/>
          </w:tcPr>
          <w:p>
            <w:pPr>
              <w:spacing w:after="0"/>
              <w:rPr>
                <w:sz w:val="18"/>
                <w:szCs w:val="18"/>
                <w:color w:val="auto"/>
              </w:rPr>
            </w:pPr>
          </w:p>
        </w:tc>
        <w:tc>
          <w:tcPr>
            <w:tcW w:w="1100" w:type="dxa"/>
            <w:vAlign w:val="bottom"/>
            <w:tcBorders>
              <w:top w:val="single" w:sz="8" w:color="auto"/>
            </w:tcBorders>
            <w:shd w:val="clear" w:color="auto" w:fill="2AD2C9"/>
          </w:tcPr>
          <w:p>
            <w:pPr>
              <w:jc w:val="right"/>
              <w:ind w:right="413"/>
              <w:spacing w:after="0"/>
              <w:rPr>
                <w:sz w:val="20"/>
                <w:szCs w:val="20"/>
                <w:color w:val="auto"/>
              </w:rPr>
            </w:pPr>
            <w:r>
              <w:rPr>
                <w:rFonts w:ascii="Arial" w:cs="Arial" w:eastAsia="Arial" w:hAnsi="Arial"/>
                <w:sz w:val="13"/>
                <w:szCs w:val="13"/>
                <w:b w:val="1"/>
                <w:bCs w:val="1"/>
                <w:color w:val="FFFFFF"/>
              </w:rPr>
              <w:t>As of</w:t>
            </w:r>
          </w:p>
        </w:tc>
        <w:tc>
          <w:tcPr>
            <w:tcW w:w="1040" w:type="dxa"/>
            <w:vAlign w:val="bottom"/>
            <w:tcBorders>
              <w:top w:val="single" w:sz="8" w:color="auto"/>
              <w:right w:val="single" w:sz="8" w:color="auto"/>
            </w:tcBorders>
            <w:shd w:val="clear" w:color="auto" w:fill="2AD2C9"/>
          </w:tcPr>
          <w:p>
            <w:pPr>
              <w:spacing w:after="0"/>
              <w:rPr>
                <w:sz w:val="18"/>
                <w:szCs w:val="18"/>
                <w:color w:val="auto"/>
              </w:rPr>
            </w:pPr>
          </w:p>
        </w:tc>
        <w:tc>
          <w:tcPr>
            <w:tcW w:w="2080" w:type="dxa"/>
            <w:vAlign w:val="bottom"/>
            <w:tcBorders>
              <w:top w:val="single" w:sz="8" w:color="auto"/>
              <w:right w:val="single" w:sz="8" w:color="auto"/>
            </w:tcBorders>
            <w:gridSpan w:val="2"/>
            <w:shd w:val="clear" w:color="auto" w:fill="2AD2C9"/>
          </w:tcPr>
          <w:p>
            <w:pPr>
              <w:ind w:left="700"/>
              <w:spacing w:after="0"/>
              <w:rPr>
                <w:sz w:val="20"/>
                <w:szCs w:val="20"/>
                <w:color w:val="auto"/>
              </w:rPr>
            </w:pPr>
            <w:r>
              <w:rPr>
                <w:rFonts w:ascii="Arial" w:cs="Arial" w:eastAsia="Arial" w:hAnsi="Arial"/>
                <w:sz w:val="13"/>
                <w:szCs w:val="13"/>
                <w:b w:val="1"/>
                <w:bCs w:val="1"/>
                <w:color w:val="FFFFFF"/>
              </w:rPr>
              <w:t>% change</w:t>
            </w:r>
          </w:p>
        </w:tc>
      </w:tr>
      <w:tr>
        <w:trPr>
          <w:trHeight w:val="315"/>
        </w:trPr>
        <w:tc>
          <w:tcPr>
            <w:tcW w:w="464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3"/>
                <w:szCs w:val="13"/>
                <w:b w:val="1"/>
                <w:bCs w:val="1"/>
                <w:color w:val="FFFFFF"/>
              </w:rPr>
              <w:t>S/ 000</w:t>
            </w:r>
          </w:p>
        </w:tc>
        <w:tc>
          <w:tcPr>
            <w:tcW w:w="1160" w:type="dxa"/>
            <w:vAlign w:val="bottom"/>
            <w:tcBorders>
              <w:bottom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Dec 21</w:t>
            </w:r>
          </w:p>
        </w:tc>
        <w:tc>
          <w:tcPr>
            <w:tcW w:w="1100" w:type="dxa"/>
            <w:vAlign w:val="bottom"/>
            <w:tcBorders>
              <w:bottom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Sep 22</w:t>
            </w:r>
          </w:p>
        </w:tc>
        <w:tc>
          <w:tcPr>
            <w:tcW w:w="1040" w:type="dxa"/>
            <w:vAlign w:val="bottom"/>
            <w:tcBorders>
              <w:bottom w:val="single" w:sz="8" w:color="auto"/>
              <w:right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Dec 22</w:t>
            </w:r>
          </w:p>
        </w:tc>
        <w:tc>
          <w:tcPr>
            <w:tcW w:w="9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QoQ</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YoY</w:t>
            </w:r>
          </w:p>
        </w:tc>
      </w:tr>
      <w:tr>
        <w:trPr>
          <w:trHeight w:val="194"/>
        </w:trPr>
        <w:tc>
          <w:tcPr>
            <w:tcW w:w="46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Total loans (Quarter-end balance)</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147,597,412</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151,392,202</w:t>
            </w:r>
          </w:p>
        </w:tc>
        <w:tc>
          <w:tcPr>
            <w:tcW w:w="10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148,626,374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-1.8%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0.7%</w:t>
            </w:r>
          </w:p>
        </w:tc>
      </w:tr>
      <w:tr>
        <w:trPr>
          <w:trHeight w:val="190"/>
        </w:trPr>
        <w:tc>
          <w:tcPr>
            <w:tcW w:w="46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Allowance for loan losses</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8,477,308</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8,030,104</w:t>
            </w:r>
          </w:p>
        </w:tc>
        <w:tc>
          <w:tcPr>
            <w:tcW w:w="10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7,872,402</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-2.0%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-7.1%</w:t>
            </w:r>
          </w:p>
        </w:tc>
      </w:tr>
      <w:tr>
        <w:trPr>
          <w:trHeight w:val="194"/>
        </w:trPr>
        <w:tc>
          <w:tcPr>
            <w:tcW w:w="46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Write-offs</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683,181</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837,924</w:t>
            </w:r>
          </w:p>
        </w:tc>
        <w:tc>
          <w:tcPr>
            <w:tcW w:w="10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754,326</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10.4%</w:t>
            </w:r>
          </w:p>
        </w:tc>
      </w:tr>
      <w:tr>
        <w:trPr>
          <w:trHeight w:val="200"/>
        </w:trPr>
        <w:tc>
          <w:tcPr>
            <w:tcW w:w="4640" w:type="dxa"/>
            <w:vAlign w:val="bottom"/>
            <w:tcBorders>
              <w:left w:val="single" w:sz="8" w:color="auto"/>
              <w:right w:val="single" w:sz="8" w:color="auto"/>
            </w:tcBorders>
          </w:tcPr>
          <w:p>
            <w:pPr>
              <w:ind w:left="100"/>
              <w:spacing w:after="0" w:line="200" w:lineRule="exact"/>
              <w:rPr>
                <w:sz w:val="20"/>
                <w:szCs w:val="20"/>
                <w:color w:val="auto"/>
              </w:rPr>
            </w:pPr>
            <w:r>
              <w:rPr>
                <w:rFonts w:ascii="Arial" w:cs="Arial" w:eastAsia="Arial" w:hAnsi="Arial"/>
                <w:sz w:val="13"/>
                <w:szCs w:val="13"/>
                <w:color w:val="auto"/>
              </w:rPr>
              <w:t xml:space="preserve">Internal overdue loans (IOLs) </w:t>
            </w:r>
            <w:r>
              <w:rPr>
                <w:rFonts w:ascii="Arial" w:cs="Arial" w:eastAsia="Arial" w:hAnsi="Arial"/>
                <w:sz w:val="22"/>
                <w:szCs w:val="22"/>
                <w:color w:val="auto"/>
                <w:vertAlign w:val="superscript"/>
              </w:rPr>
              <w:t>(1)(2)</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5,551,258</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6,250,131</w:t>
            </w: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5,939,744</w:t>
            </w: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-5.0%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7.0%</w:t>
            </w:r>
          </w:p>
        </w:tc>
      </w:tr>
      <w:tr>
        <w:trPr>
          <w:trHeight w:val="201"/>
        </w:trPr>
        <w:tc>
          <w:tcPr>
            <w:tcW w:w="464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3"/>
                <w:szCs w:val="13"/>
                <w:color w:val="auto"/>
              </w:rPr>
              <w:t xml:space="preserve">Internal overdue loans over 90-days </w:t>
            </w:r>
            <w:r>
              <w:rPr>
                <w:rFonts w:ascii="Arial" w:cs="Arial" w:eastAsia="Arial" w:hAnsi="Arial"/>
                <w:sz w:val="22"/>
                <w:szCs w:val="22"/>
                <w:color w:val="auto"/>
                <w:vertAlign w:val="superscript"/>
              </w:rPr>
              <w:t>(1)</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4,203,671</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4,667,608</w:t>
            </w: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4,620,461</w:t>
            </w: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9.9%</w:t>
            </w:r>
          </w:p>
        </w:tc>
      </w:tr>
      <w:tr>
        <w:trPr>
          <w:trHeight w:val="201"/>
        </w:trPr>
        <w:tc>
          <w:tcPr>
            <w:tcW w:w="464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3"/>
                <w:szCs w:val="13"/>
                <w:color w:val="auto"/>
              </w:rPr>
              <w:t xml:space="preserve">Refinanced loans </w:t>
            </w:r>
            <w:r>
              <w:rPr>
                <w:rFonts w:ascii="Arial" w:cs="Arial" w:eastAsia="Arial" w:hAnsi="Arial"/>
                <w:sz w:val="22"/>
                <w:szCs w:val="22"/>
                <w:color w:val="auto"/>
                <w:vertAlign w:val="superscript"/>
              </w:rPr>
              <w:t>(2)</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1,799,541</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1,808,982</w:t>
            </w: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2,098,748</w:t>
            </w:r>
          </w:p>
        </w:tc>
        <w:tc>
          <w:tcPr>
            <w:tcW w:w="960" w:type="dxa"/>
            <w:vAlign w:val="bottom"/>
          </w:tcPr>
          <w:p>
            <w:pPr>
              <w:jc w:val="center"/>
              <w:spacing w:after="0"/>
              <w:rPr>
                <w:sz w:val="20"/>
                <w:szCs w:val="20"/>
                <w:color w:val="auto"/>
              </w:rPr>
            </w:pPr>
            <w:r>
              <w:rPr>
                <w:rFonts w:ascii="Arial" w:cs="Arial" w:eastAsia="Arial" w:hAnsi="Arial"/>
                <w:sz w:val="13"/>
                <w:szCs w:val="13"/>
                <w:color w:val="auto"/>
              </w:rPr>
              <w:t>16.0%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16.6%</w:t>
            </w:r>
          </w:p>
        </w:tc>
      </w:tr>
      <w:tr>
        <w:trPr>
          <w:trHeight w:val="199"/>
        </w:trPr>
        <w:tc>
          <w:tcPr>
            <w:tcW w:w="4640" w:type="dxa"/>
            <w:vAlign w:val="bottom"/>
            <w:tcBorders>
              <w:left w:val="single" w:sz="8" w:color="auto"/>
              <w:bottom w:val="single" w:sz="8" w:color="auto"/>
              <w:right w:val="single" w:sz="8" w:color="auto"/>
            </w:tcBorders>
          </w:tcPr>
          <w:p>
            <w:pPr>
              <w:ind w:left="100"/>
              <w:spacing w:after="0" w:line="199" w:lineRule="exact"/>
              <w:rPr>
                <w:sz w:val="20"/>
                <w:szCs w:val="20"/>
                <w:color w:val="auto"/>
              </w:rPr>
            </w:pPr>
            <w:r>
              <w:rPr>
                <w:rFonts w:ascii="Arial" w:cs="Arial" w:eastAsia="Arial" w:hAnsi="Arial"/>
                <w:sz w:val="13"/>
                <w:szCs w:val="13"/>
                <w:color w:val="auto"/>
              </w:rPr>
              <w:t xml:space="preserve">Non-performing loans (NPLs) </w:t>
            </w:r>
            <w:r>
              <w:rPr>
                <w:rFonts w:ascii="Arial" w:cs="Arial" w:eastAsia="Arial" w:hAnsi="Arial"/>
                <w:sz w:val="22"/>
                <w:szCs w:val="22"/>
                <w:color w:val="auto"/>
                <w:vertAlign w:val="superscript"/>
              </w:rPr>
              <w:t>(3)</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7,350,799</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8,059,113</w:t>
            </w:r>
          </w:p>
        </w:tc>
        <w:tc>
          <w:tcPr>
            <w:tcW w:w="10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8,038,492</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-0.3%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9.4%</w:t>
            </w:r>
          </w:p>
        </w:tc>
      </w:tr>
      <w:tr>
        <w:trPr>
          <w:trHeight w:val="194"/>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IOL ratio</w:t>
            </w:r>
          </w:p>
        </w:tc>
        <w:tc>
          <w:tcPr>
            <w:tcW w:w="1160" w:type="dxa"/>
            <w:vAlign w:val="bottom"/>
          </w:tcPr>
          <w:p>
            <w:pPr>
              <w:jc w:val="right"/>
              <w:ind w:right="113"/>
              <w:spacing w:after="0"/>
              <w:rPr>
                <w:sz w:val="20"/>
                <w:szCs w:val="20"/>
                <w:color w:val="auto"/>
              </w:rPr>
            </w:pPr>
            <w:r>
              <w:rPr>
                <w:rFonts w:ascii="Arial" w:cs="Arial" w:eastAsia="Arial" w:hAnsi="Arial"/>
                <w:sz w:val="13"/>
                <w:szCs w:val="13"/>
                <w:b w:val="1"/>
                <w:bCs w:val="1"/>
                <w:color w:val="auto"/>
              </w:rPr>
              <w:t>3.76%</w:t>
            </w: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4.13%</w:t>
            </w: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4.00%</w:t>
            </w:r>
          </w:p>
        </w:tc>
        <w:tc>
          <w:tcPr>
            <w:tcW w:w="960" w:type="dxa"/>
            <w:vAlign w:val="bottom"/>
          </w:tcPr>
          <w:p>
            <w:pPr>
              <w:jc w:val="center"/>
              <w:spacing w:after="0"/>
              <w:rPr>
                <w:sz w:val="20"/>
                <w:szCs w:val="20"/>
                <w:color w:val="auto"/>
              </w:rPr>
            </w:pPr>
            <w:r>
              <w:rPr>
                <w:rFonts w:ascii="Arial" w:cs="Arial" w:eastAsia="Arial" w:hAnsi="Arial"/>
                <w:sz w:val="13"/>
                <w:szCs w:val="13"/>
                <w:color w:val="auto"/>
              </w:rPr>
              <w:t>-13 bps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24 bps</w:t>
            </w:r>
          </w:p>
        </w:tc>
      </w:tr>
      <w:tr>
        <w:trPr>
          <w:trHeight w:val="201"/>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IOL over 90-days ratio</w:t>
            </w:r>
          </w:p>
        </w:tc>
        <w:tc>
          <w:tcPr>
            <w:tcW w:w="1160" w:type="dxa"/>
            <w:vAlign w:val="bottom"/>
          </w:tcPr>
          <w:p>
            <w:pPr>
              <w:jc w:val="right"/>
              <w:ind w:right="113"/>
              <w:spacing w:after="0"/>
              <w:rPr>
                <w:sz w:val="20"/>
                <w:szCs w:val="20"/>
                <w:color w:val="auto"/>
              </w:rPr>
            </w:pPr>
            <w:r>
              <w:rPr>
                <w:rFonts w:ascii="Arial" w:cs="Arial" w:eastAsia="Arial" w:hAnsi="Arial"/>
                <w:sz w:val="13"/>
                <w:szCs w:val="13"/>
                <w:b w:val="1"/>
                <w:bCs w:val="1"/>
                <w:color w:val="auto"/>
              </w:rPr>
              <w:t>2.85%</w:t>
            </w: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3.08%</w:t>
            </w: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3.11%</w:t>
            </w:r>
          </w:p>
        </w:tc>
        <w:tc>
          <w:tcPr>
            <w:tcW w:w="960" w:type="dxa"/>
            <w:vAlign w:val="bottom"/>
          </w:tcPr>
          <w:p>
            <w:pPr>
              <w:jc w:val="center"/>
              <w:spacing w:after="0"/>
              <w:rPr>
                <w:sz w:val="20"/>
                <w:szCs w:val="20"/>
                <w:color w:val="auto"/>
              </w:rPr>
            </w:pPr>
            <w:r>
              <w:rPr>
                <w:rFonts w:ascii="Arial" w:cs="Arial" w:eastAsia="Arial" w:hAnsi="Arial"/>
                <w:sz w:val="13"/>
                <w:szCs w:val="13"/>
                <w:color w:val="auto"/>
              </w:rPr>
              <w:t>3 bps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26 bps</w:t>
            </w:r>
          </w:p>
        </w:tc>
      </w:tr>
      <w:tr>
        <w:trPr>
          <w:trHeight w:val="201"/>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NPL ratio</w:t>
            </w:r>
          </w:p>
        </w:tc>
        <w:tc>
          <w:tcPr>
            <w:tcW w:w="1160" w:type="dxa"/>
            <w:vAlign w:val="bottom"/>
          </w:tcPr>
          <w:p>
            <w:pPr>
              <w:jc w:val="right"/>
              <w:ind w:right="113"/>
              <w:spacing w:after="0"/>
              <w:rPr>
                <w:sz w:val="20"/>
                <w:szCs w:val="20"/>
                <w:color w:val="auto"/>
              </w:rPr>
            </w:pPr>
            <w:r>
              <w:rPr>
                <w:rFonts w:ascii="Arial" w:cs="Arial" w:eastAsia="Arial" w:hAnsi="Arial"/>
                <w:sz w:val="13"/>
                <w:szCs w:val="13"/>
                <w:b w:val="1"/>
                <w:bCs w:val="1"/>
                <w:color w:val="auto"/>
              </w:rPr>
              <w:t>4.98%</w:t>
            </w: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5.32%</w:t>
            </w: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5.41%</w:t>
            </w:r>
          </w:p>
        </w:tc>
        <w:tc>
          <w:tcPr>
            <w:tcW w:w="960" w:type="dxa"/>
            <w:vAlign w:val="bottom"/>
          </w:tcPr>
          <w:p>
            <w:pPr>
              <w:jc w:val="center"/>
              <w:spacing w:after="0"/>
              <w:rPr>
                <w:sz w:val="20"/>
                <w:szCs w:val="20"/>
                <w:color w:val="auto"/>
              </w:rPr>
            </w:pPr>
            <w:r>
              <w:rPr>
                <w:rFonts w:ascii="Arial" w:cs="Arial" w:eastAsia="Arial" w:hAnsi="Arial"/>
                <w:sz w:val="13"/>
                <w:szCs w:val="13"/>
                <w:color w:val="auto"/>
              </w:rPr>
              <w:t>9 bps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43 bps</w:t>
            </w:r>
          </w:p>
        </w:tc>
      </w:tr>
      <w:tr>
        <w:trPr>
          <w:trHeight w:val="201"/>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Allowance for loan losses over Total loans</w:t>
            </w:r>
          </w:p>
        </w:tc>
        <w:tc>
          <w:tcPr>
            <w:tcW w:w="1160" w:type="dxa"/>
            <w:vAlign w:val="bottom"/>
          </w:tcPr>
          <w:p>
            <w:pPr>
              <w:jc w:val="right"/>
              <w:ind w:right="113"/>
              <w:spacing w:after="0"/>
              <w:rPr>
                <w:sz w:val="20"/>
                <w:szCs w:val="20"/>
                <w:color w:val="auto"/>
              </w:rPr>
            </w:pPr>
            <w:r>
              <w:rPr>
                <w:rFonts w:ascii="Arial" w:cs="Arial" w:eastAsia="Arial" w:hAnsi="Arial"/>
                <w:sz w:val="13"/>
                <w:szCs w:val="13"/>
                <w:b w:val="1"/>
                <w:bCs w:val="1"/>
                <w:color w:val="auto"/>
              </w:rPr>
              <w:t>5.74%</w:t>
            </w: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5.30%</w:t>
            </w: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5.30%</w:t>
            </w:r>
          </w:p>
        </w:tc>
        <w:tc>
          <w:tcPr>
            <w:tcW w:w="960" w:type="dxa"/>
            <w:vAlign w:val="bottom"/>
          </w:tcPr>
          <w:p>
            <w:pPr>
              <w:jc w:val="center"/>
              <w:spacing w:after="0"/>
              <w:rPr>
                <w:sz w:val="20"/>
                <w:szCs w:val="20"/>
                <w:color w:val="auto"/>
              </w:rPr>
            </w:pPr>
            <w:r>
              <w:rPr>
                <w:rFonts w:ascii="Arial" w:cs="Arial" w:eastAsia="Arial" w:hAnsi="Arial"/>
                <w:sz w:val="13"/>
                <w:szCs w:val="13"/>
                <w:color w:val="auto"/>
              </w:rPr>
              <w:t>0 bps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-44 bps</w:t>
            </w:r>
          </w:p>
        </w:tc>
      </w:tr>
      <w:tr>
        <w:trPr>
          <w:trHeight w:val="193"/>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Coverage ratio of IOLs</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152.7%</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128.5%</w:t>
            </w: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132.5%</w:t>
            </w:r>
          </w:p>
        </w:tc>
        <w:tc>
          <w:tcPr>
            <w:tcW w:w="960" w:type="dxa"/>
            <w:vAlign w:val="bottom"/>
          </w:tcPr>
          <w:p>
            <w:pPr>
              <w:jc w:val="center"/>
              <w:spacing w:after="0"/>
              <w:rPr>
                <w:sz w:val="20"/>
                <w:szCs w:val="20"/>
                <w:color w:val="auto"/>
              </w:rPr>
            </w:pPr>
            <w:r>
              <w:rPr>
                <w:rFonts w:ascii="Arial" w:cs="Arial" w:eastAsia="Arial" w:hAnsi="Arial"/>
                <w:sz w:val="13"/>
                <w:szCs w:val="13"/>
                <w:color w:val="auto"/>
              </w:rPr>
              <w:t>406 bps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-2017 bps</w:t>
            </w:r>
          </w:p>
        </w:tc>
      </w:tr>
      <w:tr>
        <w:trPr>
          <w:trHeight w:val="201"/>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Coverage ratio of IOL 90-days</w:t>
            </w:r>
          </w:p>
        </w:tc>
        <w:tc>
          <w:tcPr>
            <w:tcW w:w="1160" w:type="dxa"/>
            <w:vAlign w:val="bottom"/>
          </w:tcPr>
          <w:p>
            <w:pPr>
              <w:jc w:val="right"/>
              <w:ind w:right="113"/>
              <w:spacing w:after="0"/>
              <w:rPr>
                <w:sz w:val="20"/>
                <w:szCs w:val="20"/>
                <w:color w:val="auto"/>
              </w:rPr>
            </w:pPr>
            <w:r>
              <w:rPr>
                <w:rFonts w:ascii="Arial" w:cs="Arial" w:eastAsia="Arial" w:hAnsi="Arial"/>
                <w:sz w:val="13"/>
                <w:szCs w:val="13"/>
                <w:color w:val="auto"/>
              </w:rPr>
              <w:t>201.7%</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172.0%</w:t>
            </w: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170.4%</w:t>
            </w:r>
          </w:p>
        </w:tc>
        <w:tc>
          <w:tcPr>
            <w:tcW w:w="960" w:type="dxa"/>
            <w:vAlign w:val="bottom"/>
          </w:tcPr>
          <w:p>
            <w:pPr>
              <w:jc w:val="center"/>
              <w:spacing w:after="0"/>
              <w:rPr>
                <w:sz w:val="20"/>
                <w:szCs w:val="20"/>
                <w:color w:val="auto"/>
              </w:rPr>
            </w:pPr>
            <w:r>
              <w:rPr>
                <w:rFonts w:ascii="Arial" w:cs="Arial" w:eastAsia="Arial" w:hAnsi="Arial"/>
                <w:sz w:val="13"/>
                <w:szCs w:val="13"/>
                <w:color w:val="auto"/>
              </w:rPr>
              <w:t>-166 bps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-3128 bps</w:t>
            </w:r>
          </w:p>
        </w:tc>
      </w:tr>
      <w:tr>
        <w:trPr>
          <w:trHeight w:val="205"/>
        </w:trPr>
        <w:tc>
          <w:tcPr>
            <w:tcW w:w="46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Coverage ratio of NPLs</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115.3%</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99.6%</w:t>
            </w:r>
          </w:p>
        </w:tc>
        <w:tc>
          <w:tcPr>
            <w:tcW w:w="10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97.9%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-171 bps</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-1739 bps</w:t>
            </w:r>
          </w:p>
        </w:tc>
      </w:tr>
    </w:tbl>
    <w:p>
      <w:pPr>
        <w:spacing w:after="0" w:line="171" w:lineRule="exact"/>
        <w:rPr>
          <w:sz w:val="20"/>
          <w:szCs w:val="20"/>
          <w:color w:val="auto"/>
        </w:rPr>
      </w:pPr>
    </w:p>
    <w:p>
      <w:pPr>
        <w:ind w:left="1240" w:hanging="183"/>
        <w:spacing w:after="0"/>
        <w:tabs>
          <w:tab w:leader="none" w:pos="12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Overdue Loans and Loans under legal collection (Quarter-end balances net of deferred earnings).</w:t>
      </w:r>
    </w:p>
    <w:p>
      <w:pPr>
        <w:ind w:left="1240" w:hanging="183"/>
        <w:spacing w:after="0" w:line="218" w:lineRule="auto"/>
        <w:tabs>
          <w:tab w:leader="none" w:pos="12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Figures net of deferred earnings.</w:t>
      </w:r>
    </w:p>
    <w:p>
      <w:pPr>
        <w:ind w:left="1240" w:hanging="183"/>
        <w:spacing w:after="0"/>
        <w:tabs>
          <w:tab w:leader="none" w:pos="12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Non-performing Loans include Internal overdue loans and Refinanced loans (Quarter-end balances net of deferred earnings).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In the aforementioned context, the NPL Ratio at Credicorp grew 9bps QoQ and 43bps YoY.</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22" w:name="page23"/>
    <w:bookmarkEnd w:id="22"/>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360680</wp:posOffset>
            </wp:positionV>
            <wp:extent cx="7141845" cy="535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0" w:lineRule="exact"/>
        <w:rPr>
          <w:sz w:val="20"/>
          <w:szCs w:val="20"/>
          <w:color w:val="auto"/>
        </w:rPr>
      </w:pP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49"/>
          <w:szCs w:val="49"/>
          <w:b w:val="1"/>
          <w:bCs w:val="1"/>
          <w:color w:val="D52399"/>
        </w:rPr>
        <w:t>02</w:t>
      </w:r>
      <w:r>
        <w:rPr>
          <w:sz w:val="20"/>
          <w:szCs w:val="20"/>
          <w:color w:val="auto"/>
        </w:rPr>
        <w:tab/>
      </w:r>
      <w:r>
        <w:rPr>
          <w:rFonts w:ascii="Arial" w:cs="Arial" w:eastAsia="Arial" w:hAnsi="Arial"/>
          <w:sz w:val="30"/>
          <w:szCs w:val="30"/>
          <w:color w:val="D52399"/>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168910</wp:posOffset>
            </wp:positionV>
            <wp:extent cx="7141845" cy="13582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845" cy="1358265"/>
                    </a:xfrm>
                    <a:prstGeom prst="rect">
                      <a:avLst/>
                    </a:prstGeom>
                    <a:noFill/>
                  </pic:spPr>
                </pic:pic>
              </a:graphicData>
            </a:graphic>
          </wp:anchor>
        </w:drawing>
      </w:r>
    </w:p>
    <w:p>
      <w:pPr>
        <w:spacing w:after="0" w:line="355" w:lineRule="exact"/>
        <w:rPr>
          <w:sz w:val="20"/>
          <w:szCs w:val="20"/>
          <w:color w:val="auto"/>
        </w:rPr>
      </w:pPr>
    </w:p>
    <w:p>
      <w:pPr>
        <w:jc w:val="both"/>
        <w:ind w:left="140" w:right="140"/>
        <w:spacing w:after="0" w:line="242" w:lineRule="auto"/>
        <w:rPr>
          <w:sz w:val="20"/>
          <w:szCs w:val="20"/>
          <w:color w:val="auto"/>
        </w:rPr>
      </w:pPr>
      <w:r>
        <w:rPr>
          <w:rFonts w:ascii="Arial" w:cs="Arial" w:eastAsia="Arial" w:hAnsi="Arial"/>
          <w:sz w:val="17"/>
          <w:szCs w:val="17"/>
          <w:color w:val="FFFFFF"/>
        </w:rPr>
        <w:t>At the end of 4Q22, low-cost deposits accounted for 70.2% of our deposit base. We currently lead the competitive market for low-cost deposits, registering a market share of 41.09% at year-end. In YoY terms, low-cost deposits fell 8.7% (constant exchange rate). This drop was mainly driven by a decline in Demand Deposits held by companies, which was attributable to both amortizations of Reactiva loans and a normalization in liquidity levels. Over the same period, Savings Deposits in LC migrated to FC due to uncertainty on the political and exchange rate fronts.</w:t>
      </w:r>
    </w:p>
    <w:p>
      <w:pPr>
        <w:spacing w:after="0" w:line="155" w:lineRule="exact"/>
        <w:rPr>
          <w:sz w:val="20"/>
          <w:szCs w:val="20"/>
          <w:color w:val="auto"/>
        </w:rPr>
      </w:pPr>
    </w:p>
    <w:p>
      <w:pPr>
        <w:jc w:val="both"/>
        <w:ind w:left="140" w:right="120"/>
        <w:spacing w:after="0" w:line="263" w:lineRule="auto"/>
        <w:rPr>
          <w:sz w:val="20"/>
          <w:szCs w:val="20"/>
          <w:color w:val="auto"/>
        </w:rPr>
      </w:pPr>
      <w:r>
        <w:rPr>
          <w:rFonts w:ascii="Arial" w:cs="Arial" w:eastAsia="Arial" w:hAnsi="Arial"/>
          <w:sz w:val="17"/>
          <w:szCs w:val="17"/>
          <w:color w:val="FFFFFF"/>
          <w:shd w:val="clear" w:color="auto" w:fill="D52399"/>
        </w:rPr>
        <w:t xml:space="preserve">The ongoing uptick in Time Deposits was associated with fund migration from low-cost deposits to time deposits as clients sought </w:t>
      </w:r>
      <w:r>
        <w:rPr>
          <w:rFonts w:ascii="Arial" w:cs="Arial" w:eastAsia="Arial" w:hAnsi="Arial"/>
          <w:sz w:val="17"/>
          <w:szCs w:val="17"/>
          <w:color w:val="FFFFFF"/>
        </w:rPr>
        <w:t>to take advantage</w:t>
      </w:r>
      <w:r>
        <w:rPr>
          <w:rFonts w:ascii="Arial" w:cs="Arial" w:eastAsia="Arial" w:hAnsi="Arial"/>
          <w:sz w:val="17"/>
          <w:szCs w:val="17"/>
          <w:color w:val="FFFFFF"/>
          <w:shd w:val="clear" w:color="auto" w:fill="D52399"/>
        </w:rPr>
        <w:t xml:space="preserve"> </w:t>
      </w:r>
      <w:r>
        <w:rPr>
          <w:rFonts w:ascii="Arial" w:cs="Arial" w:eastAsia="Arial" w:hAnsi="Arial"/>
          <w:sz w:val="17"/>
          <w:szCs w:val="17"/>
          <w:color w:val="FFFFFF"/>
        </w:rPr>
        <w:t>of the higher interest rates offered by the latter.</w:t>
      </w:r>
    </w:p>
    <w:p>
      <w:pPr>
        <w:spacing w:after="0" w:line="138"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color w:val="FFFFFF"/>
        </w:rPr>
        <w:t>At the end of December 2022, the market share held by BCP Stand-alone and Mibanco was situated at 34.7% (-100bps with regard to Dec21). This decline was primarily due to a drop in BCP Stand-alone’s share of Demand Deposits, which are less attractive in a high interest rate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141845" cy="830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845" cy="83058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920" w:type="dxa"/>
            <w:vAlign w:val="bottom"/>
            <w:shd w:val="clear" w:color="auto" w:fill="2AD2C9"/>
          </w:tcPr>
          <w:p>
            <w:pPr>
              <w:ind w:left="20"/>
              <w:spacing w:after="0"/>
              <w:rPr>
                <w:sz w:val="20"/>
                <w:szCs w:val="20"/>
                <w:color w:val="auto"/>
              </w:rPr>
            </w:pPr>
            <w:r>
              <w:rPr>
                <w:rFonts w:ascii="Arial" w:cs="Arial" w:eastAsia="Arial" w:hAnsi="Arial"/>
                <w:sz w:val="13"/>
                <w:szCs w:val="13"/>
                <w:b w:val="1"/>
                <w:bCs w:val="1"/>
                <w:color w:val="FFFFFF"/>
              </w:rPr>
              <w:t>Deposits</w:t>
            </w:r>
          </w:p>
        </w:tc>
        <w:tc>
          <w:tcPr>
            <w:tcW w:w="1440" w:type="dxa"/>
            <w:vAlign w:val="bottom"/>
            <w:shd w:val="clear" w:color="auto" w:fill="2AD2C9"/>
          </w:tcPr>
          <w:p>
            <w:pPr>
              <w:spacing w:after="0"/>
              <w:rPr>
                <w:sz w:val="14"/>
                <w:szCs w:val="14"/>
                <w:color w:val="auto"/>
              </w:rPr>
            </w:pPr>
          </w:p>
        </w:tc>
        <w:tc>
          <w:tcPr>
            <w:tcW w:w="1240" w:type="dxa"/>
            <w:vAlign w:val="bottom"/>
            <w:shd w:val="clear" w:color="auto" w:fill="2AD2C9"/>
          </w:tcPr>
          <w:p>
            <w:pPr>
              <w:jc w:val="right"/>
              <w:ind w:right="573"/>
              <w:spacing w:after="0"/>
              <w:rPr>
                <w:sz w:val="20"/>
                <w:szCs w:val="20"/>
                <w:color w:val="auto"/>
              </w:rPr>
            </w:pPr>
            <w:r>
              <w:rPr>
                <w:rFonts w:ascii="Arial" w:cs="Arial" w:eastAsia="Arial" w:hAnsi="Arial"/>
                <w:sz w:val="13"/>
                <w:szCs w:val="13"/>
                <w:b w:val="1"/>
                <w:bCs w:val="1"/>
                <w:color w:val="FFFFFF"/>
              </w:rPr>
              <w:t>As of</w:t>
            </w:r>
          </w:p>
        </w:tc>
        <w:tc>
          <w:tcPr>
            <w:tcW w:w="1240" w:type="dxa"/>
            <w:vAlign w:val="bottom"/>
            <w:shd w:val="clear" w:color="auto" w:fill="2AD2C9"/>
          </w:tcPr>
          <w:p>
            <w:pPr>
              <w:spacing w:after="0"/>
              <w:rPr>
                <w:sz w:val="14"/>
                <w:szCs w:val="14"/>
                <w:color w:val="auto"/>
              </w:rPr>
            </w:pPr>
          </w:p>
        </w:tc>
        <w:tc>
          <w:tcPr>
            <w:tcW w:w="600" w:type="dxa"/>
            <w:vAlign w:val="bottom"/>
            <w:shd w:val="clear" w:color="auto" w:fill="2AD2C9"/>
          </w:tcPr>
          <w:p>
            <w:pPr>
              <w:spacing w:after="0"/>
              <w:rPr>
                <w:sz w:val="14"/>
                <w:szCs w:val="14"/>
                <w:color w:val="auto"/>
              </w:rPr>
            </w:pPr>
          </w:p>
        </w:tc>
        <w:tc>
          <w:tcPr>
            <w:tcW w:w="1500" w:type="dxa"/>
            <w:vAlign w:val="bottom"/>
            <w:shd w:val="clear" w:color="auto" w:fill="2AD2C9"/>
          </w:tcPr>
          <w:p>
            <w:pPr>
              <w:ind w:left="40"/>
              <w:spacing w:after="0"/>
              <w:rPr>
                <w:sz w:val="20"/>
                <w:szCs w:val="20"/>
                <w:color w:val="auto"/>
              </w:rPr>
            </w:pPr>
            <w:r>
              <w:rPr>
                <w:rFonts w:ascii="Arial" w:cs="Arial" w:eastAsia="Arial" w:hAnsi="Arial"/>
                <w:sz w:val="13"/>
                <w:szCs w:val="13"/>
                <w:b w:val="1"/>
                <w:bCs w:val="1"/>
                <w:color w:val="FFFFFF"/>
              </w:rPr>
              <w:t>change %</w:t>
            </w:r>
          </w:p>
        </w:tc>
        <w:tc>
          <w:tcPr>
            <w:tcW w:w="780" w:type="dxa"/>
            <w:vAlign w:val="bottom"/>
            <w:shd w:val="clear" w:color="auto" w:fill="2AD2C9"/>
          </w:tcPr>
          <w:p>
            <w:pPr>
              <w:spacing w:after="0"/>
              <w:rPr>
                <w:sz w:val="14"/>
                <w:szCs w:val="14"/>
                <w:color w:val="auto"/>
              </w:rPr>
            </w:pPr>
          </w:p>
        </w:tc>
        <w:tc>
          <w:tcPr>
            <w:tcW w:w="1500" w:type="dxa"/>
            <w:vAlign w:val="bottom"/>
            <w:shd w:val="clear" w:color="auto" w:fill="2AD2C9"/>
          </w:tcPr>
          <w:p>
            <w:pPr>
              <w:ind w:left="40"/>
              <w:spacing w:after="0"/>
              <w:rPr>
                <w:sz w:val="20"/>
                <w:szCs w:val="20"/>
                <w:color w:val="auto"/>
              </w:rPr>
            </w:pPr>
            <w:r>
              <w:rPr>
                <w:rFonts w:ascii="Arial" w:cs="Arial" w:eastAsia="Arial" w:hAnsi="Arial"/>
                <w:sz w:val="13"/>
                <w:szCs w:val="13"/>
                <w:b w:val="1"/>
                <w:bCs w:val="1"/>
                <w:color w:val="FFFFFF"/>
              </w:rPr>
              <w:t>Currency</w:t>
            </w:r>
          </w:p>
        </w:tc>
      </w:tr>
      <w:tr>
        <w:trPr>
          <w:trHeight w:val="156"/>
        </w:trPr>
        <w:tc>
          <w:tcPr>
            <w:tcW w:w="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000</w:t>
            </w:r>
          </w:p>
        </w:tc>
        <w:tc>
          <w:tcPr>
            <w:tcW w:w="1440" w:type="dxa"/>
            <w:vAlign w:val="bottom"/>
            <w:tcBorders>
              <w:bottom w:val="single" w:sz="8" w:color="auto"/>
            </w:tcBorders>
            <w:shd w:val="clear" w:color="auto" w:fill="2AD2C9"/>
          </w:tcPr>
          <w:p>
            <w:pPr>
              <w:jc w:val="right"/>
              <w:ind w:right="533"/>
              <w:spacing w:after="0"/>
              <w:rPr>
                <w:sz w:val="20"/>
                <w:szCs w:val="20"/>
                <w:color w:val="auto"/>
              </w:rPr>
            </w:pPr>
            <w:r>
              <w:rPr>
                <w:rFonts w:ascii="Arial" w:cs="Arial" w:eastAsia="Arial" w:hAnsi="Arial"/>
                <w:sz w:val="13"/>
                <w:szCs w:val="13"/>
                <w:b w:val="1"/>
                <w:bCs w:val="1"/>
                <w:color w:val="FFFFFF"/>
              </w:rPr>
              <w:t>Dec 21</w:t>
            </w:r>
          </w:p>
        </w:tc>
        <w:tc>
          <w:tcPr>
            <w:tcW w:w="1240" w:type="dxa"/>
            <w:vAlign w:val="bottom"/>
            <w:tcBorders>
              <w:bottom w:val="single" w:sz="8" w:color="auto"/>
            </w:tcBorders>
            <w:shd w:val="clear" w:color="auto" w:fill="2AD2C9"/>
          </w:tcPr>
          <w:p>
            <w:pPr>
              <w:jc w:val="right"/>
              <w:ind w:right="533"/>
              <w:spacing w:after="0"/>
              <w:rPr>
                <w:sz w:val="20"/>
                <w:szCs w:val="20"/>
                <w:color w:val="auto"/>
              </w:rPr>
            </w:pPr>
            <w:r>
              <w:rPr>
                <w:rFonts w:ascii="Arial" w:cs="Arial" w:eastAsia="Arial" w:hAnsi="Arial"/>
                <w:sz w:val="13"/>
                <w:szCs w:val="13"/>
                <w:b w:val="1"/>
                <w:bCs w:val="1"/>
                <w:color w:val="FFFFFF"/>
              </w:rPr>
              <w:t>Sep 22</w:t>
            </w:r>
          </w:p>
        </w:tc>
        <w:tc>
          <w:tcPr>
            <w:tcW w:w="1240" w:type="dxa"/>
            <w:vAlign w:val="bottom"/>
            <w:tcBorders>
              <w:bottom w:val="single" w:sz="8" w:color="auto"/>
            </w:tcBorders>
            <w:shd w:val="clear" w:color="auto" w:fill="2AD2C9"/>
          </w:tcPr>
          <w:p>
            <w:pPr>
              <w:jc w:val="right"/>
              <w:ind w:right="533"/>
              <w:spacing w:after="0"/>
              <w:rPr>
                <w:sz w:val="20"/>
                <w:szCs w:val="20"/>
                <w:color w:val="auto"/>
              </w:rPr>
            </w:pPr>
            <w:r>
              <w:rPr>
                <w:rFonts w:ascii="Arial" w:cs="Arial" w:eastAsia="Arial" w:hAnsi="Arial"/>
                <w:sz w:val="13"/>
                <w:szCs w:val="13"/>
                <w:b w:val="1"/>
                <w:bCs w:val="1"/>
                <w:color w:val="FFFFFF"/>
              </w:rPr>
              <w:t>Dec 22</w:t>
            </w:r>
          </w:p>
        </w:tc>
        <w:tc>
          <w:tcPr>
            <w:tcW w:w="600" w:type="dxa"/>
            <w:vAlign w:val="bottom"/>
            <w:tcBorders>
              <w:bottom w:val="single" w:sz="8" w:color="auto"/>
            </w:tcBorders>
            <w:shd w:val="clear" w:color="auto" w:fill="2AD2C9"/>
          </w:tcPr>
          <w:p>
            <w:pPr>
              <w:ind w:left="240"/>
              <w:spacing w:after="0"/>
              <w:rPr>
                <w:sz w:val="20"/>
                <w:szCs w:val="20"/>
                <w:color w:val="auto"/>
              </w:rPr>
            </w:pPr>
            <w:r>
              <w:rPr>
                <w:rFonts w:ascii="Arial" w:cs="Arial" w:eastAsia="Arial" w:hAnsi="Arial"/>
                <w:sz w:val="13"/>
                <w:szCs w:val="13"/>
                <w:b w:val="1"/>
                <w:bCs w:val="1"/>
                <w:color w:val="FFFFFF"/>
              </w:rPr>
              <w:t>QoQ</w:t>
            </w:r>
          </w:p>
        </w:tc>
        <w:tc>
          <w:tcPr>
            <w:tcW w:w="1500" w:type="dxa"/>
            <w:vAlign w:val="bottom"/>
            <w:tcBorders>
              <w:bottom w:val="single" w:sz="8" w:color="auto"/>
            </w:tcBorders>
            <w:shd w:val="clear" w:color="auto" w:fill="2AD2C9"/>
          </w:tcPr>
          <w:p>
            <w:pPr>
              <w:ind w:left="780"/>
              <w:spacing w:after="0"/>
              <w:rPr>
                <w:sz w:val="20"/>
                <w:szCs w:val="20"/>
                <w:color w:val="auto"/>
              </w:rPr>
            </w:pPr>
            <w:r>
              <w:rPr>
                <w:rFonts w:ascii="Arial" w:cs="Arial" w:eastAsia="Arial" w:hAnsi="Arial"/>
                <w:sz w:val="13"/>
                <w:szCs w:val="13"/>
                <w:b w:val="1"/>
                <w:bCs w:val="1"/>
                <w:color w:val="FFFFFF"/>
              </w:rPr>
              <w:t>YoY</w:t>
            </w:r>
          </w:p>
        </w:tc>
        <w:tc>
          <w:tcPr>
            <w:tcW w:w="780" w:type="dxa"/>
            <w:vAlign w:val="bottom"/>
            <w:tcBorders>
              <w:bottom w:val="single" w:sz="8" w:color="auto"/>
            </w:tcBorders>
            <w:shd w:val="clear" w:color="auto" w:fill="2AD2C9"/>
          </w:tcPr>
          <w:p>
            <w:pPr>
              <w:jc w:val="center"/>
              <w:ind w:left="253"/>
              <w:spacing w:after="0"/>
              <w:rPr>
                <w:sz w:val="20"/>
                <w:szCs w:val="20"/>
                <w:color w:val="auto"/>
              </w:rPr>
            </w:pPr>
            <w:r>
              <w:rPr>
                <w:rFonts w:ascii="Arial" w:cs="Arial" w:eastAsia="Arial" w:hAnsi="Arial"/>
                <w:sz w:val="13"/>
                <w:szCs w:val="13"/>
                <w:b w:val="1"/>
                <w:bCs w:val="1"/>
                <w:color w:val="FFFFFF"/>
              </w:rPr>
              <w:t>LC</w:t>
            </w:r>
          </w:p>
        </w:tc>
        <w:tc>
          <w:tcPr>
            <w:tcW w:w="1500" w:type="dxa"/>
            <w:vAlign w:val="bottom"/>
            <w:tcBorders>
              <w:bottom w:val="single" w:sz="8" w:color="auto"/>
            </w:tcBorders>
            <w:shd w:val="clear" w:color="auto" w:fill="2AD2C9"/>
          </w:tcPr>
          <w:p>
            <w:pPr>
              <w:jc w:val="center"/>
              <w:ind w:left="253"/>
              <w:spacing w:after="0"/>
              <w:rPr>
                <w:sz w:val="20"/>
                <w:szCs w:val="20"/>
                <w:color w:val="auto"/>
              </w:rPr>
            </w:pPr>
            <w:r>
              <w:rPr>
                <w:rFonts w:ascii="Arial" w:cs="Arial" w:eastAsia="Arial" w:hAnsi="Arial"/>
                <w:sz w:val="13"/>
                <w:szCs w:val="13"/>
                <w:b w:val="1"/>
                <w:bCs w:val="1"/>
                <w:color w:val="FFFFFF"/>
              </w:rPr>
              <w:t>FC</w:t>
            </w:r>
          </w:p>
        </w:tc>
      </w:tr>
      <w:tr>
        <w:trPr>
          <w:trHeight w:val="143"/>
        </w:trPr>
        <w:tc>
          <w:tcPr>
            <w:tcW w:w="20" w:type="dxa"/>
            <w:vAlign w:val="bottom"/>
          </w:tcPr>
          <w:p>
            <w:pPr>
              <w:spacing w:after="0"/>
              <w:rPr>
                <w:sz w:val="12"/>
                <w:szCs w:val="12"/>
                <w:color w:val="auto"/>
              </w:rPr>
            </w:pPr>
          </w:p>
        </w:tc>
        <w:tc>
          <w:tcPr>
            <w:tcW w:w="2920" w:type="dxa"/>
            <w:vAlign w:val="bottom"/>
          </w:tcPr>
          <w:p>
            <w:pPr>
              <w:ind w:left="20"/>
              <w:spacing w:after="0" w:line="144" w:lineRule="exact"/>
              <w:rPr>
                <w:sz w:val="20"/>
                <w:szCs w:val="20"/>
                <w:color w:val="auto"/>
              </w:rPr>
            </w:pPr>
            <w:r>
              <w:rPr>
                <w:rFonts w:ascii="Arial" w:cs="Arial" w:eastAsia="Arial" w:hAnsi="Arial"/>
                <w:sz w:val="13"/>
                <w:szCs w:val="13"/>
                <w:color w:val="auto"/>
              </w:rPr>
              <w:t>Demand deposits</w:t>
            </w:r>
          </w:p>
        </w:tc>
        <w:tc>
          <w:tcPr>
            <w:tcW w:w="1440" w:type="dxa"/>
            <w:vAlign w:val="bottom"/>
          </w:tcPr>
          <w:p>
            <w:pPr>
              <w:jc w:val="right"/>
              <w:ind w:right="153"/>
              <w:spacing w:after="0" w:line="144" w:lineRule="exact"/>
              <w:rPr>
                <w:sz w:val="20"/>
                <w:szCs w:val="20"/>
                <w:color w:val="auto"/>
              </w:rPr>
            </w:pPr>
            <w:r>
              <w:rPr>
                <w:rFonts w:ascii="Arial" w:cs="Arial" w:eastAsia="Arial" w:hAnsi="Arial"/>
                <w:sz w:val="13"/>
                <w:szCs w:val="13"/>
                <w:color w:val="auto"/>
              </w:rPr>
              <w:t>58,629,661</w:t>
            </w:r>
          </w:p>
        </w:tc>
        <w:tc>
          <w:tcPr>
            <w:tcW w:w="1240" w:type="dxa"/>
            <w:vAlign w:val="bottom"/>
          </w:tcPr>
          <w:p>
            <w:pPr>
              <w:jc w:val="right"/>
              <w:ind w:right="153"/>
              <w:spacing w:after="0" w:line="144" w:lineRule="exact"/>
              <w:rPr>
                <w:sz w:val="20"/>
                <w:szCs w:val="20"/>
                <w:color w:val="auto"/>
              </w:rPr>
            </w:pPr>
            <w:r>
              <w:rPr>
                <w:rFonts w:ascii="Arial" w:cs="Arial" w:eastAsia="Arial" w:hAnsi="Arial"/>
                <w:sz w:val="13"/>
                <w:szCs w:val="13"/>
                <w:color w:val="auto"/>
              </w:rPr>
              <w:t>53,512,524</w:t>
            </w:r>
          </w:p>
        </w:tc>
        <w:tc>
          <w:tcPr>
            <w:tcW w:w="1240" w:type="dxa"/>
            <w:vAlign w:val="bottom"/>
          </w:tcPr>
          <w:p>
            <w:pPr>
              <w:jc w:val="right"/>
              <w:ind w:right="153"/>
              <w:spacing w:after="0" w:line="144" w:lineRule="exact"/>
              <w:rPr>
                <w:sz w:val="20"/>
                <w:szCs w:val="20"/>
                <w:color w:val="auto"/>
              </w:rPr>
            </w:pPr>
            <w:r>
              <w:rPr>
                <w:rFonts w:ascii="Arial" w:cs="Arial" w:eastAsia="Arial" w:hAnsi="Arial"/>
                <w:sz w:val="13"/>
                <w:szCs w:val="13"/>
                <w:color w:val="auto"/>
              </w:rPr>
              <w:t>48,467,247</w:t>
            </w:r>
          </w:p>
        </w:tc>
        <w:tc>
          <w:tcPr>
            <w:tcW w:w="600" w:type="dxa"/>
            <w:vAlign w:val="bottom"/>
          </w:tcPr>
          <w:p>
            <w:pPr>
              <w:jc w:val="center"/>
              <w:ind w:left="93"/>
              <w:spacing w:after="0" w:line="144" w:lineRule="exact"/>
              <w:rPr>
                <w:sz w:val="20"/>
                <w:szCs w:val="20"/>
                <w:color w:val="auto"/>
              </w:rPr>
            </w:pPr>
            <w:r>
              <w:rPr>
                <w:rFonts w:ascii="Arial" w:cs="Arial" w:eastAsia="Arial" w:hAnsi="Arial"/>
                <w:sz w:val="13"/>
                <w:szCs w:val="13"/>
                <w:color w:val="auto"/>
              </w:rPr>
              <w:t>-9.4%</w:t>
            </w:r>
          </w:p>
        </w:tc>
        <w:tc>
          <w:tcPr>
            <w:tcW w:w="1500" w:type="dxa"/>
            <w:vAlign w:val="bottom"/>
          </w:tcPr>
          <w:p>
            <w:pPr>
              <w:jc w:val="center"/>
              <w:ind w:left="253"/>
              <w:spacing w:after="0" w:line="144" w:lineRule="exact"/>
              <w:rPr>
                <w:sz w:val="20"/>
                <w:szCs w:val="20"/>
                <w:color w:val="auto"/>
              </w:rPr>
            </w:pPr>
            <w:r>
              <w:rPr>
                <w:rFonts w:ascii="Arial" w:cs="Arial" w:eastAsia="Arial" w:hAnsi="Arial"/>
                <w:sz w:val="13"/>
                <w:szCs w:val="13"/>
                <w:color w:val="auto"/>
              </w:rPr>
              <w:t>-17.3%</w:t>
            </w:r>
          </w:p>
        </w:tc>
        <w:tc>
          <w:tcPr>
            <w:tcW w:w="780" w:type="dxa"/>
            <w:vAlign w:val="bottom"/>
          </w:tcPr>
          <w:p>
            <w:pPr>
              <w:jc w:val="center"/>
              <w:ind w:left="253"/>
              <w:spacing w:after="0" w:line="144" w:lineRule="exact"/>
              <w:rPr>
                <w:sz w:val="20"/>
                <w:szCs w:val="20"/>
                <w:color w:val="auto"/>
              </w:rPr>
            </w:pPr>
            <w:r>
              <w:rPr>
                <w:rFonts w:ascii="Arial" w:cs="Arial" w:eastAsia="Arial" w:hAnsi="Arial"/>
                <w:sz w:val="13"/>
                <w:szCs w:val="13"/>
                <w:color w:val="auto"/>
              </w:rPr>
              <w:t>44.9%</w:t>
            </w:r>
          </w:p>
        </w:tc>
        <w:tc>
          <w:tcPr>
            <w:tcW w:w="1500" w:type="dxa"/>
            <w:vAlign w:val="bottom"/>
          </w:tcPr>
          <w:p>
            <w:pPr>
              <w:jc w:val="center"/>
              <w:ind w:left="253"/>
              <w:spacing w:after="0" w:line="144" w:lineRule="exact"/>
              <w:rPr>
                <w:sz w:val="20"/>
                <w:szCs w:val="20"/>
                <w:color w:val="auto"/>
              </w:rPr>
            </w:pPr>
            <w:r>
              <w:rPr>
                <w:rFonts w:ascii="Arial" w:cs="Arial" w:eastAsia="Arial" w:hAnsi="Arial"/>
                <w:sz w:val="13"/>
                <w:szCs w:val="13"/>
                <w:color w:val="auto"/>
              </w:rPr>
              <w:t>55.1%</w:t>
            </w:r>
          </w:p>
        </w:tc>
      </w:tr>
      <w:tr>
        <w:trPr>
          <w:trHeight w:val="151"/>
        </w:trPr>
        <w:tc>
          <w:tcPr>
            <w:tcW w:w="20" w:type="dxa"/>
            <w:vAlign w:val="bottom"/>
          </w:tcPr>
          <w:p>
            <w:pPr>
              <w:spacing w:after="0"/>
              <w:rPr>
                <w:sz w:val="13"/>
                <w:szCs w:val="13"/>
                <w:color w:val="auto"/>
              </w:rPr>
            </w:pPr>
          </w:p>
        </w:tc>
        <w:tc>
          <w:tcPr>
            <w:tcW w:w="2920" w:type="dxa"/>
            <w:vAlign w:val="bottom"/>
          </w:tcPr>
          <w:p>
            <w:pPr>
              <w:ind w:left="20"/>
              <w:spacing w:after="0"/>
              <w:rPr>
                <w:sz w:val="20"/>
                <w:szCs w:val="20"/>
                <w:color w:val="auto"/>
              </w:rPr>
            </w:pPr>
            <w:r>
              <w:rPr>
                <w:rFonts w:ascii="Arial" w:cs="Arial" w:eastAsia="Arial" w:hAnsi="Arial"/>
                <w:sz w:val="13"/>
                <w:szCs w:val="13"/>
                <w:color w:val="auto"/>
              </w:rPr>
              <w:t>Saving deposits</w:t>
            </w:r>
          </w:p>
        </w:tc>
        <w:tc>
          <w:tcPr>
            <w:tcW w:w="1440" w:type="dxa"/>
            <w:vAlign w:val="bottom"/>
          </w:tcPr>
          <w:p>
            <w:pPr>
              <w:jc w:val="right"/>
              <w:ind w:right="153"/>
              <w:spacing w:after="0"/>
              <w:rPr>
                <w:sz w:val="20"/>
                <w:szCs w:val="20"/>
                <w:color w:val="auto"/>
              </w:rPr>
            </w:pPr>
            <w:r>
              <w:rPr>
                <w:rFonts w:ascii="Arial" w:cs="Arial" w:eastAsia="Arial" w:hAnsi="Arial"/>
                <w:sz w:val="13"/>
                <w:szCs w:val="13"/>
                <w:color w:val="auto"/>
              </w:rPr>
              <w:t>56,945,262</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55,154,337</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54,769,045</w:t>
            </w:r>
          </w:p>
        </w:tc>
        <w:tc>
          <w:tcPr>
            <w:tcW w:w="600" w:type="dxa"/>
            <w:vAlign w:val="bottom"/>
          </w:tcPr>
          <w:p>
            <w:pPr>
              <w:jc w:val="center"/>
              <w:ind w:left="93"/>
              <w:spacing w:after="0"/>
              <w:rPr>
                <w:sz w:val="20"/>
                <w:szCs w:val="20"/>
                <w:color w:val="auto"/>
              </w:rPr>
            </w:pPr>
            <w:r>
              <w:rPr>
                <w:rFonts w:ascii="Arial" w:cs="Arial" w:eastAsia="Arial" w:hAnsi="Arial"/>
                <w:sz w:val="13"/>
                <w:szCs w:val="13"/>
                <w:color w:val="auto"/>
              </w:rPr>
              <w:t>-0.7%</w:t>
            </w:r>
          </w:p>
        </w:tc>
        <w:tc>
          <w:tcPr>
            <w:tcW w:w="1500" w:type="dxa"/>
            <w:vAlign w:val="bottom"/>
          </w:tcPr>
          <w:p>
            <w:pPr>
              <w:jc w:val="center"/>
              <w:ind w:left="233"/>
              <w:spacing w:after="0"/>
              <w:rPr>
                <w:sz w:val="20"/>
                <w:szCs w:val="20"/>
                <w:color w:val="auto"/>
              </w:rPr>
            </w:pPr>
            <w:r>
              <w:rPr>
                <w:rFonts w:ascii="Arial" w:cs="Arial" w:eastAsia="Arial" w:hAnsi="Arial"/>
                <w:sz w:val="13"/>
                <w:szCs w:val="13"/>
                <w:color w:val="auto"/>
              </w:rPr>
              <w:t>-3.8%</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55.4%</w:t>
            </w:r>
          </w:p>
        </w:tc>
        <w:tc>
          <w:tcPr>
            <w:tcW w:w="1500" w:type="dxa"/>
            <w:vAlign w:val="bottom"/>
          </w:tcPr>
          <w:p>
            <w:pPr>
              <w:jc w:val="center"/>
              <w:ind w:left="253"/>
              <w:spacing w:after="0"/>
              <w:rPr>
                <w:sz w:val="20"/>
                <w:szCs w:val="20"/>
                <w:color w:val="auto"/>
              </w:rPr>
            </w:pPr>
            <w:r>
              <w:rPr>
                <w:rFonts w:ascii="Arial" w:cs="Arial" w:eastAsia="Arial" w:hAnsi="Arial"/>
                <w:sz w:val="13"/>
                <w:szCs w:val="13"/>
                <w:color w:val="auto"/>
              </w:rPr>
              <w:t>44.6%</w:t>
            </w:r>
          </w:p>
        </w:tc>
      </w:tr>
      <w:tr>
        <w:trPr>
          <w:trHeight w:val="151"/>
        </w:trPr>
        <w:tc>
          <w:tcPr>
            <w:tcW w:w="20" w:type="dxa"/>
            <w:vAlign w:val="bottom"/>
          </w:tcPr>
          <w:p>
            <w:pPr>
              <w:spacing w:after="0"/>
              <w:rPr>
                <w:sz w:val="13"/>
                <w:szCs w:val="13"/>
                <w:color w:val="auto"/>
              </w:rPr>
            </w:pPr>
          </w:p>
        </w:tc>
        <w:tc>
          <w:tcPr>
            <w:tcW w:w="2920" w:type="dxa"/>
            <w:vAlign w:val="bottom"/>
          </w:tcPr>
          <w:p>
            <w:pPr>
              <w:ind w:left="20"/>
              <w:spacing w:after="0"/>
              <w:rPr>
                <w:sz w:val="20"/>
                <w:szCs w:val="20"/>
                <w:color w:val="auto"/>
              </w:rPr>
            </w:pPr>
            <w:r>
              <w:rPr>
                <w:rFonts w:ascii="Arial" w:cs="Arial" w:eastAsia="Arial" w:hAnsi="Arial"/>
                <w:sz w:val="13"/>
                <w:szCs w:val="13"/>
                <w:color w:val="auto"/>
              </w:rPr>
              <w:t>Time deposits</w:t>
            </w:r>
          </w:p>
        </w:tc>
        <w:tc>
          <w:tcPr>
            <w:tcW w:w="1440" w:type="dxa"/>
            <w:vAlign w:val="bottom"/>
          </w:tcPr>
          <w:p>
            <w:pPr>
              <w:jc w:val="right"/>
              <w:ind w:right="153"/>
              <w:spacing w:after="0"/>
              <w:rPr>
                <w:sz w:val="20"/>
                <w:szCs w:val="20"/>
                <w:color w:val="auto"/>
              </w:rPr>
            </w:pPr>
            <w:r>
              <w:rPr>
                <w:rFonts w:ascii="Arial" w:cs="Arial" w:eastAsia="Arial" w:hAnsi="Arial"/>
                <w:sz w:val="13"/>
                <w:szCs w:val="13"/>
                <w:color w:val="auto"/>
              </w:rPr>
              <w:t>29,251,493</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38,538,033</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38,897,010</w:t>
            </w:r>
          </w:p>
        </w:tc>
        <w:tc>
          <w:tcPr>
            <w:tcW w:w="600" w:type="dxa"/>
            <w:vAlign w:val="bottom"/>
          </w:tcPr>
          <w:p>
            <w:pPr>
              <w:jc w:val="center"/>
              <w:ind w:left="113"/>
              <w:spacing w:after="0"/>
              <w:rPr>
                <w:sz w:val="20"/>
                <w:szCs w:val="20"/>
                <w:color w:val="auto"/>
              </w:rPr>
            </w:pPr>
            <w:r>
              <w:rPr>
                <w:rFonts w:ascii="Arial" w:cs="Arial" w:eastAsia="Arial" w:hAnsi="Arial"/>
                <w:sz w:val="13"/>
                <w:szCs w:val="13"/>
                <w:color w:val="auto"/>
              </w:rPr>
              <w:t>0.9%</w:t>
            </w:r>
          </w:p>
        </w:tc>
        <w:tc>
          <w:tcPr>
            <w:tcW w:w="1500" w:type="dxa"/>
            <w:vAlign w:val="bottom"/>
          </w:tcPr>
          <w:p>
            <w:pPr>
              <w:jc w:val="center"/>
              <w:ind w:left="253"/>
              <w:spacing w:after="0"/>
              <w:rPr>
                <w:sz w:val="20"/>
                <w:szCs w:val="20"/>
                <w:color w:val="auto"/>
              </w:rPr>
            </w:pPr>
            <w:r>
              <w:rPr>
                <w:rFonts w:ascii="Arial" w:cs="Arial" w:eastAsia="Arial" w:hAnsi="Arial"/>
                <w:sz w:val="13"/>
                <w:szCs w:val="13"/>
                <w:color w:val="auto"/>
              </w:rPr>
              <w:t>33.0%</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48.4%</w:t>
            </w:r>
          </w:p>
        </w:tc>
        <w:tc>
          <w:tcPr>
            <w:tcW w:w="1500" w:type="dxa"/>
            <w:vAlign w:val="bottom"/>
          </w:tcPr>
          <w:p>
            <w:pPr>
              <w:jc w:val="center"/>
              <w:ind w:left="253"/>
              <w:spacing w:after="0"/>
              <w:rPr>
                <w:sz w:val="20"/>
                <w:szCs w:val="20"/>
                <w:color w:val="auto"/>
              </w:rPr>
            </w:pPr>
            <w:r>
              <w:rPr>
                <w:rFonts w:ascii="Arial" w:cs="Arial" w:eastAsia="Arial" w:hAnsi="Arial"/>
                <w:sz w:val="13"/>
                <w:szCs w:val="13"/>
                <w:color w:val="auto"/>
              </w:rPr>
              <w:t>51.6%</w:t>
            </w:r>
          </w:p>
        </w:tc>
      </w:tr>
      <w:tr>
        <w:trPr>
          <w:trHeight w:val="151"/>
        </w:trPr>
        <w:tc>
          <w:tcPr>
            <w:tcW w:w="20" w:type="dxa"/>
            <w:vAlign w:val="bottom"/>
          </w:tcPr>
          <w:p>
            <w:pPr>
              <w:spacing w:after="0"/>
              <w:rPr>
                <w:sz w:val="13"/>
                <w:szCs w:val="13"/>
                <w:color w:val="auto"/>
              </w:rPr>
            </w:pPr>
          </w:p>
        </w:tc>
        <w:tc>
          <w:tcPr>
            <w:tcW w:w="2920" w:type="dxa"/>
            <w:vAlign w:val="bottom"/>
          </w:tcPr>
          <w:p>
            <w:pPr>
              <w:ind w:left="20"/>
              <w:spacing w:after="0"/>
              <w:rPr>
                <w:sz w:val="20"/>
                <w:szCs w:val="20"/>
                <w:color w:val="auto"/>
              </w:rPr>
            </w:pPr>
            <w:r>
              <w:rPr>
                <w:rFonts w:ascii="Arial" w:cs="Arial" w:eastAsia="Arial" w:hAnsi="Arial"/>
                <w:sz w:val="13"/>
                <w:szCs w:val="13"/>
                <w:color w:val="auto"/>
              </w:rPr>
              <w:t>Severance indemnity deposits</w:t>
            </w:r>
          </w:p>
        </w:tc>
        <w:tc>
          <w:tcPr>
            <w:tcW w:w="1440" w:type="dxa"/>
            <w:vAlign w:val="bottom"/>
          </w:tcPr>
          <w:p>
            <w:pPr>
              <w:jc w:val="right"/>
              <w:ind w:right="153"/>
              <w:spacing w:after="0"/>
              <w:rPr>
                <w:sz w:val="20"/>
                <w:szCs w:val="20"/>
                <w:color w:val="auto"/>
              </w:rPr>
            </w:pPr>
            <w:r>
              <w:rPr>
                <w:rFonts w:ascii="Arial" w:cs="Arial" w:eastAsia="Arial" w:hAnsi="Arial"/>
                <w:sz w:val="13"/>
                <w:szCs w:val="13"/>
                <w:color w:val="auto"/>
              </w:rPr>
              <w:t>4,017,065</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3,745,597</w:t>
            </w: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3,824,629</w:t>
            </w:r>
          </w:p>
        </w:tc>
        <w:tc>
          <w:tcPr>
            <w:tcW w:w="600" w:type="dxa"/>
            <w:vAlign w:val="bottom"/>
          </w:tcPr>
          <w:p>
            <w:pPr>
              <w:jc w:val="center"/>
              <w:ind w:left="113"/>
              <w:spacing w:after="0"/>
              <w:rPr>
                <w:sz w:val="20"/>
                <w:szCs w:val="20"/>
                <w:color w:val="auto"/>
              </w:rPr>
            </w:pPr>
            <w:r>
              <w:rPr>
                <w:rFonts w:ascii="Arial" w:cs="Arial" w:eastAsia="Arial" w:hAnsi="Arial"/>
                <w:sz w:val="13"/>
                <w:szCs w:val="13"/>
                <w:color w:val="auto"/>
              </w:rPr>
              <w:t>2.1%</w:t>
            </w:r>
          </w:p>
        </w:tc>
        <w:tc>
          <w:tcPr>
            <w:tcW w:w="1500" w:type="dxa"/>
            <w:vAlign w:val="bottom"/>
          </w:tcPr>
          <w:p>
            <w:pPr>
              <w:jc w:val="center"/>
              <w:ind w:left="233"/>
              <w:spacing w:after="0"/>
              <w:rPr>
                <w:sz w:val="20"/>
                <w:szCs w:val="20"/>
                <w:color w:val="auto"/>
              </w:rPr>
            </w:pPr>
            <w:r>
              <w:rPr>
                <w:rFonts w:ascii="Arial" w:cs="Arial" w:eastAsia="Arial" w:hAnsi="Arial"/>
                <w:sz w:val="13"/>
                <w:szCs w:val="13"/>
                <w:color w:val="auto"/>
              </w:rPr>
              <w:t>-4.8%</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69.8%</w:t>
            </w:r>
          </w:p>
        </w:tc>
        <w:tc>
          <w:tcPr>
            <w:tcW w:w="1500" w:type="dxa"/>
            <w:vAlign w:val="bottom"/>
          </w:tcPr>
          <w:p>
            <w:pPr>
              <w:jc w:val="center"/>
              <w:ind w:left="253"/>
              <w:spacing w:after="0"/>
              <w:rPr>
                <w:sz w:val="20"/>
                <w:szCs w:val="20"/>
                <w:color w:val="auto"/>
              </w:rPr>
            </w:pPr>
            <w:r>
              <w:rPr>
                <w:rFonts w:ascii="Arial" w:cs="Arial" w:eastAsia="Arial" w:hAnsi="Arial"/>
                <w:sz w:val="13"/>
                <w:szCs w:val="13"/>
                <w:color w:val="auto"/>
              </w:rPr>
              <w:t>30.2%</w:t>
            </w:r>
          </w:p>
        </w:tc>
      </w:tr>
      <w:tr>
        <w:trPr>
          <w:trHeight w:val="164"/>
        </w:trPr>
        <w:tc>
          <w:tcPr>
            <w:tcW w:w="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Interest payable</w:t>
            </w:r>
          </w:p>
        </w:tc>
        <w:tc>
          <w:tcPr>
            <w:tcW w:w="14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753,064</w:t>
            </w: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1,007,509</w:t>
            </w: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1,062,856</w:t>
            </w:r>
          </w:p>
        </w:tc>
        <w:tc>
          <w:tcPr>
            <w:tcW w:w="600" w:type="dxa"/>
            <w:vAlign w:val="bottom"/>
            <w:tcBorders>
              <w:bottom w:val="single" w:sz="8" w:color="auto"/>
            </w:tcBorders>
          </w:tcPr>
          <w:p>
            <w:pPr>
              <w:jc w:val="center"/>
              <w:ind w:left="113"/>
              <w:spacing w:after="0"/>
              <w:rPr>
                <w:sz w:val="20"/>
                <w:szCs w:val="20"/>
                <w:color w:val="auto"/>
              </w:rPr>
            </w:pPr>
            <w:r>
              <w:rPr>
                <w:rFonts w:ascii="Arial" w:cs="Arial" w:eastAsia="Arial" w:hAnsi="Arial"/>
                <w:sz w:val="13"/>
                <w:szCs w:val="13"/>
                <w:color w:val="auto"/>
              </w:rPr>
              <w:t>5.5%</w:t>
            </w:r>
          </w:p>
        </w:tc>
        <w:tc>
          <w:tcPr>
            <w:tcW w:w="150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41.1%</w:t>
            </w:r>
          </w:p>
        </w:tc>
        <w:tc>
          <w:tcPr>
            <w:tcW w:w="7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50.2%</w:t>
            </w:r>
          </w:p>
        </w:tc>
        <w:tc>
          <w:tcPr>
            <w:tcW w:w="150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49.8%</w:t>
            </w:r>
          </w:p>
        </w:tc>
      </w:tr>
      <w:tr>
        <w:trPr>
          <w:trHeight w:val="171"/>
        </w:trPr>
        <w:tc>
          <w:tcPr>
            <w:tcW w:w="20" w:type="dxa"/>
            <w:vAlign w:val="bottom"/>
          </w:tcPr>
          <w:p>
            <w:pPr>
              <w:spacing w:after="0"/>
              <w:rPr>
                <w:sz w:val="14"/>
                <w:szCs w:val="14"/>
                <w:color w:val="auto"/>
              </w:rPr>
            </w:pPr>
          </w:p>
        </w:tc>
        <w:tc>
          <w:tcPr>
            <w:tcW w:w="2920" w:type="dxa"/>
            <w:vAlign w:val="bottom"/>
          </w:tcPr>
          <w:p>
            <w:pPr>
              <w:ind w:left="20"/>
              <w:spacing w:after="0"/>
              <w:rPr>
                <w:sz w:val="20"/>
                <w:szCs w:val="20"/>
                <w:color w:val="auto"/>
              </w:rPr>
            </w:pPr>
            <w:r>
              <w:rPr>
                <w:rFonts w:ascii="Arial" w:cs="Arial" w:eastAsia="Arial" w:hAnsi="Arial"/>
                <w:sz w:val="13"/>
                <w:szCs w:val="13"/>
                <w:b w:val="1"/>
                <w:bCs w:val="1"/>
                <w:color w:val="auto"/>
              </w:rPr>
              <w:t>Total Deposits</w:t>
            </w:r>
          </w:p>
        </w:tc>
        <w:tc>
          <w:tcPr>
            <w:tcW w:w="1440" w:type="dxa"/>
            <w:vAlign w:val="bottom"/>
          </w:tcPr>
          <w:p>
            <w:pPr>
              <w:jc w:val="right"/>
              <w:ind w:right="153"/>
              <w:spacing w:after="0"/>
              <w:rPr>
                <w:sz w:val="20"/>
                <w:szCs w:val="20"/>
                <w:color w:val="auto"/>
              </w:rPr>
            </w:pPr>
            <w:r>
              <w:rPr>
                <w:rFonts w:ascii="Arial" w:cs="Arial" w:eastAsia="Arial" w:hAnsi="Arial"/>
                <w:sz w:val="13"/>
                <w:szCs w:val="13"/>
                <w:b w:val="1"/>
                <w:bCs w:val="1"/>
                <w:color w:val="auto"/>
              </w:rPr>
              <w:t>149,596,545</w:t>
            </w:r>
          </w:p>
        </w:tc>
        <w:tc>
          <w:tcPr>
            <w:tcW w:w="1240" w:type="dxa"/>
            <w:vAlign w:val="bottom"/>
          </w:tcPr>
          <w:p>
            <w:pPr>
              <w:jc w:val="right"/>
              <w:ind w:right="153"/>
              <w:spacing w:after="0"/>
              <w:rPr>
                <w:sz w:val="20"/>
                <w:szCs w:val="20"/>
                <w:color w:val="auto"/>
              </w:rPr>
            </w:pPr>
            <w:r>
              <w:rPr>
                <w:rFonts w:ascii="Arial" w:cs="Arial" w:eastAsia="Arial" w:hAnsi="Arial"/>
                <w:sz w:val="13"/>
                <w:szCs w:val="13"/>
                <w:b w:val="1"/>
                <w:bCs w:val="1"/>
                <w:color w:val="auto"/>
              </w:rPr>
              <w:t>151,958,000</w:t>
            </w:r>
          </w:p>
        </w:tc>
        <w:tc>
          <w:tcPr>
            <w:tcW w:w="1240" w:type="dxa"/>
            <w:vAlign w:val="bottom"/>
          </w:tcPr>
          <w:p>
            <w:pPr>
              <w:jc w:val="right"/>
              <w:ind w:right="153"/>
              <w:spacing w:after="0"/>
              <w:rPr>
                <w:sz w:val="20"/>
                <w:szCs w:val="20"/>
                <w:color w:val="auto"/>
              </w:rPr>
            </w:pPr>
            <w:r>
              <w:rPr>
                <w:rFonts w:ascii="Arial" w:cs="Arial" w:eastAsia="Arial" w:hAnsi="Arial"/>
                <w:sz w:val="13"/>
                <w:szCs w:val="13"/>
                <w:b w:val="1"/>
                <w:bCs w:val="1"/>
                <w:color w:val="auto"/>
              </w:rPr>
              <w:t>147,020,787</w:t>
            </w:r>
          </w:p>
        </w:tc>
        <w:tc>
          <w:tcPr>
            <w:tcW w:w="600" w:type="dxa"/>
            <w:vAlign w:val="bottom"/>
          </w:tcPr>
          <w:p>
            <w:pPr>
              <w:jc w:val="center"/>
              <w:ind w:left="93"/>
              <w:spacing w:after="0"/>
              <w:rPr>
                <w:sz w:val="20"/>
                <w:szCs w:val="20"/>
                <w:color w:val="auto"/>
              </w:rPr>
            </w:pPr>
            <w:r>
              <w:rPr>
                <w:rFonts w:ascii="Arial" w:cs="Arial" w:eastAsia="Arial" w:hAnsi="Arial"/>
                <w:sz w:val="13"/>
                <w:szCs w:val="13"/>
                <w:b w:val="1"/>
                <w:bCs w:val="1"/>
                <w:color w:val="auto"/>
              </w:rPr>
              <w:t>-3.2%</w:t>
            </w:r>
          </w:p>
        </w:tc>
        <w:tc>
          <w:tcPr>
            <w:tcW w:w="1500" w:type="dxa"/>
            <w:vAlign w:val="bottom"/>
          </w:tcPr>
          <w:p>
            <w:pPr>
              <w:jc w:val="center"/>
              <w:ind w:left="233"/>
              <w:spacing w:after="0"/>
              <w:rPr>
                <w:sz w:val="20"/>
                <w:szCs w:val="20"/>
                <w:color w:val="auto"/>
              </w:rPr>
            </w:pPr>
            <w:r>
              <w:rPr>
                <w:rFonts w:ascii="Arial" w:cs="Arial" w:eastAsia="Arial" w:hAnsi="Arial"/>
                <w:sz w:val="13"/>
                <w:szCs w:val="13"/>
                <w:b w:val="1"/>
                <w:bCs w:val="1"/>
                <w:color w:val="auto"/>
              </w:rPr>
              <w:t>-1.7%</w:t>
            </w:r>
          </w:p>
        </w:tc>
        <w:tc>
          <w:tcPr>
            <w:tcW w:w="780" w:type="dxa"/>
            <w:vAlign w:val="bottom"/>
          </w:tcPr>
          <w:p>
            <w:pPr>
              <w:jc w:val="center"/>
              <w:ind w:left="253"/>
              <w:spacing w:after="0"/>
              <w:rPr>
                <w:sz w:val="20"/>
                <w:szCs w:val="20"/>
                <w:color w:val="auto"/>
              </w:rPr>
            </w:pPr>
            <w:r>
              <w:rPr>
                <w:rFonts w:ascii="Arial" w:cs="Arial" w:eastAsia="Arial" w:hAnsi="Arial"/>
                <w:sz w:val="13"/>
                <w:szCs w:val="13"/>
                <w:b w:val="1"/>
                <w:bCs w:val="1"/>
                <w:color w:val="auto"/>
              </w:rPr>
              <w:t>50.2%</w:t>
            </w:r>
          </w:p>
        </w:tc>
        <w:tc>
          <w:tcPr>
            <w:tcW w:w="1500" w:type="dxa"/>
            <w:vAlign w:val="bottom"/>
          </w:tcPr>
          <w:p>
            <w:pPr>
              <w:jc w:val="center"/>
              <w:ind w:left="253"/>
              <w:spacing w:after="0"/>
              <w:rPr>
                <w:sz w:val="20"/>
                <w:szCs w:val="20"/>
                <w:color w:val="auto"/>
              </w:rPr>
            </w:pPr>
            <w:r>
              <w:rPr>
                <w:rFonts w:ascii="Arial" w:cs="Arial" w:eastAsia="Arial" w:hAnsi="Arial"/>
                <w:sz w:val="13"/>
                <w:szCs w:val="13"/>
                <w:b w:val="1"/>
                <w:bCs w:val="1"/>
                <w:color w:val="auto"/>
              </w:rPr>
              <w:t>49.8%</w:t>
            </w:r>
          </w:p>
        </w:tc>
      </w:tr>
    </w:tbl>
    <w:p>
      <w:pPr>
        <w:spacing w:after="0"/>
        <w:rPr>
          <w:sz w:val="20"/>
          <w:szCs w:val="20"/>
          <w:color w:val="auto"/>
        </w:rPr>
      </w:pPr>
      <w:r>
        <w:rPr>
          <w:rFonts w:ascii="Arial" w:cs="Arial" w:eastAsia="Arial" w:hAnsi="Arial"/>
          <w:sz w:val="12"/>
          <w:szCs w:val="12"/>
          <w:color w:val="auto"/>
        </w:rPr>
        <w:t>(1) CTS: Compensación por tiempo de servicios.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Our deposit base fell 3.2% QoQ. If we apply a constant exchange rate, deposits fell 1.1%. The following FX neutral dynamics were noteworthy:</w:t>
      </w:r>
    </w:p>
    <w:p>
      <w:pPr>
        <w:spacing w:after="0" w:line="182" w:lineRule="exact"/>
        <w:rPr>
          <w:sz w:val="20"/>
          <w:szCs w:val="20"/>
          <w:color w:val="auto"/>
        </w:rPr>
      </w:pPr>
    </w:p>
    <w:p>
      <w:pPr>
        <w:ind w:left="620" w:hanging="280"/>
        <w:spacing w:after="0" w:line="263"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7.2% reduction in Demand Deposits. This decline was driven by a drop in both LC and FC deposits system-wide, which reflected a reduction in liquidity after clients used up the remnants of funds from government stimulus payments.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aforementioned was partially offset by:</w:t>
      </w:r>
    </w:p>
    <w:p>
      <w:pPr>
        <w:spacing w:after="0" w:line="182" w:lineRule="exact"/>
        <w:rPr>
          <w:sz w:val="20"/>
          <w:szCs w:val="20"/>
          <w:color w:val="auto"/>
        </w:rPr>
      </w:pPr>
    </w:p>
    <w:p>
      <w:pPr>
        <w:ind w:left="620" w:hanging="28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1.2% growth in Savings Deposits in both LC and FC.</w:t>
      </w:r>
    </w:p>
    <w:p>
      <w:pPr>
        <w:spacing w:after="0" w:line="9" w:lineRule="exact"/>
        <w:rPr>
          <w:rFonts w:ascii="Arial" w:cs="Arial" w:eastAsia="Arial" w:hAnsi="Arial"/>
          <w:sz w:val="17"/>
          <w:szCs w:val="17"/>
          <w:color w:val="auto"/>
        </w:rPr>
      </w:pPr>
    </w:p>
    <w:p>
      <w:pPr>
        <w:ind w:left="620" w:hanging="280"/>
        <w:spacing w:after="0" w:line="244"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Growth of 3.2% in Time Deposits. This increase was driven primarily by an uptick in LC deposits at BCP Stand-alone, which captured more deposits in a context of rising interest rates. In FC, these deposits fell due to a migration to LC.</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Low-cost deposits </w:t>
      </w:r>
      <w:r>
        <w:rPr>
          <w:rFonts w:ascii="Arial" w:cs="Arial" w:eastAsia="Arial" w:hAnsi="Arial"/>
          <w:sz w:val="17"/>
          <w:szCs w:val="17"/>
          <w:b w:val="1"/>
          <w:bCs w:val="1"/>
          <w:color w:val="auto"/>
        </w:rPr>
        <w:t>(Demand + savings)</w:t>
      </w:r>
      <w:r>
        <w:rPr>
          <w:rFonts w:ascii="Arial" w:cs="Arial" w:eastAsia="Arial" w:hAnsi="Arial"/>
          <w:sz w:val="17"/>
          <w:szCs w:val="17"/>
          <w:color w:val="auto"/>
        </w:rPr>
        <w:t xml:space="preserve"> represented 70.2% of total deposits, which reflects a drop of 90bps QoQ.</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In the YoY analysis, deposits fell 1.7%. If we apply a constant exchange rate, deposits register no variation. The following dynamics are noteworthy:</w:t>
      </w:r>
    </w:p>
    <w:p>
      <w:pPr>
        <w:spacing w:after="0" w:line="182" w:lineRule="exact"/>
        <w:rPr>
          <w:sz w:val="20"/>
          <w:szCs w:val="20"/>
          <w:color w:val="auto"/>
        </w:rPr>
      </w:pPr>
    </w:p>
    <w:p>
      <w:pPr>
        <w:jc w:val="both"/>
        <w:ind w:left="620" w:hanging="280"/>
        <w:spacing w:after="0" w:line="247"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36.1% increase in Time Deposits, which was mainly associated with fund migration from low-cost deposits to time deposits in a context of higher interest rates in both LC and FC. ASB, which experienced an increase in fund inflows from Peru due to the political-economic juncture also contributed to this dynamic.</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aforementioned was partially offset by:</w:t>
      </w:r>
    </w:p>
    <w:p>
      <w:pPr>
        <w:spacing w:after="0" w:line="182" w:lineRule="exact"/>
        <w:rPr>
          <w:sz w:val="20"/>
          <w:szCs w:val="20"/>
          <w:color w:val="auto"/>
        </w:rPr>
      </w:pPr>
    </w:p>
    <w:p>
      <w:pPr>
        <w:ind w:left="620" w:hanging="280"/>
        <w:spacing w:after="0" w:line="241"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15.3% drop in Demand Deposits in both currencies. This decline was driven primarily by companies, which moved to amortize Reactiva and sought to cover seasonal expenses and other liquidity requirements.</w:t>
      </w:r>
    </w:p>
    <w:p>
      <w:pPr>
        <w:ind w:left="620" w:hanging="280"/>
        <w:spacing w:after="0" w:line="244"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1.9% reduction in Savings Deposits, which was attributable to a decrease in captures of savings in LC. This decline was partially offset by an uptick in FC balances, which was fueled by fund migration from LC deposits in an uncertain environment.</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3" w:name="page24"/>
    <w:bookmarkEnd w:id="23"/>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2393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845" cy="239395"/>
                    </a:xfrm>
                    <a:prstGeom prst="rect">
                      <a:avLst/>
                    </a:prstGeom>
                    <a:noFill/>
                  </pic:spPr>
                </pic:pic>
              </a:graphicData>
            </a:graphic>
          </wp:anchor>
        </w:drawing>
      </w:r>
    </w:p>
    <w:p>
      <w:pPr>
        <w:spacing w:after="0" w:line="37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02. Deposits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of Dollarization of Deposits</w:t>
      </w:r>
    </w:p>
    <w:p>
      <w:pPr>
        <w:spacing w:after="0" w:line="190" w:lineRule="exact"/>
        <w:rPr>
          <w:sz w:val="20"/>
          <w:szCs w:val="20"/>
          <w:color w:val="auto"/>
        </w:rPr>
      </w:pPr>
    </w:p>
    <w:p>
      <w:pPr>
        <w:jc w:val="center"/>
        <w:ind w:right="6740"/>
        <w:spacing w:after="0"/>
        <w:rPr>
          <w:sz w:val="20"/>
          <w:szCs w:val="20"/>
          <w:color w:val="auto"/>
        </w:rPr>
      </w:pPr>
      <w:r>
        <w:rPr>
          <w:rFonts w:ascii="Arial" w:cs="Arial" w:eastAsia="Arial" w:hAnsi="Arial"/>
          <w:sz w:val="15"/>
          <w:szCs w:val="15"/>
          <w:b w:val="1"/>
          <w:bCs w:val="1"/>
          <w:color w:val="auto"/>
        </w:rPr>
        <w:t>Deposits by currency</w:t>
      </w:r>
    </w:p>
    <w:p>
      <w:pPr>
        <w:spacing w:after="0" w:line="17"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(measured in quarter -end balances)</w:t>
      </w:r>
    </w:p>
    <w:p>
      <w:pPr>
        <w:jc w:val="both"/>
        <w:ind w:left="4740"/>
        <w:spacing w:after="0" w:line="236" w:lineRule="auto"/>
        <w:rPr>
          <w:sz w:val="20"/>
          <w:szCs w:val="20"/>
          <w:color w:val="auto"/>
        </w:rPr>
      </w:pPr>
      <w:r>
        <w:rPr>
          <w:rFonts w:ascii="Arial" w:cs="Arial" w:eastAsia="Arial" w:hAnsi="Arial"/>
          <w:sz w:val="17"/>
          <w:szCs w:val="17"/>
          <w:color w:val="auto"/>
        </w:rPr>
        <w:t>At the end of December 2022, the level of dollarization of Total Deposits fell 10bps QoQ (-93bps excluding the exchange rate effect). This decline was driven by a drop in Time Deposits, which were impacted by fund migration from FC to LC in the Wholesale Portfolio at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-383540</wp:posOffset>
            </wp:positionV>
            <wp:extent cx="2635885" cy="1365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35885" cy="1365885"/>
                    </a:xfrm>
                    <a:prstGeom prst="rect">
                      <a:avLst/>
                    </a:prstGeom>
                    <a:noFill/>
                  </pic:spPr>
                </pic:pic>
              </a:graphicData>
            </a:graphic>
          </wp:anchor>
        </w:drawing>
      </w:r>
    </w:p>
    <w:p>
      <w:pPr>
        <w:spacing w:after="0" w:line="139" w:lineRule="exact"/>
        <w:rPr>
          <w:sz w:val="20"/>
          <w:szCs w:val="20"/>
          <w:color w:val="auto"/>
        </w:rPr>
      </w:pPr>
    </w:p>
    <w:p>
      <w:pPr>
        <w:jc w:val="both"/>
        <w:ind w:left="4740"/>
        <w:spacing w:after="0" w:line="239" w:lineRule="auto"/>
        <w:rPr>
          <w:sz w:val="20"/>
          <w:szCs w:val="20"/>
          <w:color w:val="auto"/>
        </w:rPr>
      </w:pPr>
      <w:r>
        <w:rPr>
          <w:rFonts w:ascii="Arial" w:cs="Arial" w:eastAsia="Arial" w:hAnsi="Arial"/>
          <w:sz w:val="17"/>
          <w:szCs w:val="17"/>
          <w:color w:val="auto"/>
        </w:rPr>
        <w:t>In YoY terms, the dollarization level fell 200bps, which reflected growth in LC deposits (+2.0%) and a drop in FC deposits (-2.0%, if we maintain a constant exchange rate). Growth in LC was driven primarily by Time Deposits, which offered higher interest rates, while the decline in FC was due to a drop in Demand Deposits after an increase was registered in outflows of funds in US Dollars.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Deposits by currency and type</w:t>
      </w:r>
    </w:p>
    <w:p>
      <w:pPr>
        <w:spacing w:after="0" w:line="20"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(measured in quarter -end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118110</wp:posOffset>
            </wp:positionV>
            <wp:extent cx="6422390" cy="1573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22390" cy="157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 Deposit Ratio (L/D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128270</wp:posOffset>
            </wp:positionV>
            <wp:extent cx="2635885" cy="15576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35885" cy="1557655"/>
                    </a:xfrm>
                    <a:prstGeom prst="rect">
                      <a:avLst/>
                    </a:prstGeom>
                    <a:noFill/>
                  </pic:spPr>
                </pic:pic>
              </a:graphicData>
            </a:graphic>
          </wp:anchor>
        </w:drawing>
      </w:r>
    </w:p>
    <w:p>
      <w:pPr>
        <w:spacing w:after="0" w:line="354" w:lineRule="exact"/>
        <w:rPr>
          <w:sz w:val="20"/>
          <w:szCs w:val="20"/>
          <w:color w:val="auto"/>
        </w:rPr>
      </w:pPr>
    </w:p>
    <w:p>
      <w:pPr>
        <w:jc w:val="both"/>
        <w:ind w:left="4740"/>
        <w:spacing w:after="0" w:line="238" w:lineRule="auto"/>
        <w:rPr>
          <w:sz w:val="20"/>
          <w:szCs w:val="20"/>
          <w:color w:val="auto"/>
        </w:rPr>
      </w:pPr>
      <w:r>
        <w:rPr>
          <w:rFonts w:ascii="Arial" w:cs="Arial" w:eastAsia="Arial" w:hAnsi="Arial"/>
          <w:sz w:val="17"/>
          <w:szCs w:val="17"/>
          <w:color w:val="auto"/>
        </w:rPr>
        <w:t>In QoQ terms, the L/D ratio increased 119 bps at BCP Stand-alone and declined 365 bps at Mibanco. The L/D ratio at BAP situated at 101.1%. The increase at BAP was driven by two factors: i) a decrease in total deposits, which was fueled primarily by a drop in Demand Deposits at BCP Stand-alone after funds migrated to products that offer higher rates, and ii) a decrease in the total loan balance, which was driven by BCP Stand-alone and, to a lesser extent, by Mibanco.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4" w:name="page25"/>
    <w:bookmarkEnd w:id="24"/>
    <w:p>
      <w:pPr>
        <w:ind w:left="2960"/>
        <w:spacing w:after="0"/>
        <w:tabs>
          <w:tab w:leader="none" w:pos="774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361315</wp:posOffset>
            </wp:positionV>
            <wp:extent cx="7141845" cy="2235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1845" cy="22352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02. Deposits</w:t>
      </w:r>
    </w:p>
    <w:p>
      <w:pPr>
        <w:spacing w:after="0" w:line="295" w:lineRule="exact"/>
        <w:rPr>
          <w:sz w:val="20"/>
          <w:szCs w:val="20"/>
          <w:color w:val="auto"/>
        </w:rPr>
      </w:pPr>
    </w:p>
    <w:p>
      <w:pPr>
        <w:ind w:left="1640"/>
        <w:spacing w:after="0"/>
        <w:tabs>
          <w:tab w:leader="none" w:pos="7160" w:val="left"/>
        </w:tabs>
        <w:rPr>
          <w:sz w:val="20"/>
          <w:szCs w:val="20"/>
          <w:color w:val="auto"/>
        </w:rPr>
      </w:pPr>
      <w:r>
        <w:rPr>
          <w:rFonts w:ascii="Arial" w:cs="Arial" w:eastAsia="Arial" w:hAnsi="Arial"/>
          <w:sz w:val="17"/>
          <w:szCs w:val="17"/>
          <w:b w:val="1"/>
          <w:bCs w:val="1"/>
          <w:color w:val="auto"/>
        </w:rPr>
        <w:t>L/D Ratio Local Currency</w:t>
      </w:r>
      <w:r>
        <w:rPr>
          <w:sz w:val="20"/>
          <w:szCs w:val="20"/>
          <w:color w:val="auto"/>
        </w:rPr>
        <w:tab/>
      </w:r>
      <w:r>
        <w:rPr>
          <w:rFonts w:ascii="Arial" w:cs="Arial" w:eastAsia="Arial" w:hAnsi="Arial"/>
          <w:sz w:val="16"/>
          <w:szCs w:val="16"/>
          <w:b w:val="1"/>
          <w:bCs w:val="1"/>
          <w:color w:val="auto"/>
        </w:rPr>
        <w:t>L/D Ratio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126365</wp:posOffset>
            </wp:positionV>
            <wp:extent cx="6558280" cy="1565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8280" cy="156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the Market for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128270</wp:posOffset>
            </wp:positionV>
            <wp:extent cx="6398895" cy="255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98895"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 the end of November 2022, Total Deposits at BCP Stand-alone and Mibanco registered a MS of 32.2% and 2.5% respectively (-120bps + 20bps respectively with regard to December 2021).</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BCP Stand -alone reported a noteworthy increase in its share of Time Deposits (+270 bps), which reflected the migration of funds from low-cost deposits to Time Deposits in a context of rising rates. BCP Stand-alone posted a drop in its share of Demand Deposits after clients used funds to amortize loans under Reactiva (where BCP was a primary lender) and covered seasonal expenses or other liquidity requirements.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BCP Stand-alone continues to lead the local market for low-cost deposits and registered an MS of 41.1% at the end of November 2022 (-0.6% with regard to December 2021).</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5" w:name="page26"/>
    <w:bookmarkEnd w:id="25"/>
    <w:p>
      <w:pPr>
        <w:ind w:left="2960"/>
        <w:spacing w:after="0"/>
        <w:tabs>
          <w:tab w:leader="none" w:pos="774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216535</wp:posOffset>
            </wp:positionV>
            <wp:extent cx="7141845" cy="535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color w:val="E93CAC"/>
        </w:rPr>
        <w:t>Analysis of 4Q22 Consolidated Results</w:t>
      </w:r>
    </w:p>
    <w:p>
      <w:pPr>
        <w:spacing w:after="0" w:line="200" w:lineRule="exact"/>
        <w:rPr>
          <w:sz w:val="20"/>
          <w:szCs w:val="20"/>
          <w:color w:val="auto"/>
        </w:rPr>
      </w:pPr>
    </w:p>
    <w:p>
      <w:pPr>
        <w:spacing w:after="0" w:line="282" w:lineRule="exact"/>
        <w:rPr>
          <w:sz w:val="20"/>
          <w:szCs w:val="20"/>
          <w:color w:val="auto"/>
        </w:rPr>
      </w:pPr>
    </w:p>
    <w:p>
      <w:pPr>
        <w:spacing w:after="0"/>
        <w:tabs>
          <w:tab w:leader="none" w:pos="980" w:val="left"/>
        </w:tabs>
        <w:rPr>
          <w:sz w:val="20"/>
          <w:szCs w:val="20"/>
          <w:color w:val="auto"/>
        </w:rPr>
      </w:pPr>
      <w:r>
        <w:rPr>
          <w:rFonts w:ascii="Arial" w:cs="Arial" w:eastAsia="Arial" w:hAnsi="Arial"/>
          <w:sz w:val="49"/>
          <w:szCs w:val="49"/>
          <w:b w:val="1"/>
          <w:bCs w:val="1"/>
          <w:color w:val="E93CAC"/>
        </w:rPr>
        <w:t>03</w:t>
      </w:r>
      <w:r>
        <w:rPr>
          <w:sz w:val="20"/>
          <w:szCs w:val="20"/>
          <w:color w:val="auto"/>
        </w:rPr>
        <w:tab/>
      </w:r>
      <w:r>
        <w:rPr>
          <w:rFonts w:ascii="Arial" w:cs="Arial" w:eastAsia="Arial" w:hAnsi="Arial"/>
          <w:sz w:val="30"/>
          <w:szCs w:val="30"/>
          <w:color w:val="E93CAC"/>
        </w:rPr>
        <w:t>Interest-earning Assets (IEA)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141845" cy="1198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845" cy="1198245"/>
                    </a:xfrm>
                    <a:prstGeom prst="rect">
                      <a:avLst/>
                    </a:prstGeom>
                    <a:noFill/>
                  </pic:spPr>
                </pic:pic>
              </a:graphicData>
            </a:graphic>
          </wp:anchor>
        </w:drawing>
      </w:r>
    </w:p>
    <w:p>
      <w:pPr>
        <w:spacing w:after="0" w:line="381" w:lineRule="exact"/>
        <w:rPr>
          <w:sz w:val="20"/>
          <w:szCs w:val="20"/>
          <w:color w:val="auto"/>
        </w:rPr>
      </w:pPr>
    </w:p>
    <w:p>
      <w:pPr>
        <w:jc w:val="both"/>
        <w:ind w:left="120" w:right="100"/>
        <w:spacing w:after="0" w:line="239" w:lineRule="auto"/>
        <w:rPr>
          <w:sz w:val="20"/>
          <w:szCs w:val="20"/>
          <w:color w:val="auto"/>
        </w:rPr>
      </w:pPr>
      <w:r>
        <w:rPr>
          <w:rFonts w:ascii="Arial" w:cs="Arial" w:eastAsia="Arial" w:hAnsi="Arial"/>
          <w:sz w:val="17"/>
          <w:szCs w:val="17"/>
          <w:color w:val="FFFFFF"/>
        </w:rPr>
        <w:t>At the end of 4Q22, IEA registered a drop of 3.1% QoQ due to a decrease in balances for Available Funds, Investments and Loans after clients drew down accounts to amortize GP loans. Structural loans grew 1.6% (FX neutral), driven by Retail Banking and Mibanco. YoY, IEA dropped 3.8%. This evolution was spurred by a decrease in the balances of Available Funds and Investments, and reflected the same drop in liquidity levels seen across the system. Over the same period, structural loans grew 9.7% (FX neutral), spurred, to a large extent, by an upturn in results in Retail Banking and Microfinance post-pandemic.</w:t>
      </w:r>
    </w:p>
    <w:p>
      <w:pPr>
        <w:spacing w:after="0" w:line="15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7"/>
          <w:szCs w:val="17"/>
          <w:color w:val="FFFFFF"/>
        </w:rPr>
        <w:t>Funding fell 4.7% and 5.3% QoQ and YoY respectively, which reflects a drop in balances of BCRP instruments and deposits, reflecting fund drawdowns to amortize GP loans.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 IEA</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588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Interest Earning Assets</w:t>
            </w:r>
          </w:p>
        </w:tc>
        <w:tc>
          <w:tcPr>
            <w:tcW w:w="1200" w:type="dxa"/>
            <w:vAlign w:val="bottom"/>
            <w:tcBorders>
              <w:top w:val="single" w:sz="8" w:color="auto"/>
            </w:tcBorders>
            <w:shd w:val="clear" w:color="auto" w:fill="2AD2C9"/>
          </w:tcPr>
          <w:p>
            <w:pPr>
              <w:spacing w:after="0"/>
              <w:rPr>
                <w:sz w:val="14"/>
                <w:szCs w:val="14"/>
                <w:color w:val="auto"/>
              </w:rPr>
            </w:pPr>
          </w:p>
        </w:tc>
        <w:tc>
          <w:tcPr>
            <w:tcW w:w="1120" w:type="dxa"/>
            <w:vAlign w:val="bottom"/>
            <w:tcBorders>
              <w:top w:val="single" w:sz="8" w:color="auto"/>
            </w:tcBorders>
            <w:shd w:val="clear" w:color="auto" w:fill="2AD2C9"/>
          </w:tcPr>
          <w:p>
            <w:pPr>
              <w:jc w:val="right"/>
              <w:ind w:right="413"/>
              <w:spacing w:after="0"/>
              <w:rPr>
                <w:sz w:val="20"/>
                <w:szCs w:val="20"/>
                <w:color w:val="auto"/>
              </w:rPr>
            </w:pPr>
            <w:r>
              <w:rPr>
                <w:rFonts w:ascii="Arial" w:cs="Arial" w:eastAsia="Arial" w:hAnsi="Arial"/>
                <w:sz w:val="13"/>
                <w:szCs w:val="13"/>
                <w:b w:val="1"/>
                <w:bCs w:val="1"/>
                <w:color w:val="FFFFFF"/>
              </w:rPr>
              <w:t>As of</w:t>
            </w:r>
          </w:p>
        </w:tc>
        <w:tc>
          <w:tcPr>
            <w:tcW w:w="1040" w:type="dxa"/>
            <w:vAlign w:val="bottom"/>
            <w:tcBorders>
              <w:top w:val="single" w:sz="8" w:color="auto"/>
              <w:right w:val="single" w:sz="8" w:color="auto"/>
            </w:tcBorders>
            <w:shd w:val="clear" w:color="auto" w:fill="2AD2C9"/>
          </w:tcPr>
          <w:p>
            <w:pPr>
              <w:spacing w:after="0"/>
              <w:rPr>
                <w:sz w:val="14"/>
                <w:szCs w:val="14"/>
                <w:color w:val="auto"/>
              </w:rPr>
            </w:pPr>
          </w:p>
        </w:tc>
        <w:tc>
          <w:tcPr>
            <w:tcW w:w="134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 change</w:t>
            </w:r>
          </w:p>
        </w:tc>
        <w:tc>
          <w:tcPr>
            <w:tcW w:w="680" w:type="dxa"/>
            <w:vAlign w:val="bottom"/>
            <w:tcBorders>
              <w:top w:val="single" w:sz="8" w:color="auto"/>
              <w:right w:val="single" w:sz="8" w:color="auto"/>
            </w:tcBorders>
            <w:shd w:val="clear" w:color="auto" w:fill="2AD2C9"/>
          </w:tcPr>
          <w:p>
            <w:pPr>
              <w:spacing w:after="0"/>
              <w:rPr>
                <w:sz w:val="14"/>
                <w:szCs w:val="14"/>
                <w:color w:val="auto"/>
              </w:rPr>
            </w:pPr>
          </w:p>
        </w:tc>
      </w:tr>
      <w:tr>
        <w:trPr>
          <w:trHeight w:val="151"/>
        </w:trPr>
        <w:tc>
          <w:tcPr>
            <w:tcW w:w="588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S/000</w:t>
            </w:r>
          </w:p>
        </w:tc>
        <w:tc>
          <w:tcPr>
            <w:tcW w:w="1200" w:type="dxa"/>
            <w:vAlign w:val="bottom"/>
            <w:tcBorders>
              <w:bottom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Dec 21</w:t>
            </w:r>
          </w:p>
        </w:tc>
        <w:tc>
          <w:tcPr>
            <w:tcW w:w="1120" w:type="dxa"/>
            <w:vAlign w:val="bottom"/>
            <w:tcBorders>
              <w:bottom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Sep 22</w:t>
            </w:r>
          </w:p>
        </w:tc>
        <w:tc>
          <w:tcPr>
            <w:tcW w:w="1040" w:type="dxa"/>
            <w:vAlign w:val="bottom"/>
            <w:tcBorders>
              <w:bottom w:val="single" w:sz="8" w:color="auto"/>
              <w:right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Dec 22</w:t>
            </w:r>
          </w:p>
        </w:tc>
        <w:tc>
          <w:tcPr>
            <w:tcW w:w="1340" w:type="dxa"/>
            <w:vAlign w:val="bottom"/>
            <w:tcBorders>
              <w:bottom w:val="single" w:sz="8" w:color="auto"/>
            </w:tcBorders>
            <w:shd w:val="clear" w:color="auto" w:fill="2AD2C9"/>
          </w:tcPr>
          <w:p>
            <w:pPr>
              <w:jc w:val="right"/>
              <w:ind w:right="633"/>
              <w:spacing w:after="0"/>
              <w:rPr>
                <w:sz w:val="20"/>
                <w:szCs w:val="20"/>
                <w:color w:val="auto"/>
              </w:rPr>
            </w:pPr>
            <w:r>
              <w:rPr>
                <w:rFonts w:ascii="Arial" w:cs="Arial" w:eastAsia="Arial" w:hAnsi="Arial"/>
                <w:sz w:val="13"/>
                <w:szCs w:val="13"/>
                <w:b w:val="1"/>
                <w:bCs w:val="1"/>
                <w:color w:val="FFFFFF"/>
              </w:rPr>
              <w:t>QoQ</w:t>
            </w:r>
          </w:p>
        </w:tc>
        <w:tc>
          <w:tcPr>
            <w:tcW w:w="680" w:type="dxa"/>
            <w:vAlign w:val="bottom"/>
            <w:tcBorders>
              <w:bottom w:val="single" w:sz="8" w:color="auto"/>
              <w:right w:val="single" w:sz="8" w:color="auto"/>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YoY</w:t>
            </w:r>
          </w:p>
        </w:tc>
      </w:tr>
      <w:tr>
        <w:trPr>
          <w:trHeight w:val="136"/>
        </w:trPr>
        <w:tc>
          <w:tcPr>
            <w:tcW w:w="5880" w:type="dxa"/>
            <w:vAlign w:val="bottom"/>
            <w:tcBorders>
              <w:left w:val="single" w:sz="8" w:color="auto"/>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Cash and due from banks</w:t>
            </w:r>
          </w:p>
        </w:tc>
        <w:tc>
          <w:tcPr>
            <w:tcW w:w="1200" w:type="dxa"/>
            <w:vAlign w:val="bottom"/>
          </w:tcPr>
          <w:p>
            <w:pPr>
              <w:jc w:val="right"/>
              <w:ind w:right="113"/>
              <w:spacing w:after="0" w:line="136" w:lineRule="exact"/>
              <w:rPr>
                <w:sz w:val="20"/>
                <w:szCs w:val="20"/>
                <w:color w:val="auto"/>
              </w:rPr>
            </w:pPr>
            <w:r>
              <w:rPr>
                <w:rFonts w:ascii="Arial" w:cs="Arial" w:eastAsia="Arial" w:hAnsi="Arial"/>
                <w:sz w:val="13"/>
                <w:szCs w:val="13"/>
                <w:color w:val="auto"/>
              </w:rPr>
              <w:t>32,395,408</w:t>
            </w:r>
          </w:p>
        </w:tc>
        <w:tc>
          <w:tcPr>
            <w:tcW w:w="1120" w:type="dxa"/>
            <w:vAlign w:val="bottom"/>
          </w:tcPr>
          <w:p>
            <w:pPr>
              <w:jc w:val="right"/>
              <w:ind w:right="113"/>
              <w:spacing w:after="0" w:line="136" w:lineRule="exact"/>
              <w:rPr>
                <w:sz w:val="20"/>
                <w:szCs w:val="20"/>
                <w:color w:val="auto"/>
              </w:rPr>
            </w:pPr>
            <w:r>
              <w:rPr>
                <w:rFonts w:ascii="Arial" w:cs="Arial" w:eastAsia="Arial" w:hAnsi="Arial"/>
                <w:sz w:val="13"/>
                <w:szCs w:val="13"/>
                <w:color w:val="auto"/>
              </w:rPr>
              <w:t>29,330,082</w:t>
            </w:r>
          </w:p>
        </w:tc>
        <w:tc>
          <w:tcPr>
            <w:tcW w:w="104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26,897,216</w:t>
            </w:r>
          </w:p>
        </w:tc>
        <w:tc>
          <w:tcPr>
            <w:tcW w:w="1340" w:type="dxa"/>
            <w:vAlign w:val="bottom"/>
          </w:tcPr>
          <w:p>
            <w:pPr>
              <w:jc w:val="right"/>
              <w:ind w:right="373"/>
              <w:spacing w:after="0" w:line="136" w:lineRule="exact"/>
              <w:rPr>
                <w:sz w:val="20"/>
                <w:szCs w:val="20"/>
                <w:color w:val="auto"/>
              </w:rPr>
            </w:pPr>
            <w:r>
              <w:rPr>
                <w:rFonts w:ascii="Arial" w:cs="Arial" w:eastAsia="Arial" w:hAnsi="Arial"/>
                <w:sz w:val="13"/>
                <w:szCs w:val="13"/>
                <w:color w:val="auto"/>
              </w:rPr>
              <w:t>-8.3%</w:t>
            </w:r>
          </w:p>
        </w:tc>
        <w:tc>
          <w:tcPr>
            <w:tcW w:w="68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-17.0%</w:t>
            </w:r>
          </w:p>
        </w:tc>
      </w:tr>
      <w:tr>
        <w:trPr>
          <w:trHeight w:val="151"/>
        </w:trPr>
        <w:tc>
          <w:tcPr>
            <w:tcW w:w="5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Total investments</w:t>
            </w:r>
          </w:p>
        </w:tc>
        <w:tc>
          <w:tcPr>
            <w:tcW w:w="1200" w:type="dxa"/>
            <w:vAlign w:val="bottom"/>
          </w:tcPr>
          <w:p>
            <w:pPr>
              <w:jc w:val="right"/>
              <w:ind w:right="113"/>
              <w:spacing w:after="0"/>
              <w:rPr>
                <w:sz w:val="20"/>
                <w:szCs w:val="20"/>
                <w:color w:val="auto"/>
              </w:rPr>
            </w:pPr>
            <w:r>
              <w:rPr>
                <w:rFonts w:ascii="Arial" w:cs="Arial" w:eastAsia="Arial" w:hAnsi="Arial"/>
                <w:sz w:val="13"/>
                <w:szCs w:val="13"/>
                <w:color w:val="auto"/>
              </w:rPr>
              <w:t>48,952,540</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46,843,270</w:t>
            </w: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45,431,224</w:t>
            </w:r>
          </w:p>
        </w:tc>
        <w:tc>
          <w:tcPr>
            <w:tcW w:w="1340" w:type="dxa"/>
            <w:vAlign w:val="bottom"/>
          </w:tcPr>
          <w:p>
            <w:pPr>
              <w:jc w:val="right"/>
              <w:ind w:right="373"/>
              <w:spacing w:after="0"/>
              <w:rPr>
                <w:sz w:val="20"/>
                <w:szCs w:val="20"/>
                <w:color w:val="auto"/>
              </w:rPr>
            </w:pPr>
            <w:r>
              <w:rPr>
                <w:rFonts w:ascii="Arial" w:cs="Arial" w:eastAsia="Arial" w:hAnsi="Arial"/>
                <w:sz w:val="13"/>
                <w:szCs w:val="13"/>
                <w:color w:val="auto"/>
              </w:rPr>
              <w:t>-3.0%</w:t>
            </w:r>
          </w:p>
        </w:tc>
        <w:tc>
          <w:tcPr>
            <w:tcW w:w="68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-7.2%</w:t>
            </w:r>
          </w:p>
        </w:tc>
      </w:tr>
      <w:tr>
        <w:trPr>
          <w:trHeight w:val="151"/>
        </w:trPr>
        <w:tc>
          <w:tcPr>
            <w:tcW w:w="5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Cash collateral, reverse repurchase agreements and securities borrowing</w:t>
            </w:r>
          </w:p>
        </w:tc>
        <w:tc>
          <w:tcPr>
            <w:tcW w:w="1200" w:type="dxa"/>
            <w:vAlign w:val="bottom"/>
          </w:tcPr>
          <w:p>
            <w:pPr>
              <w:jc w:val="right"/>
              <w:ind w:right="113"/>
              <w:spacing w:after="0"/>
              <w:rPr>
                <w:sz w:val="20"/>
                <w:szCs w:val="20"/>
                <w:color w:val="auto"/>
              </w:rPr>
            </w:pPr>
            <w:r>
              <w:rPr>
                <w:rFonts w:ascii="Arial" w:cs="Arial" w:eastAsia="Arial" w:hAnsi="Arial"/>
                <w:sz w:val="13"/>
                <w:szCs w:val="13"/>
                <w:color w:val="auto"/>
              </w:rPr>
              <w:t>1,766,948</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1,586,967</w:t>
            </w: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1,101,856</w:t>
            </w:r>
          </w:p>
        </w:tc>
        <w:tc>
          <w:tcPr>
            <w:tcW w:w="1340" w:type="dxa"/>
            <w:vAlign w:val="bottom"/>
          </w:tcPr>
          <w:p>
            <w:pPr>
              <w:jc w:val="right"/>
              <w:ind w:right="373"/>
              <w:spacing w:after="0"/>
              <w:rPr>
                <w:sz w:val="20"/>
                <w:szCs w:val="20"/>
                <w:color w:val="auto"/>
              </w:rPr>
            </w:pPr>
            <w:r>
              <w:rPr>
                <w:rFonts w:ascii="Arial" w:cs="Arial" w:eastAsia="Arial" w:hAnsi="Arial"/>
                <w:sz w:val="13"/>
                <w:szCs w:val="13"/>
                <w:color w:val="auto"/>
              </w:rPr>
              <w:t>-30.6%</w:t>
            </w:r>
          </w:p>
        </w:tc>
        <w:tc>
          <w:tcPr>
            <w:tcW w:w="68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-37.6%</w:t>
            </w:r>
          </w:p>
        </w:tc>
      </w:tr>
      <w:tr>
        <w:trPr>
          <w:trHeight w:val="151"/>
        </w:trPr>
        <w:tc>
          <w:tcPr>
            <w:tcW w:w="5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Financial assets designated at fair value through profit or loss</w:t>
            </w:r>
          </w:p>
        </w:tc>
        <w:tc>
          <w:tcPr>
            <w:tcW w:w="1200" w:type="dxa"/>
            <w:vAlign w:val="bottom"/>
          </w:tcPr>
          <w:p>
            <w:pPr>
              <w:jc w:val="right"/>
              <w:ind w:right="113"/>
              <w:spacing w:after="0"/>
              <w:rPr>
                <w:sz w:val="20"/>
                <w:szCs w:val="20"/>
                <w:color w:val="auto"/>
              </w:rPr>
            </w:pPr>
            <w:r>
              <w:rPr>
                <w:rFonts w:ascii="Arial" w:cs="Arial" w:eastAsia="Arial" w:hAnsi="Arial"/>
                <w:sz w:val="13"/>
                <w:szCs w:val="13"/>
                <w:color w:val="auto"/>
              </w:rPr>
              <w:t>987,082</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767,425</w:t>
            </w: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768,801</w:t>
            </w:r>
          </w:p>
        </w:tc>
        <w:tc>
          <w:tcPr>
            <w:tcW w:w="1340" w:type="dxa"/>
            <w:vAlign w:val="bottom"/>
          </w:tcPr>
          <w:p>
            <w:pPr>
              <w:jc w:val="right"/>
              <w:ind w:right="373"/>
              <w:spacing w:after="0"/>
              <w:rPr>
                <w:sz w:val="20"/>
                <w:szCs w:val="20"/>
                <w:color w:val="auto"/>
              </w:rPr>
            </w:pPr>
            <w:r>
              <w:rPr>
                <w:rFonts w:ascii="Arial" w:cs="Arial" w:eastAsia="Arial" w:hAnsi="Arial"/>
                <w:sz w:val="13"/>
                <w:szCs w:val="13"/>
                <w:color w:val="auto"/>
              </w:rPr>
              <w:t>0.2%</w:t>
            </w:r>
          </w:p>
        </w:tc>
        <w:tc>
          <w:tcPr>
            <w:tcW w:w="68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-22.1%</w:t>
            </w:r>
          </w:p>
        </w:tc>
      </w:tr>
      <w:tr>
        <w:trPr>
          <w:trHeight w:val="159"/>
        </w:trPr>
        <w:tc>
          <w:tcPr>
            <w:tcW w:w="5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Loans</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147,597,412</w:t>
            </w: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151,392,202</w:t>
            </w:r>
          </w:p>
        </w:tc>
        <w:tc>
          <w:tcPr>
            <w:tcW w:w="10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148,626,374</w:t>
            </w:r>
          </w:p>
        </w:tc>
        <w:tc>
          <w:tcPr>
            <w:tcW w:w="13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-1.8%</w:t>
            </w:r>
          </w:p>
        </w:tc>
        <w:tc>
          <w:tcPr>
            <w:tcW w:w="68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0.7%</w:t>
            </w:r>
          </w:p>
        </w:tc>
      </w:tr>
      <w:tr>
        <w:trPr>
          <w:trHeight w:val="144"/>
        </w:trPr>
        <w:tc>
          <w:tcPr>
            <w:tcW w:w="5880" w:type="dxa"/>
            <w:vAlign w:val="bottom"/>
            <w:tcBorders>
              <w:left w:val="single" w:sz="8" w:color="auto"/>
              <w:bottom w:val="single" w:sz="8" w:color="auto"/>
              <w:right w:val="single" w:sz="8" w:color="auto"/>
            </w:tcBorders>
          </w:tcPr>
          <w:p>
            <w:pPr>
              <w:ind w:left="40"/>
              <w:spacing w:after="0" w:line="144" w:lineRule="exact"/>
              <w:rPr>
                <w:sz w:val="20"/>
                <w:szCs w:val="20"/>
                <w:color w:val="auto"/>
              </w:rPr>
            </w:pPr>
            <w:r>
              <w:rPr>
                <w:rFonts w:ascii="Arial" w:cs="Arial" w:eastAsia="Arial" w:hAnsi="Arial"/>
                <w:sz w:val="13"/>
                <w:szCs w:val="13"/>
                <w:b w:val="1"/>
                <w:bCs w:val="1"/>
                <w:color w:val="auto"/>
              </w:rPr>
              <w:t>Total interest earning assets</w:t>
            </w:r>
          </w:p>
        </w:tc>
        <w:tc>
          <w:tcPr>
            <w:tcW w:w="1200" w:type="dxa"/>
            <w:vAlign w:val="bottom"/>
            <w:tcBorders>
              <w:bottom w:val="single" w:sz="8" w:color="auto"/>
            </w:tcBorders>
          </w:tcPr>
          <w:p>
            <w:pPr>
              <w:jc w:val="right"/>
              <w:ind w:right="113"/>
              <w:spacing w:after="0" w:line="144" w:lineRule="exact"/>
              <w:rPr>
                <w:sz w:val="20"/>
                <w:szCs w:val="20"/>
                <w:color w:val="auto"/>
              </w:rPr>
            </w:pPr>
            <w:r>
              <w:rPr>
                <w:rFonts w:ascii="Arial" w:cs="Arial" w:eastAsia="Arial" w:hAnsi="Arial"/>
                <w:sz w:val="13"/>
                <w:szCs w:val="13"/>
                <w:b w:val="1"/>
                <w:bCs w:val="1"/>
                <w:color w:val="auto"/>
              </w:rPr>
              <w:t>231,699,390</w:t>
            </w:r>
          </w:p>
        </w:tc>
        <w:tc>
          <w:tcPr>
            <w:tcW w:w="1120" w:type="dxa"/>
            <w:vAlign w:val="bottom"/>
            <w:tcBorders>
              <w:bottom w:val="single" w:sz="8" w:color="auto"/>
            </w:tcBorders>
          </w:tcPr>
          <w:p>
            <w:pPr>
              <w:jc w:val="right"/>
              <w:ind w:right="113"/>
              <w:spacing w:after="0" w:line="144" w:lineRule="exact"/>
              <w:rPr>
                <w:sz w:val="20"/>
                <w:szCs w:val="20"/>
                <w:color w:val="auto"/>
              </w:rPr>
            </w:pPr>
            <w:r>
              <w:rPr>
                <w:rFonts w:ascii="Arial" w:cs="Arial" w:eastAsia="Arial" w:hAnsi="Arial"/>
                <w:sz w:val="13"/>
                <w:szCs w:val="13"/>
                <w:b w:val="1"/>
                <w:bCs w:val="1"/>
                <w:color w:val="auto"/>
              </w:rPr>
              <w:t>229,919,946</w:t>
            </w:r>
          </w:p>
        </w:tc>
        <w:tc>
          <w:tcPr>
            <w:tcW w:w="104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222,825,471</w:t>
            </w:r>
          </w:p>
        </w:tc>
        <w:tc>
          <w:tcPr>
            <w:tcW w:w="1340" w:type="dxa"/>
            <w:vAlign w:val="bottom"/>
            <w:tcBorders>
              <w:bottom w:val="single" w:sz="8" w:color="auto"/>
            </w:tcBorders>
          </w:tcPr>
          <w:p>
            <w:pPr>
              <w:jc w:val="right"/>
              <w:ind w:right="373"/>
              <w:spacing w:after="0" w:line="144" w:lineRule="exact"/>
              <w:rPr>
                <w:sz w:val="20"/>
                <w:szCs w:val="20"/>
                <w:color w:val="auto"/>
              </w:rPr>
            </w:pPr>
            <w:r>
              <w:rPr>
                <w:rFonts w:ascii="Arial" w:cs="Arial" w:eastAsia="Arial" w:hAnsi="Arial"/>
                <w:sz w:val="13"/>
                <w:szCs w:val="13"/>
                <w:b w:val="1"/>
                <w:bCs w:val="1"/>
                <w:color w:val="auto"/>
              </w:rPr>
              <w:t>-3.1%</w:t>
            </w:r>
          </w:p>
        </w:tc>
        <w:tc>
          <w:tcPr>
            <w:tcW w:w="680" w:type="dxa"/>
            <w:vAlign w:val="bottom"/>
            <w:tcBorders>
              <w:bottom w:val="single" w:sz="8" w:color="auto"/>
              <w:right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-3.8%</w:t>
            </w:r>
          </w:p>
        </w:tc>
      </w:tr>
    </w:tbl>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QoQ, IEA dropped 3.1% due to a decrease in Available Funds, Loans and Investments. The declines in Available Funds reflect a downturn in liquidity (seen across the financial system) as clients chose to use resources to amortize GP loans. Investments fell this quarter due to a reduction in holdings of repurchase agreements of CDs, which were not renewed to maintain liquidity.</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Total loans fell 1.8%, which was attributable to a decrease in the exchange rate and amortizations of GP loans. Structural loans grew 1.6% (FX neutral), driven primarily by the positive evolution of loans through Retail and Mibanco.</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YoY, IEA fell 3.8% due to a drop in the balances of Available Funds and Investments. This decline was partially offset by Loan growth. As seen in the quarterly dynamic, the reductions in Available Funds and Investments were associated with a drop in liquidity (systemwide) after clients earmarked funds for GP loan amortization.</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Total loans grew 0.7%. This low growth reflects the negative impacts generated by a variation in the exchange rate and a decrease in GP loan balances. Structural loans rose 9.7% (FX neutral), which reflects post-pandemic recovery across portfolios and in Retail Banking and Microfinance in particular. GP loans fell 49.1% YoY.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 Funding</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408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Funding</w:t>
            </w:r>
          </w:p>
        </w:tc>
        <w:tc>
          <w:tcPr>
            <w:tcW w:w="1640" w:type="dxa"/>
            <w:vAlign w:val="bottom"/>
            <w:tcBorders>
              <w:top w:val="single" w:sz="8" w:color="auto"/>
            </w:tcBorders>
            <w:shd w:val="clear" w:color="auto" w:fill="2AD2C9"/>
          </w:tcPr>
          <w:p>
            <w:pPr>
              <w:spacing w:after="0"/>
              <w:rPr>
                <w:sz w:val="14"/>
                <w:szCs w:val="14"/>
                <w:color w:val="auto"/>
              </w:rPr>
            </w:pPr>
          </w:p>
        </w:tc>
        <w:tc>
          <w:tcPr>
            <w:tcW w:w="1500" w:type="dxa"/>
            <w:vAlign w:val="bottom"/>
            <w:tcBorders>
              <w:top w:val="single" w:sz="8" w:color="auto"/>
            </w:tcBorders>
            <w:shd w:val="clear" w:color="auto" w:fill="2AD2C9"/>
          </w:tcPr>
          <w:p>
            <w:pPr>
              <w:jc w:val="right"/>
              <w:ind w:right="673"/>
              <w:spacing w:after="0"/>
              <w:rPr>
                <w:sz w:val="20"/>
                <w:szCs w:val="20"/>
                <w:color w:val="auto"/>
              </w:rPr>
            </w:pPr>
            <w:r>
              <w:rPr>
                <w:rFonts w:ascii="Arial" w:cs="Arial" w:eastAsia="Arial" w:hAnsi="Arial"/>
                <w:sz w:val="13"/>
                <w:szCs w:val="13"/>
                <w:b w:val="1"/>
                <w:bCs w:val="1"/>
                <w:color w:val="FFFFFF"/>
              </w:rPr>
              <w:t>As of</w:t>
            </w:r>
          </w:p>
        </w:tc>
        <w:tc>
          <w:tcPr>
            <w:tcW w:w="1340" w:type="dxa"/>
            <w:vAlign w:val="bottom"/>
            <w:tcBorders>
              <w:top w:val="single" w:sz="8" w:color="auto"/>
              <w:right w:val="single" w:sz="8" w:color="auto"/>
            </w:tcBorders>
            <w:shd w:val="clear" w:color="auto" w:fill="2AD2C9"/>
          </w:tcPr>
          <w:p>
            <w:pPr>
              <w:spacing w:after="0"/>
              <w:rPr>
                <w:sz w:val="14"/>
                <w:szCs w:val="14"/>
                <w:color w:val="auto"/>
              </w:rPr>
            </w:pPr>
          </w:p>
        </w:tc>
        <w:tc>
          <w:tcPr>
            <w:tcW w:w="920" w:type="dxa"/>
            <w:vAlign w:val="bottom"/>
            <w:tcBorders>
              <w:top w:val="single" w:sz="8" w:color="auto"/>
            </w:tcBorders>
            <w:shd w:val="clear" w:color="auto" w:fill="2AD2C9"/>
          </w:tcPr>
          <w:p>
            <w:pPr>
              <w:spacing w:after="0"/>
              <w:rPr>
                <w:sz w:val="14"/>
                <w:szCs w:val="14"/>
                <w:color w:val="auto"/>
              </w:rPr>
            </w:pPr>
          </w:p>
        </w:tc>
        <w:tc>
          <w:tcPr>
            <w:tcW w:w="1780" w:type="dxa"/>
            <w:vAlign w:val="bottom"/>
            <w:tcBorders>
              <w:top w:val="single" w:sz="8" w:color="auto"/>
              <w:right w:val="single" w:sz="8" w:color="auto"/>
            </w:tcBorders>
            <w:shd w:val="clear" w:color="auto" w:fill="2AD2C9"/>
          </w:tcPr>
          <w:p>
            <w:pPr>
              <w:jc w:val="right"/>
              <w:ind w:right="993"/>
              <w:spacing w:after="0"/>
              <w:rPr>
                <w:sz w:val="20"/>
                <w:szCs w:val="20"/>
                <w:color w:val="auto"/>
              </w:rPr>
            </w:pPr>
            <w:r>
              <w:rPr>
                <w:rFonts w:ascii="Arial" w:cs="Arial" w:eastAsia="Arial" w:hAnsi="Arial"/>
                <w:sz w:val="13"/>
                <w:szCs w:val="13"/>
                <w:b w:val="1"/>
                <w:bCs w:val="1"/>
                <w:color w:val="FFFFFF"/>
              </w:rPr>
              <w:t>% change</w:t>
            </w:r>
          </w:p>
        </w:tc>
      </w:tr>
      <w:tr>
        <w:trPr>
          <w:trHeight w:val="151"/>
        </w:trPr>
        <w:tc>
          <w:tcPr>
            <w:tcW w:w="408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S/ 000</w:t>
            </w:r>
          </w:p>
        </w:tc>
        <w:tc>
          <w:tcPr>
            <w:tcW w:w="1640" w:type="dxa"/>
            <w:vAlign w:val="bottom"/>
            <w:tcBorders>
              <w:bottom w:val="single" w:sz="8" w:color="auto"/>
            </w:tcBorders>
            <w:shd w:val="clear" w:color="auto" w:fill="2AD2C9"/>
          </w:tcPr>
          <w:p>
            <w:pPr>
              <w:jc w:val="right"/>
              <w:ind w:right="653"/>
              <w:spacing w:after="0"/>
              <w:rPr>
                <w:sz w:val="20"/>
                <w:szCs w:val="20"/>
                <w:color w:val="auto"/>
              </w:rPr>
            </w:pPr>
            <w:r>
              <w:rPr>
                <w:rFonts w:ascii="Arial" w:cs="Arial" w:eastAsia="Arial" w:hAnsi="Arial"/>
                <w:sz w:val="13"/>
                <w:szCs w:val="13"/>
                <w:b w:val="1"/>
                <w:bCs w:val="1"/>
                <w:color w:val="FFFFFF"/>
              </w:rPr>
              <w:t>Dec 21</w:t>
            </w:r>
          </w:p>
        </w:tc>
        <w:tc>
          <w:tcPr>
            <w:tcW w:w="1500" w:type="dxa"/>
            <w:vAlign w:val="bottom"/>
            <w:tcBorders>
              <w:bottom w:val="single" w:sz="8" w:color="auto"/>
            </w:tcBorders>
            <w:shd w:val="clear" w:color="auto" w:fill="2AD2C9"/>
          </w:tcPr>
          <w:p>
            <w:pPr>
              <w:jc w:val="right"/>
              <w:ind w:right="693"/>
              <w:spacing w:after="0"/>
              <w:rPr>
                <w:sz w:val="20"/>
                <w:szCs w:val="20"/>
                <w:color w:val="auto"/>
              </w:rPr>
            </w:pPr>
            <w:r>
              <w:rPr>
                <w:rFonts w:ascii="Arial" w:cs="Arial" w:eastAsia="Arial" w:hAnsi="Arial"/>
                <w:sz w:val="13"/>
                <w:szCs w:val="13"/>
                <w:b w:val="1"/>
                <w:bCs w:val="1"/>
                <w:color w:val="FFFFFF"/>
              </w:rPr>
              <w:t>Sep 22</w:t>
            </w:r>
          </w:p>
        </w:tc>
        <w:tc>
          <w:tcPr>
            <w:tcW w:w="1340" w:type="dxa"/>
            <w:vAlign w:val="bottom"/>
            <w:tcBorders>
              <w:bottom w:val="single" w:sz="8" w:color="auto"/>
              <w:right w:val="single" w:sz="8" w:color="auto"/>
            </w:tcBorders>
            <w:shd w:val="clear" w:color="auto" w:fill="2AD2C9"/>
          </w:tcPr>
          <w:p>
            <w:pPr>
              <w:jc w:val="right"/>
              <w:ind w:right="513"/>
              <w:spacing w:after="0"/>
              <w:rPr>
                <w:sz w:val="20"/>
                <w:szCs w:val="20"/>
                <w:color w:val="auto"/>
              </w:rPr>
            </w:pPr>
            <w:r>
              <w:rPr>
                <w:rFonts w:ascii="Arial" w:cs="Arial" w:eastAsia="Arial" w:hAnsi="Arial"/>
                <w:sz w:val="13"/>
                <w:szCs w:val="13"/>
                <w:b w:val="1"/>
                <w:bCs w:val="1"/>
                <w:color w:val="FFFFFF"/>
              </w:rPr>
              <w:t>Dec 22</w:t>
            </w:r>
          </w:p>
        </w:tc>
        <w:tc>
          <w:tcPr>
            <w:tcW w:w="920" w:type="dxa"/>
            <w:vAlign w:val="bottom"/>
            <w:tcBorders>
              <w:bottom w:val="single" w:sz="8" w:color="auto"/>
            </w:tcBorders>
            <w:shd w:val="clear" w:color="auto" w:fill="2AD2C9"/>
          </w:tcPr>
          <w:p>
            <w:pPr>
              <w:jc w:val="right"/>
              <w:ind w:right="53"/>
              <w:spacing w:after="0"/>
              <w:rPr>
                <w:sz w:val="20"/>
                <w:szCs w:val="20"/>
                <w:color w:val="auto"/>
              </w:rPr>
            </w:pPr>
            <w:r>
              <w:rPr>
                <w:rFonts w:ascii="Arial" w:cs="Arial" w:eastAsia="Arial" w:hAnsi="Arial"/>
                <w:sz w:val="13"/>
                <w:szCs w:val="13"/>
                <w:b w:val="1"/>
                <w:bCs w:val="1"/>
                <w:color w:val="FFFFFF"/>
              </w:rPr>
              <w:t>QoQ</w:t>
            </w:r>
          </w:p>
        </w:tc>
        <w:tc>
          <w:tcPr>
            <w:tcW w:w="1780" w:type="dxa"/>
            <w:vAlign w:val="bottom"/>
            <w:tcBorders>
              <w:bottom w:val="single" w:sz="8" w:color="auto"/>
              <w:right w:val="single" w:sz="8" w:color="auto"/>
            </w:tcBorders>
            <w:shd w:val="clear" w:color="auto" w:fill="2AD2C9"/>
          </w:tcPr>
          <w:p>
            <w:pPr>
              <w:jc w:val="right"/>
              <w:ind w:right="513"/>
              <w:spacing w:after="0"/>
              <w:rPr>
                <w:sz w:val="20"/>
                <w:szCs w:val="20"/>
                <w:color w:val="auto"/>
              </w:rPr>
            </w:pPr>
            <w:r>
              <w:rPr>
                <w:rFonts w:ascii="Arial" w:cs="Arial" w:eastAsia="Arial" w:hAnsi="Arial"/>
                <w:sz w:val="13"/>
                <w:szCs w:val="13"/>
                <w:b w:val="1"/>
                <w:bCs w:val="1"/>
                <w:color w:val="FFFFFF"/>
              </w:rPr>
              <w:t>YoY</w:t>
            </w:r>
          </w:p>
        </w:tc>
      </w:tr>
      <w:tr>
        <w:trPr>
          <w:trHeight w:val="136"/>
        </w:trPr>
        <w:tc>
          <w:tcPr>
            <w:tcW w:w="4080" w:type="dxa"/>
            <w:vAlign w:val="bottom"/>
            <w:tcBorders>
              <w:left w:val="single" w:sz="8" w:color="auto"/>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Deposits and obligations</w:t>
            </w:r>
          </w:p>
        </w:tc>
        <w:tc>
          <w:tcPr>
            <w:tcW w:w="1640" w:type="dxa"/>
            <w:vAlign w:val="bottom"/>
          </w:tcPr>
          <w:p>
            <w:pPr>
              <w:jc w:val="right"/>
              <w:ind w:right="233"/>
              <w:spacing w:after="0" w:line="136" w:lineRule="exact"/>
              <w:rPr>
                <w:sz w:val="20"/>
                <w:szCs w:val="20"/>
                <w:color w:val="auto"/>
              </w:rPr>
            </w:pPr>
            <w:r>
              <w:rPr>
                <w:rFonts w:ascii="Arial" w:cs="Arial" w:eastAsia="Arial" w:hAnsi="Arial"/>
                <w:sz w:val="13"/>
                <w:szCs w:val="13"/>
                <w:color w:val="auto"/>
              </w:rPr>
              <w:t>149,596,545</w:t>
            </w:r>
          </w:p>
        </w:tc>
        <w:tc>
          <w:tcPr>
            <w:tcW w:w="1500" w:type="dxa"/>
            <w:vAlign w:val="bottom"/>
          </w:tcPr>
          <w:p>
            <w:pPr>
              <w:jc w:val="right"/>
              <w:ind w:right="273"/>
              <w:spacing w:after="0" w:line="136" w:lineRule="exact"/>
              <w:rPr>
                <w:sz w:val="20"/>
                <w:szCs w:val="20"/>
                <w:color w:val="auto"/>
              </w:rPr>
            </w:pPr>
            <w:r>
              <w:rPr>
                <w:rFonts w:ascii="Arial" w:cs="Arial" w:eastAsia="Arial" w:hAnsi="Arial"/>
                <w:sz w:val="13"/>
                <w:szCs w:val="13"/>
                <w:color w:val="auto"/>
              </w:rPr>
              <w:t>151,958,000</w:t>
            </w:r>
          </w:p>
        </w:tc>
        <w:tc>
          <w:tcPr>
            <w:tcW w:w="134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147,020,787</w:t>
            </w:r>
          </w:p>
        </w:tc>
        <w:tc>
          <w:tcPr>
            <w:tcW w:w="920" w:type="dxa"/>
            <w:vAlign w:val="bottom"/>
          </w:tcPr>
          <w:p>
            <w:pPr>
              <w:jc w:val="right"/>
              <w:ind w:right="13"/>
              <w:spacing w:after="0" w:line="136" w:lineRule="exact"/>
              <w:rPr>
                <w:sz w:val="20"/>
                <w:szCs w:val="20"/>
                <w:color w:val="auto"/>
              </w:rPr>
            </w:pPr>
            <w:r>
              <w:rPr>
                <w:rFonts w:ascii="Arial" w:cs="Arial" w:eastAsia="Arial" w:hAnsi="Arial"/>
                <w:sz w:val="13"/>
                <w:szCs w:val="13"/>
                <w:color w:val="auto"/>
              </w:rPr>
              <w:t>-3.2%</w:t>
            </w:r>
          </w:p>
        </w:tc>
        <w:tc>
          <w:tcPr>
            <w:tcW w:w="1780" w:type="dxa"/>
            <w:vAlign w:val="bottom"/>
            <w:tcBorders>
              <w:right w:val="single" w:sz="8" w:color="auto"/>
            </w:tcBorders>
          </w:tcPr>
          <w:p>
            <w:pPr>
              <w:jc w:val="right"/>
              <w:ind w:right="433"/>
              <w:spacing w:after="0" w:line="136" w:lineRule="exact"/>
              <w:rPr>
                <w:sz w:val="20"/>
                <w:szCs w:val="20"/>
                <w:color w:val="auto"/>
              </w:rPr>
            </w:pPr>
            <w:r>
              <w:rPr>
                <w:rFonts w:ascii="Arial" w:cs="Arial" w:eastAsia="Arial" w:hAnsi="Arial"/>
                <w:sz w:val="13"/>
                <w:szCs w:val="13"/>
                <w:color w:val="auto"/>
              </w:rPr>
              <w:t>-1.7%</w:t>
            </w:r>
          </w:p>
        </w:tc>
      </w:tr>
      <w:tr>
        <w:trPr>
          <w:trHeight w:val="151"/>
        </w:trPr>
        <w:tc>
          <w:tcPr>
            <w:tcW w:w="4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Due to banks and correspondents</w:t>
            </w:r>
          </w:p>
        </w:tc>
        <w:tc>
          <w:tcPr>
            <w:tcW w:w="1640" w:type="dxa"/>
            <w:vAlign w:val="bottom"/>
          </w:tcPr>
          <w:p>
            <w:pPr>
              <w:jc w:val="right"/>
              <w:ind w:right="233"/>
              <w:spacing w:after="0"/>
              <w:rPr>
                <w:sz w:val="20"/>
                <w:szCs w:val="20"/>
                <w:color w:val="auto"/>
              </w:rPr>
            </w:pPr>
            <w:r>
              <w:rPr>
                <w:rFonts w:ascii="Arial" w:cs="Arial" w:eastAsia="Arial" w:hAnsi="Arial"/>
                <w:sz w:val="13"/>
                <w:szCs w:val="13"/>
                <w:color w:val="auto"/>
              </w:rPr>
              <w:t>7,212,946</w:t>
            </w:r>
          </w:p>
        </w:tc>
        <w:tc>
          <w:tcPr>
            <w:tcW w:w="1500" w:type="dxa"/>
            <w:vAlign w:val="bottom"/>
          </w:tcPr>
          <w:p>
            <w:pPr>
              <w:jc w:val="right"/>
              <w:ind w:right="273"/>
              <w:spacing w:after="0"/>
              <w:rPr>
                <w:sz w:val="20"/>
                <w:szCs w:val="20"/>
                <w:color w:val="auto"/>
              </w:rPr>
            </w:pPr>
            <w:r>
              <w:rPr>
                <w:rFonts w:ascii="Arial" w:cs="Arial" w:eastAsia="Arial" w:hAnsi="Arial"/>
                <w:sz w:val="13"/>
                <w:szCs w:val="13"/>
                <w:color w:val="auto"/>
              </w:rPr>
              <w:t>9,002,035</w:t>
            </w:r>
          </w:p>
        </w:tc>
        <w:tc>
          <w:tcPr>
            <w:tcW w:w="13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8,937,411</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-0.7%</w:t>
            </w:r>
          </w:p>
        </w:tc>
        <w:tc>
          <w:tcPr>
            <w:tcW w:w="1780" w:type="dxa"/>
            <w:vAlign w:val="bottom"/>
            <w:tcBorders>
              <w:right w:val="single" w:sz="8" w:color="auto"/>
            </w:tcBorders>
          </w:tcPr>
          <w:p>
            <w:pPr>
              <w:jc w:val="right"/>
              <w:ind w:right="433"/>
              <w:spacing w:after="0"/>
              <w:rPr>
                <w:sz w:val="20"/>
                <w:szCs w:val="20"/>
                <w:color w:val="auto"/>
              </w:rPr>
            </w:pPr>
            <w:r>
              <w:rPr>
                <w:rFonts w:ascii="Arial" w:cs="Arial" w:eastAsia="Arial" w:hAnsi="Arial"/>
                <w:sz w:val="13"/>
                <w:szCs w:val="13"/>
                <w:color w:val="auto"/>
              </w:rPr>
              <w:t>23.9%</w:t>
            </w:r>
          </w:p>
        </w:tc>
      </w:tr>
      <w:tr>
        <w:trPr>
          <w:trHeight w:val="151"/>
        </w:trPr>
        <w:tc>
          <w:tcPr>
            <w:tcW w:w="4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BCRP instruments</w:t>
            </w:r>
          </w:p>
        </w:tc>
        <w:tc>
          <w:tcPr>
            <w:tcW w:w="1640" w:type="dxa"/>
            <w:vAlign w:val="bottom"/>
          </w:tcPr>
          <w:p>
            <w:pPr>
              <w:jc w:val="right"/>
              <w:ind w:right="233"/>
              <w:spacing w:after="0"/>
              <w:rPr>
                <w:sz w:val="20"/>
                <w:szCs w:val="20"/>
                <w:color w:val="auto"/>
              </w:rPr>
            </w:pPr>
            <w:r>
              <w:rPr>
                <w:rFonts w:ascii="Arial" w:cs="Arial" w:eastAsia="Arial" w:hAnsi="Arial"/>
                <w:sz w:val="13"/>
                <w:szCs w:val="13"/>
                <w:color w:val="auto"/>
              </w:rPr>
              <w:t>19,692,474</w:t>
            </w:r>
          </w:p>
        </w:tc>
        <w:tc>
          <w:tcPr>
            <w:tcW w:w="1500" w:type="dxa"/>
            <w:vAlign w:val="bottom"/>
          </w:tcPr>
          <w:p>
            <w:pPr>
              <w:jc w:val="right"/>
              <w:ind w:right="273"/>
              <w:spacing w:after="0"/>
              <w:rPr>
                <w:sz w:val="20"/>
                <w:szCs w:val="20"/>
                <w:color w:val="auto"/>
              </w:rPr>
            </w:pPr>
            <w:r>
              <w:rPr>
                <w:rFonts w:ascii="Arial" w:cs="Arial" w:eastAsia="Arial" w:hAnsi="Arial"/>
                <w:sz w:val="13"/>
                <w:szCs w:val="13"/>
                <w:color w:val="auto"/>
              </w:rPr>
              <w:t>14,449,597</w:t>
            </w:r>
          </w:p>
        </w:tc>
        <w:tc>
          <w:tcPr>
            <w:tcW w:w="13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11,297,659</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-21.8%</w:t>
            </w:r>
          </w:p>
        </w:tc>
        <w:tc>
          <w:tcPr>
            <w:tcW w:w="1780" w:type="dxa"/>
            <w:vAlign w:val="bottom"/>
            <w:tcBorders>
              <w:right w:val="single" w:sz="8" w:color="auto"/>
            </w:tcBorders>
          </w:tcPr>
          <w:p>
            <w:pPr>
              <w:jc w:val="right"/>
              <w:ind w:right="433"/>
              <w:spacing w:after="0"/>
              <w:rPr>
                <w:sz w:val="20"/>
                <w:szCs w:val="20"/>
                <w:color w:val="auto"/>
              </w:rPr>
            </w:pPr>
            <w:r>
              <w:rPr>
                <w:rFonts w:ascii="Arial" w:cs="Arial" w:eastAsia="Arial" w:hAnsi="Arial"/>
                <w:sz w:val="13"/>
                <w:szCs w:val="13"/>
                <w:color w:val="auto"/>
              </w:rPr>
              <w:t>-42.6%</w:t>
            </w:r>
          </w:p>
        </w:tc>
      </w:tr>
      <w:tr>
        <w:trPr>
          <w:trHeight w:val="151"/>
        </w:trPr>
        <w:tc>
          <w:tcPr>
            <w:tcW w:w="4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Repurchase agreements</w:t>
            </w:r>
          </w:p>
        </w:tc>
        <w:tc>
          <w:tcPr>
            <w:tcW w:w="1640" w:type="dxa"/>
            <w:vAlign w:val="bottom"/>
          </w:tcPr>
          <w:p>
            <w:pPr>
              <w:jc w:val="right"/>
              <w:ind w:right="233"/>
              <w:spacing w:after="0"/>
              <w:rPr>
                <w:sz w:val="20"/>
                <w:szCs w:val="20"/>
                <w:color w:val="auto"/>
              </w:rPr>
            </w:pPr>
            <w:r>
              <w:rPr>
                <w:rFonts w:ascii="Arial" w:cs="Arial" w:eastAsia="Arial" w:hAnsi="Arial"/>
                <w:sz w:val="13"/>
                <w:szCs w:val="13"/>
                <w:color w:val="auto"/>
              </w:rPr>
              <w:t>1,296,277</w:t>
            </w:r>
          </w:p>
        </w:tc>
        <w:tc>
          <w:tcPr>
            <w:tcW w:w="1500" w:type="dxa"/>
            <w:vAlign w:val="bottom"/>
          </w:tcPr>
          <w:p>
            <w:pPr>
              <w:jc w:val="right"/>
              <w:ind w:right="273"/>
              <w:spacing w:after="0"/>
              <w:rPr>
                <w:sz w:val="20"/>
                <w:szCs w:val="20"/>
                <w:color w:val="auto"/>
              </w:rPr>
            </w:pPr>
            <w:r>
              <w:rPr>
                <w:rFonts w:ascii="Arial" w:cs="Arial" w:eastAsia="Arial" w:hAnsi="Arial"/>
                <w:sz w:val="13"/>
                <w:szCs w:val="13"/>
                <w:color w:val="auto"/>
              </w:rPr>
              <w:t>1,182,946</w:t>
            </w:r>
          </w:p>
        </w:tc>
        <w:tc>
          <w:tcPr>
            <w:tcW w:w="13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976,020</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-17.5%</w:t>
            </w:r>
          </w:p>
        </w:tc>
        <w:tc>
          <w:tcPr>
            <w:tcW w:w="1780" w:type="dxa"/>
            <w:vAlign w:val="bottom"/>
            <w:tcBorders>
              <w:right w:val="single" w:sz="8" w:color="auto"/>
            </w:tcBorders>
          </w:tcPr>
          <w:p>
            <w:pPr>
              <w:jc w:val="right"/>
              <w:ind w:right="433"/>
              <w:spacing w:after="0"/>
              <w:rPr>
                <w:sz w:val="20"/>
                <w:szCs w:val="20"/>
                <w:color w:val="auto"/>
              </w:rPr>
            </w:pPr>
            <w:r>
              <w:rPr>
                <w:rFonts w:ascii="Arial" w:cs="Arial" w:eastAsia="Arial" w:hAnsi="Arial"/>
                <w:sz w:val="13"/>
                <w:szCs w:val="13"/>
                <w:color w:val="auto"/>
              </w:rPr>
              <w:t>-24.7%</w:t>
            </w:r>
          </w:p>
        </w:tc>
      </w:tr>
      <w:tr>
        <w:trPr>
          <w:trHeight w:val="159"/>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Bonds and notes issued</w:t>
            </w:r>
          </w:p>
        </w:tc>
        <w:tc>
          <w:tcPr>
            <w:tcW w:w="16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17,823,146</w:t>
            </w:r>
          </w:p>
        </w:tc>
        <w:tc>
          <w:tcPr>
            <w:tcW w:w="15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17,853,708</w:t>
            </w:r>
          </w:p>
        </w:tc>
        <w:tc>
          <w:tcPr>
            <w:tcW w:w="13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17,007,194</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-4.7%</w:t>
            </w:r>
          </w:p>
        </w:tc>
        <w:tc>
          <w:tcPr>
            <w:tcW w:w="178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13"/>
                <w:szCs w:val="13"/>
                <w:color w:val="auto"/>
              </w:rPr>
              <w:t>-4.6%</w:t>
            </w:r>
          </w:p>
        </w:tc>
      </w:tr>
      <w:tr>
        <w:trPr>
          <w:trHeight w:val="144"/>
        </w:trPr>
        <w:tc>
          <w:tcPr>
            <w:tcW w:w="4080" w:type="dxa"/>
            <w:vAlign w:val="bottom"/>
            <w:tcBorders>
              <w:left w:val="single" w:sz="8" w:color="auto"/>
              <w:bottom w:val="single" w:sz="8" w:color="auto"/>
              <w:right w:val="single" w:sz="8" w:color="auto"/>
            </w:tcBorders>
          </w:tcPr>
          <w:p>
            <w:pPr>
              <w:ind w:left="40"/>
              <w:spacing w:after="0" w:line="144" w:lineRule="exact"/>
              <w:rPr>
                <w:sz w:val="20"/>
                <w:szCs w:val="20"/>
                <w:color w:val="auto"/>
              </w:rPr>
            </w:pPr>
            <w:r>
              <w:rPr>
                <w:rFonts w:ascii="Arial" w:cs="Arial" w:eastAsia="Arial" w:hAnsi="Arial"/>
                <w:sz w:val="13"/>
                <w:szCs w:val="13"/>
                <w:b w:val="1"/>
                <w:bCs w:val="1"/>
                <w:color w:val="auto"/>
              </w:rPr>
              <w:t>Total funding</w:t>
            </w:r>
          </w:p>
        </w:tc>
        <w:tc>
          <w:tcPr>
            <w:tcW w:w="1640" w:type="dxa"/>
            <w:vAlign w:val="bottom"/>
            <w:tcBorders>
              <w:bottom w:val="single" w:sz="8" w:color="auto"/>
            </w:tcBorders>
          </w:tcPr>
          <w:p>
            <w:pPr>
              <w:jc w:val="right"/>
              <w:ind w:right="233"/>
              <w:spacing w:after="0" w:line="144" w:lineRule="exact"/>
              <w:rPr>
                <w:sz w:val="20"/>
                <w:szCs w:val="20"/>
                <w:color w:val="auto"/>
              </w:rPr>
            </w:pPr>
            <w:r>
              <w:rPr>
                <w:rFonts w:ascii="Arial" w:cs="Arial" w:eastAsia="Arial" w:hAnsi="Arial"/>
                <w:sz w:val="13"/>
                <w:szCs w:val="13"/>
                <w:b w:val="1"/>
                <w:bCs w:val="1"/>
                <w:color w:val="auto"/>
              </w:rPr>
              <w:t>195,621,388</w:t>
            </w:r>
          </w:p>
        </w:tc>
        <w:tc>
          <w:tcPr>
            <w:tcW w:w="1500" w:type="dxa"/>
            <w:vAlign w:val="bottom"/>
            <w:tcBorders>
              <w:bottom w:val="single" w:sz="8" w:color="auto"/>
            </w:tcBorders>
          </w:tcPr>
          <w:p>
            <w:pPr>
              <w:jc w:val="right"/>
              <w:ind w:right="273"/>
              <w:spacing w:after="0" w:line="144" w:lineRule="exact"/>
              <w:rPr>
                <w:sz w:val="20"/>
                <w:szCs w:val="20"/>
                <w:color w:val="auto"/>
              </w:rPr>
            </w:pPr>
            <w:r>
              <w:rPr>
                <w:rFonts w:ascii="Arial" w:cs="Arial" w:eastAsia="Arial" w:hAnsi="Arial"/>
                <w:sz w:val="13"/>
                <w:szCs w:val="13"/>
                <w:b w:val="1"/>
                <w:bCs w:val="1"/>
                <w:color w:val="auto"/>
              </w:rPr>
              <w:t>194,446,286</w:t>
            </w:r>
          </w:p>
        </w:tc>
        <w:tc>
          <w:tcPr>
            <w:tcW w:w="134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185,239,071</w:t>
            </w:r>
          </w:p>
        </w:tc>
        <w:tc>
          <w:tcPr>
            <w:tcW w:w="920" w:type="dxa"/>
            <w:vAlign w:val="bottom"/>
            <w:tcBorders>
              <w:bottom w:val="single" w:sz="8" w:color="auto"/>
            </w:tcBorders>
          </w:tcPr>
          <w:p>
            <w:pPr>
              <w:jc w:val="right"/>
              <w:ind w:right="13"/>
              <w:spacing w:after="0" w:line="144" w:lineRule="exact"/>
              <w:rPr>
                <w:sz w:val="20"/>
                <w:szCs w:val="20"/>
                <w:color w:val="auto"/>
              </w:rPr>
            </w:pPr>
            <w:r>
              <w:rPr>
                <w:rFonts w:ascii="Arial" w:cs="Arial" w:eastAsia="Arial" w:hAnsi="Arial"/>
                <w:sz w:val="13"/>
                <w:szCs w:val="13"/>
                <w:b w:val="1"/>
                <w:bCs w:val="1"/>
                <w:color w:val="auto"/>
              </w:rPr>
              <w:t>-4.7%</w:t>
            </w:r>
          </w:p>
        </w:tc>
        <w:tc>
          <w:tcPr>
            <w:tcW w:w="1780" w:type="dxa"/>
            <w:vAlign w:val="bottom"/>
            <w:tcBorders>
              <w:bottom w:val="single" w:sz="8" w:color="auto"/>
              <w:right w:val="single" w:sz="8" w:color="auto"/>
            </w:tcBorders>
          </w:tcPr>
          <w:p>
            <w:pPr>
              <w:jc w:val="right"/>
              <w:ind w:right="433"/>
              <w:spacing w:after="0" w:line="144" w:lineRule="exact"/>
              <w:rPr>
                <w:sz w:val="20"/>
                <w:szCs w:val="20"/>
                <w:color w:val="auto"/>
              </w:rPr>
            </w:pPr>
            <w:r>
              <w:rPr>
                <w:rFonts w:ascii="Arial" w:cs="Arial" w:eastAsia="Arial" w:hAnsi="Arial"/>
                <w:sz w:val="13"/>
                <w:szCs w:val="13"/>
                <w:b w:val="1"/>
                <w:bCs w:val="1"/>
                <w:color w:val="auto"/>
              </w:rPr>
              <w:t>-5.3%</w:t>
            </w:r>
          </w:p>
        </w:tc>
      </w:tr>
    </w:tbl>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QoQ and YoY, funding dropped 4.7% and 5.3% respectively due to a decline in balances of BCRP instruments and a reduction in deposits volumes, which reflected the impact of GP loan amortizations. It is important to note that QoQ, deposits fell 1.1% (FX neutral) after funds exited demand deposits. YoY, the deposit balance remained stable (FX neutral) in a context marked by migrations between deposit types as clients seek higher-yield alternatives.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6" w:name="page27"/>
    <w:bookmarkEnd w:id="26"/>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216535</wp:posOffset>
            </wp:positionV>
            <wp:extent cx="7141845" cy="535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49"/>
          <w:szCs w:val="49"/>
          <w:b w:val="1"/>
          <w:bCs w:val="1"/>
          <w:color w:val="E93CAC"/>
        </w:rPr>
        <w:t xml:space="preserve">04 </w:t>
      </w:r>
      <w:r>
        <w:rPr>
          <w:rFonts w:ascii="Arial" w:cs="Arial" w:eastAsia="Arial" w:hAnsi="Arial"/>
          <w:sz w:val="30"/>
          <w:szCs w:val="30"/>
          <w:color w:val="E93CAC"/>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141845" cy="10782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845" cy="1078230"/>
                    </a:xfrm>
                    <a:prstGeom prst="rect">
                      <a:avLst/>
                    </a:prstGeom>
                    <a:noFill/>
                  </pic:spPr>
                </pic:pic>
              </a:graphicData>
            </a:graphic>
          </wp:anchor>
        </w:drawing>
      </w:r>
    </w:p>
    <w:p>
      <w:pPr>
        <w:spacing w:after="0" w:line="381" w:lineRule="exact"/>
        <w:rPr>
          <w:sz w:val="20"/>
          <w:szCs w:val="20"/>
          <w:color w:val="auto"/>
        </w:rPr>
      </w:pPr>
    </w:p>
    <w:p>
      <w:pPr>
        <w:jc w:val="both"/>
        <w:ind w:left="160" w:right="160"/>
        <w:spacing w:after="0" w:line="242" w:lineRule="auto"/>
        <w:rPr>
          <w:sz w:val="20"/>
          <w:szCs w:val="20"/>
          <w:color w:val="auto"/>
        </w:rPr>
      </w:pPr>
      <w:r>
        <w:rPr>
          <w:rFonts w:ascii="Arial" w:cs="Arial" w:eastAsia="Arial" w:hAnsi="Arial"/>
          <w:sz w:val="17"/>
          <w:szCs w:val="17"/>
          <w:color w:val="FFFFFF"/>
        </w:rPr>
        <w:t>In 4Q22, growth in Net Interest Income was fueled by our disciplined pricing management in an environment of increasing market rates. In this context, IEA Yields exceeded the Cost of Funding. Volume dynamics also contributed to growth in IEA Yields via a higher-yield IEA mix. The broad base of low-cost deposits (55.7% of funding) and a decrease in the funding volume attenuated the uptick in interest expenses generated by the rising Cost of Funds.</w:t>
      </w:r>
    </w:p>
    <w:p>
      <w:pPr>
        <w:spacing w:after="0" w:line="155" w:lineRule="exact"/>
        <w:rPr>
          <w:sz w:val="20"/>
          <w:szCs w:val="20"/>
          <w:color w:val="auto"/>
        </w:rPr>
      </w:pPr>
    </w:p>
    <w:p>
      <w:pPr>
        <w:jc w:val="both"/>
        <w:ind w:left="160" w:right="180"/>
        <w:spacing w:after="0" w:line="263" w:lineRule="auto"/>
        <w:rPr>
          <w:sz w:val="20"/>
          <w:szCs w:val="20"/>
          <w:color w:val="auto"/>
        </w:rPr>
      </w:pPr>
      <w:r>
        <w:rPr>
          <w:rFonts w:ascii="Arial" w:cs="Arial" w:eastAsia="Arial" w:hAnsi="Arial"/>
          <w:sz w:val="17"/>
          <w:szCs w:val="17"/>
          <w:color w:val="FFFFFF"/>
        </w:rPr>
        <w:t>In this context, the Net Interest Margin grew 42 bps QoQ and 148 bps YoY to stand at 5.73%. while the Structural Net Interest Margin stood at 5.95%.</w:t>
      </w:r>
    </w:p>
    <w:p>
      <w:pPr>
        <w:spacing w:after="0" w:line="323"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31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Net Interest Income / Margin</w:t>
            </w:r>
          </w:p>
        </w:tc>
        <w:tc>
          <w:tcPr>
            <w:tcW w:w="1060" w:type="dxa"/>
            <w:vAlign w:val="bottom"/>
            <w:tcBorders>
              <w:top w:val="single" w:sz="8" w:color="auto"/>
            </w:tcBorders>
            <w:shd w:val="clear" w:color="auto" w:fill="2AD2C9"/>
          </w:tcPr>
          <w:p>
            <w:pPr>
              <w:spacing w:after="0"/>
              <w:rPr>
                <w:sz w:val="14"/>
                <w:szCs w:val="14"/>
                <w:color w:val="auto"/>
              </w:rPr>
            </w:pPr>
          </w:p>
        </w:tc>
        <w:tc>
          <w:tcPr>
            <w:tcW w:w="1000" w:type="dxa"/>
            <w:vAlign w:val="bottom"/>
            <w:tcBorders>
              <w:top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Quarter</w:t>
            </w:r>
          </w:p>
        </w:tc>
        <w:tc>
          <w:tcPr>
            <w:tcW w:w="980" w:type="dxa"/>
            <w:vAlign w:val="bottom"/>
            <w:tcBorders>
              <w:top w:val="single" w:sz="8" w:color="auto"/>
              <w:right w:val="single" w:sz="8" w:color="auto"/>
            </w:tcBorders>
            <w:shd w:val="clear" w:color="auto" w:fill="2AD2C9"/>
          </w:tcPr>
          <w:p>
            <w:pPr>
              <w:spacing w:after="0"/>
              <w:rPr>
                <w:sz w:val="14"/>
                <w:szCs w:val="14"/>
                <w:color w:val="auto"/>
              </w:rPr>
            </w:pPr>
          </w:p>
        </w:tc>
        <w:tc>
          <w:tcPr>
            <w:tcW w:w="2020" w:type="dxa"/>
            <w:vAlign w:val="bottom"/>
            <w:tcBorders>
              <w:top w:val="single" w:sz="8" w:color="auto"/>
              <w:right w:val="single" w:sz="8" w:color="auto"/>
            </w:tcBorders>
            <w:gridSpan w:val="2"/>
            <w:shd w:val="clear" w:color="auto" w:fill="2AD2C9"/>
          </w:tcPr>
          <w:p>
            <w:pPr>
              <w:ind w:left="640"/>
              <w:spacing w:after="0"/>
              <w:rPr>
                <w:sz w:val="20"/>
                <w:szCs w:val="20"/>
                <w:color w:val="auto"/>
              </w:rPr>
            </w:pPr>
            <w:r>
              <w:rPr>
                <w:rFonts w:ascii="Arial" w:cs="Arial" w:eastAsia="Arial" w:hAnsi="Arial"/>
                <w:sz w:val="13"/>
                <w:szCs w:val="13"/>
                <w:b w:val="1"/>
                <w:bCs w:val="1"/>
                <w:color w:val="FFFFFF"/>
              </w:rPr>
              <w:t>% change</w:t>
            </w:r>
          </w:p>
        </w:tc>
        <w:tc>
          <w:tcPr>
            <w:tcW w:w="114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860" w:type="dxa"/>
            <w:vAlign w:val="bottom"/>
            <w:tcBorders>
              <w:top w:val="single" w:sz="8" w:color="auto"/>
              <w:right w:val="single" w:sz="8" w:color="auto"/>
            </w:tcBorders>
            <w:shd w:val="clear" w:color="auto" w:fill="2AD2C9"/>
          </w:tcPr>
          <w:p>
            <w:pPr>
              <w:spacing w:after="0"/>
              <w:rPr>
                <w:sz w:val="14"/>
                <w:szCs w:val="14"/>
                <w:color w:val="auto"/>
              </w:rPr>
            </w:pPr>
          </w:p>
        </w:tc>
        <w:tc>
          <w:tcPr>
            <w:tcW w:w="102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51"/>
        </w:trPr>
        <w:tc>
          <w:tcPr>
            <w:tcW w:w="31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000</w:t>
            </w:r>
          </w:p>
        </w:tc>
        <w:tc>
          <w:tcPr>
            <w:tcW w:w="1060" w:type="dxa"/>
            <w:vAlign w:val="bottom"/>
            <w:tcBorders>
              <w:bottom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4Q21</w:t>
            </w:r>
          </w:p>
        </w:tc>
        <w:tc>
          <w:tcPr>
            <w:tcW w:w="1000" w:type="dxa"/>
            <w:vAlign w:val="bottom"/>
            <w:tcBorders>
              <w:bottom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3Q22</w:t>
            </w:r>
          </w:p>
        </w:tc>
        <w:tc>
          <w:tcPr>
            <w:tcW w:w="980" w:type="dxa"/>
            <w:vAlign w:val="bottom"/>
            <w:tcBorders>
              <w:bottom w:val="single" w:sz="8" w:color="auto"/>
              <w:right w:val="single" w:sz="8" w:color="auto"/>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4Q22</w:t>
            </w:r>
          </w:p>
        </w:tc>
        <w:tc>
          <w:tcPr>
            <w:tcW w:w="100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3"/>
                <w:szCs w:val="13"/>
                <w:b w:val="1"/>
                <w:bCs w:val="1"/>
                <w:color w:val="FFFFFF"/>
              </w:rPr>
              <w:t>QoQ</w:t>
            </w:r>
          </w:p>
        </w:tc>
        <w:tc>
          <w:tcPr>
            <w:tcW w:w="102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3"/>
                <w:szCs w:val="13"/>
                <w:b w:val="1"/>
                <w:bCs w:val="1"/>
                <w:color w:val="FFFFFF"/>
              </w:rPr>
              <w:t>YoY</w:t>
            </w:r>
          </w:p>
        </w:tc>
        <w:tc>
          <w:tcPr>
            <w:tcW w:w="1140" w:type="dxa"/>
            <w:vAlign w:val="bottom"/>
            <w:tcBorders>
              <w:bottom w:val="single" w:sz="8" w:color="auto"/>
            </w:tcBorders>
            <w:shd w:val="clear" w:color="auto" w:fill="2AD2C9"/>
          </w:tcPr>
          <w:p>
            <w:pPr>
              <w:jc w:val="right"/>
              <w:ind w:right="413"/>
              <w:spacing w:after="0"/>
              <w:rPr>
                <w:sz w:val="20"/>
                <w:szCs w:val="20"/>
                <w:color w:val="auto"/>
              </w:rPr>
            </w:pPr>
            <w:r>
              <w:rPr>
                <w:rFonts w:ascii="Arial" w:cs="Arial" w:eastAsia="Arial" w:hAnsi="Arial"/>
                <w:sz w:val="13"/>
                <w:szCs w:val="13"/>
                <w:b w:val="1"/>
                <w:bCs w:val="1"/>
                <w:color w:val="FFFFFF"/>
              </w:rPr>
              <w:t>Dec 21</w:t>
            </w:r>
          </w:p>
        </w:tc>
        <w:tc>
          <w:tcPr>
            <w:tcW w:w="860" w:type="dxa"/>
            <w:vAlign w:val="bottom"/>
            <w:tcBorders>
              <w:bottom w:val="single" w:sz="8" w:color="auto"/>
              <w:right w:val="single" w:sz="8" w:color="auto"/>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Dec 22</w:t>
            </w:r>
          </w:p>
        </w:tc>
        <w:tc>
          <w:tcPr>
            <w:tcW w:w="10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Dec 22 / Dec 21</w:t>
            </w:r>
          </w:p>
        </w:tc>
      </w:tr>
      <w:tr>
        <w:trPr>
          <w:trHeight w:val="136"/>
        </w:trPr>
        <w:tc>
          <w:tcPr>
            <w:tcW w:w="3180" w:type="dxa"/>
            <w:vAlign w:val="bottom"/>
            <w:tcBorders>
              <w:left w:val="single" w:sz="8" w:color="auto"/>
              <w:right w:val="single" w:sz="8" w:color="auto"/>
            </w:tcBorders>
          </w:tcPr>
          <w:p>
            <w:pPr>
              <w:ind w:left="160"/>
              <w:spacing w:after="0" w:line="136" w:lineRule="exact"/>
              <w:rPr>
                <w:sz w:val="20"/>
                <w:szCs w:val="20"/>
                <w:color w:val="auto"/>
              </w:rPr>
            </w:pPr>
            <w:r>
              <w:rPr>
                <w:rFonts w:ascii="Arial" w:cs="Arial" w:eastAsia="Arial" w:hAnsi="Arial"/>
                <w:sz w:val="13"/>
                <w:szCs w:val="13"/>
                <w:color w:val="auto"/>
              </w:rPr>
              <w:t>Interest Income</w:t>
            </w:r>
          </w:p>
        </w:tc>
        <w:tc>
          <w:tcPr>
            <w:tcW w:w="1060" w:type="dxa"/>
            <w:vAlign w:val="bottom"/>
          </w:tcPr>
          <w:p>
            <w:pPr>
              <w:jc w:val="right"/>
              <w:ind w:right="73"/>
              <w:spacing w:after="0" w:line="136" w:lineRule="exact"/>
              <w:rPr>
                <w:sz w:val="20"/>
                <w:szCs w:val="20"/>
                <w:color w:val="auto"/>
              </w:rPr>
            </w:pPr>
            <w:r>
              <w:rPr>
                <w:rFonts w:ascii="Arial" w:cs="Arial" w:eastAsia="Arial" w:hAnsi="Arial"/>
                <w:sz w:val="13"/>
                <w:szCs w:val="13"/>
                <w:color w:val="auto"/>
              </w:rPr>
              <w:t>3,091,754</w:t>
            </w:r>
          </w:p>
        </w:tc>
        <w:tc>
          <w:tcPr>
            <w:tcW w:w="1000" w:type="dxa"/>
            <w:vAlign w:val="bottom"/>
          </w:tcPr>
          <w:p>
            <w:pPr>
              <w:jc w:val="right"/>
              <w:ind w:right="53"/>
              <w:spacing w:after="0" w:line="136" w:lineRule="exact"/>
              <w:rPr>
                <w:sz w:val="20"/>
                <w:szCs w:val="20"/>
                <w:color w:val="auto"/>
              </w:rPr>
            </w:pPr>
            <w:r>
              <w:rPr>
                <w:rFonts w:ascii="Arial" w:cs="Arial" w:eastAsia="Arial" w:hAnsi="Arial"/>
                <w:sz w:val="13"/>
                <w:szCs w:val="13"/>
                <w:color w:val="auto"/>
              </w:rPr>
              <w:t>3,988,681</w:t>
            </w:r>
          </w:p>
        </w:tc>
        <w:tc>
          <w:tcPr>
            <w:tcW w:w="98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4,362,142</w:t>
            </w:r>
          </w:p>
        </w:tc>
        <w:tc>
          <w:tcPr>
            <w:tcW w:w="1000" w:type="dxa"/>
            <w:vAlign w:val="bottom"/>
          </w:tcPr>
          <w:p>
            <w:pPr>
              <w:jc w:val="center"/>
              <w:spacing w:after="0" w:line="136" w:lineRule="exact"/>
              <w:rPr>
                <w:sz w:val="20"/>
                <w:szCs w:val="20"/>
                <w:color w:val="auto"/>
              </w:rPr>
            </w:pPr>
            <w:r>
              <w:rPr>
                <w:rFonts w:ascii="Arial" w:cs="Arial" w:eastAsia="Arial" w:hAnsi="Arial"/>
                <w:sz w:val="13"/>
                <w:szCs w:val="13"/>
                <w:color w:val="auto"/>
              </w:rPr>
              <w:t>9.4%</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41.1%</w:t>
            </w:r>
          </w:p>
        </w:tc>
        <w:tc>
          <w:tcPr>
            <w:tcW w:w="1140" w:type="dxa"/>
            <w:vAlign w:val="bottom"/>
          </w:tcPr>
          <w:p>
            <w:pPr>
              <w:jc w:val="right"/>
              <w:ind w:right="173"/>
              <w:spacing w:after="0" w:line="136" w:lineRule="exact"/>
              <w:rPr>
                <w:sz w:val="20"/>
                <w:szCs w:val="20"/>
                <w:color w:val="auto"/>
              </w:rPr>
            </w:pPr>
            <w:r>
              <w:rPr>
                <w:rFonts w:ascii="Arial" w:cs="Arial" w:eastAsia="Arial" w:hAnsi="Arial"/>
                <w:sz w:val="13"/>
                <w:szCs w:val="13"/>
                <w:color w:val="auto"/>
              </w:rPr>
              <w:t>11,850,406</w:t>
            </w:r>
          </w:p>
        </w:tc>
        <w:tc>
          <w:tcPr>
            <w:tcW w:w="86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15,011,282</w:t>
            </w:r>
          </w:p>
        </w:tc>
        <w:tc>
          <w:tcPr>
            <w:tcW w:w="10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26.7%</w:t>
            </w:r>
          </w:p>
        </w:tc>
      </w:tr>
      <w:tr>
        <w:trPr>
          <w:trHeight w:val="159"/>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Expense</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614,520</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987,222</w:t>
            </w:r>
          </w:p>
        </w:tc>
        <w:tc>
          <w:tcPr>
            <w:tcW w:w="9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1,119,124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13.4%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82.1%</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2,490,802</w:t>
            </w:r>
          </w:p>
        </w:tc>
        <w:tc>
          <w:tcPr>
            <w:tcW w:w="8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3,493,187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40.2%</w:t>
            </w:r>
          </w:p>
        </w:tc>
      </w:tr>
      <w:tr>
        <w:trPr>
          <w:trHeight w:val="178"/>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Net Interest Income</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2,477,234</w:t>
            </w:r>
          </w:p>
        </w:tc>
        <w:tc>
          <w:tcPr>
            <w:tcW w:w="1000" w:type="dxa"/>
            <w:vAlign w:val="bottom"/>
          </w:tcPr>
          <w:p>
            <w:pPr>
              <w:jc w:val="right"/>
              <w:ind w:right="53"/>
              <w:spacing w:after="0"/>
              <w:rPr>
                <w:sz w:val="20"/>
                <w:szCs w:val="20"/>
                <w:color w:val="auto"/>
              </w:rPr>
            </w:pPr>
            <w:r>
              <w:rPr>
                <w:rFonts w:ascii="Arial" w:cs="Arial" w:eastAsia="Arial" w:hAnsi="Arial"/>
                <w:sz w:val="13"/>
                <w:szCs w:val="13"/>
                <w:b w:val="1"/>
                <w:bCs w:val="1"/>
                <w:color w:val="auto"/>
              </w:rPr>
              <w:t>3,001,459</w:t>
            </w:r>
          </w:p>
        </w:tc>
        <w:tc>
          <w:tcPr>
            <w:tcW w:w="9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3,243,018</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8.0%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30.9%</w:t>
            </w:r>
          </w:p>
        </w:tc>
        <w:tc>
          <w:tcPr>
            <w:tcW w:w="1140" w:type="dxa"/>
            <w:vAlign w:val="bottom"/>
          </w:tcPr>
          <w:p>
            <w:pPr>
              <w:jc w:val="right"/>
              <w:ind w:right="173"/>
              <w:spacing w:after="0"/>
              <w:rPr>
                <w:sz w:val="20"/>
                <w:szCs w:val="20"/>
                <w:color w:val="auto"/>
              </w:rPr>
            </w:pPr>
            <w:r>
              <w:rPr>
                <w:rFonts w:ascii="Arial" w:cs="Arial" w:eastAsia="Arial" w:hAnsi="Arial"/>
                <w:sz w:val="13"/>
                <w:szCs w:val="13"/>
                <w:b w:val="1"/>
                <w:bCs w:val="1"/>
                <w:color w:val="auto"/>
              </w:rPr>
              <w:t>9,359,604</w:t>
            </w: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11,518,095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23.1%</w:t>
            </w:r>
          </w:p>
        </w:tc>
      </w:tr>
      <w:tr>
        <w:trPr>
          <w:trHeight w:val="26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Balances</w:t>
            </w:r>
          </w:p>
        </w:tc>
        <w:tc>
          <w:tcPr>
            <w:tcW w:w="10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Average Interest Earning Assets (IEA)</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233,022,571</w:t>
            </w: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226,137,887</w:t>
            </w:r>
          </w:p>
        </w:tc>
        <w:tc>
          <w:tcPr>
            <w:tcW w:w="9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226,372,709</w:t>
            </w:r>
          </w:p>
        </w:tc>
        <w:tc>
          <w:tcPr>
            <w:tcW w:w="1000" w:type="dxa"/>
            <w:vAlign w:val="bottom"/>
          </w:tcPr>
          <w:p>
            <w:pPr>
              <w:jc w:val="center"/>
              <w:spacing w:after="0"/>
              <w:rPr>
                <w:sz w:val="20"/>
                <w:szCs w:val="20"/>
                <w:color w:val="auto"/>
              </w:rPr>
            </w:pPr>
            <w:r>
              <w:rPr>
                <w:rFonts w:ascii="Arial" w:cs="Arial" w:eastAsia="Arial" w:hAnsi="Arial"/>
                <w:sz w:val="13"/>
                <w:szCs w:val="13"/>
                <w:color w:val="auto"/>
              </w:rPr>
              <w:t>0.1%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-2.9%</w:t>
            </w:r>
          </w:p>
        </w:tc>
        <w:tc>
          <w:tcPr>
            <w:tcW w:w="1140" w:type="dxa"/>
            <w:vAlign w:val="bottom"/>
          </w:tcPr>
          <w:p>
            <w:pPr>
              <w:jc w:val="right"/>
              <w:ind w:right="173"/>
              <w:spacing w:after="0"/>
              <w:rPr>
                <w:sz w:val="20"/>
                <w:szCs w:val="20"/>
                <w:color w:val="auto"/>
              </w:rPr>
            </w:pPr>
            <w:r>
              <w:rPr>
                <w:rFonts w:ascii="Arial" w:cs="Arial" w:eastAsia="Arial" w:hAnsi="Arial"/>
                <w:sz w:val="13"/>
                <w:szCs w:val="13"/>
                <w:color w:val="auto"/>
              </w:rPr>
              <w:t>228,163,486</w:t>
            </w: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227,262,431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-0.4%</w:t>
            </w:r>
          </w:p>
        </w:tc>
      </w:tr>
      <w:tr>
        <w:trPr>
          <w:trHeight w:val="175"/>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Average Funding</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197,645,370</w:t>
            </w: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191,147,468</w:t>
            </w:r>
          </w:p>
        </w:tc>
        <w:tc>
          <w:tcPr>
            <w:tcW w:w="9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189,842,678</w:t>
            </w:r>
          </w:p>
        </w:tc>
        <w:tc>
          <w:tcPr>
            <w:tcW w:w="1000" w:type="dxa"/>
            <w:vAlign w:val="bottom"/>
          </w:tcPr>
          <w:p>
            <w:pPr>
              <w:jc w:val="center"/>
              <w:spacing w:after="0"/>
              <w:rPr>
                <w:sz w:val="20"/>
                <w:szCs w:val="20"/>
                <w:color w:val="auto"/>
              </w:rPr>
            </w:pPr>
            <w:r>
              <w:rPr>
                <w:rFonts w:ascii="Arial" w:cs="Arial" w:eastAsia="Arial" w:hAnsi="Arial"/>
                <w:sz w:val="13"/>
                <w:szCs w:val="13"/>
                <w:color w:val="auto"/>
                <w:w w:val="99"/>
              </w:rPr>
              <w:t>-0.7%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-3.9%</w:t>
            </w:r>
          </w:p>
        </w:tc>
        <w:tc>
          <w:tcPr>
            <w:tcW w:w="1140" w:type="dxa"/>
            <w:vAlign w:val="bottom"/>
          </w:tcPr>
          <w:p>
            <w:pPr>
              <w:jc w:val="right"/>
              <w:ind w:right="173"/>
              <w:spacing w:after="0"/>
              <w:rPr>
                <w:sz w:val="20"/>
                <w:szCs w:val="20"/>
                <w:color w:val="auto"/>
              </w:rPr>
            </w:pPr>
            <w:r>
              <w:rPr>
                <w:rFonts w:ascii="Arial" w:cs="Arial" w:eastAsia="Arial" w:hAnsi="Arial"/>
                <w:sz w:val="13"/>
                <w:szCs w:val="13"/>
                <w:color w:val="auto"/>
              </w:rPr>
              <w:t>193,546,219</w:t>
            </w: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190,430,229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w:t>
            </w:r>
          </w:p>
        </w:tc>
      </w:tr>
      <w:tr>
        <w:trPr>
          <w:trHeight w:val="278"/>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Yields</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Yield on IEAs</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5.31%</w:t>
            </w: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7.06%</w:t>
            </w:r>
          </w:p>
        </w:tc>
        <w:tc>
          <w:tcPr>
            <w:tcW w:w="9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7.71%</w:t>
            </w:r>
          </w:p>
        </w:tc>
        <w:tc>
          <w:tcPr>
            <w:tcW w:w="1000" w:type="dxa"/>
            <w:vAlign w:val="bottom"/>
          </w:tcPr>
          <w:p>
            <w:pPr>
              <w:jc w:val="center"/>
              <w:spacing w:after="0"/>
              <w:rPr>
                <w:sz w:val="20"/>
                <w:szCs w:val="20"/>
                <w:color w:val="auto"/>
              </w:rPr>
            </w:pPr>
            <w:r>
              <w:rPr>
                <w:rFonts w:ascii="Arial" w:cs="Arial" w:eastAsia="Arial" w:hAnsi="Arial"/>
                <w:sz w:val="13"/>
                <w:szCs w:val="13"/>
                <w:color w:val="auto"/>
              </w:rPr>
              <w:t>65pbs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240pbs</w:t>
            </w:r>
          </w:p>
        </w:tc>
        <w:tc>
          <w:tcPr>
            <w:tcW w:w="1140" w:type="dxa"/>
            <w:vAlign w:val="bottom"/>
          </w:tcPr>
          <w:p>
            <w:pPr>
              <w:jc w:val="right"/>
              <w:ind w:right="173"/>
              <w:spacing w:after="0"/>
              <w:rPr>
                <w:sz w:val="20"/>
                <w:szCs w:val="20"/>
                <w:color w:val="auto"/>
              </w:rPr>
            </w:pPr>
            <w:r>
              <w:rPr>
                <w:rFonts w:ascii="Arial" w:cs="Arial" w:eastAsia="Arial" w:hAnsi="Arial"/>
                <w:sz w:val="13"/>
                <w:szCs w:val="13"/>
                <w:color w:val="auto"/>
              </w:rPr>
              <w:t>5.19%</w:t>
            </w: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6.61%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142pbs</w:t>
            </w:r>
          </w:p>
        </w:tc>
      </w:tr>
      <w:tr>
        <w:trPr>
          <w:trHeight w:val="149"/>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Cost of Funds</w:t>
            </w:r>
          </w:p>
        </w:tc>
        <w:tc>
          <w:tcPr>
            <w:tcW w:w="1060" w:type="dxa"/>
            <w:vAlign w:val="bottom"/>
          </w:tcPr>
          <w:p>
            <w:pPr>
              <w:jc w:val="right"/>
              <w:ind w:right="73"/>
              <w:spacing w:after="0"/>
              <w:rPr>
                <w:sz w:val="20"/>
                <w:szCs w:val="20"/>
                <w:color w:val="auto"/>
              </w:rPr>
            </w:pPr>
            <w:r>
              <w:rPr>
                <w:rFonts w:ascii="Arial" w:cs="Arial" w:eastAsia="Arial" w:hAnsi="Arial"/>
                <w:sz w:val="13"/>
                <w:szCs w:val="13"/>
                <w:color w:val="auto"/>
              </w:rPr>
              <w:t>1.24%</w:t>
            </w: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2.07%</w:t>
            </w:r>
          </w:p>
        </w:tc>
        <w:tc>
          <w:tcPr>
            <w:tcW w:w="9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2.36%</w:t>
            </w:r>
          </w:p>
        </w:tc>
        <w:tc>
          <w:tcPr>
            <w:tcW w:w="1000" w:type="dxa"/>
            <w:vAlign w:val="bottom"/>
          </w:tcPr>
          <w:p>
            <w:pPr>
              <w:jc w:val="center"/>
              <w:spacing w:after="0"/>
              <w:rPr>
                <w:sz w:val="20"/>
                <w:szCs w:val="20"/>
                <w:color w:val="auto"/>
              </w:rPr>
            </w:pPr>
            <w:r>
              <w:rPr>
                <w:rFonts w:ascii="Arial" w:cs="Arial" w:eastAsia="Arial" w:hAnsi="Arial"/>
                <w:sz w:val="13"/>
                <w:szCs w:val="13"/>
                <w:color w:val="auto"/>
              </w:rPr>
              <w:t>29pbs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112pbs</w:t>
            </w:r>
          </w:p>
        </w:tc>
        <w:tc>
          <w:tcPr>
            <w:tcW w:w="1140" w:type="dxa"/>
            <w:vAlign w:val="bottom"/>
          </w:tcPr>
          <w:p>
            <w:pPr>
              <w:jc w:val="right"/>
              <w:ind w:right="173"/>
              <w:spacing w:after="0"/>
              <w:rPr>
                <w:sz w:val="20"/>
                <w:szCs w:val="20"/>
                <w:color w:val="auto"/>
              </w:rPr>
            </w:pPr>
            <w:r>
              <w:rPr>
                <w:rFonts w:ascii="Arial" w:cs="Arial" w:eastAsia="Arial" w:hAnsi="Arial"/>
                <w:sz w:val="13"/>
                <w:szCs w:val="13"/>
                <w:color w:val="auto"/>
              </w:rPr>
              <w:t>1.29%</w:t>
            </w: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1.83%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54pbs</w:t>
            </w: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Net Interest Margin (NIM)</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4.25%</w:t>
            </w:r>
          </w:p>
        </w:tc>
        <w:tc>
          <w:tcPr>
            <w:tcW w:w="1000" w:type="dxa"/>
            <w:vAlign w:val="bottom"/>
          </w:tcPr>
          <w:p>
            <w:pPr>
              <w:jc w:val="right"/>
              <w:ind w:right="53"/>
              <w:spacing w:after="0"/>
              <w:rPr>
                <w:sz w:val="20"/>
                <w:szCs w:val="20"/>
                <w:color w:val="auto"/>
              </w:rPr>
            </w:pPr>
            <w:r>
              <w:rPr>
                <w:rFonts w:ascii="Arial" w:cs="Arial" w:eastAsia="Arial" w:hAnsi="Arial"/>
                <w:sz w:val="13"/>
                <w:szCs w:val="13"/>
                <w:b w:val="1"/>
                <w:bCs w:val="1"/>
                <w:color w:val="auto"/>
              </w:rPr>
              <w:t>5.31%</w:t>
            </w:r>
          </w:p>
        </w:tc>
        <w:tc>
          <w:tcPr>
            <w:tcW w:w="9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5.73%</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42pbs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148pbs</w:t>
            </w:r>
          </w:p>
        </w:tc>
        <w:tc>
          <w:tcPr>
            <w:tcW w:w="1140" w:type="dxa"/>
            <w:vAlign w:val="bottom"/>
          </w:tcPr>
          <w:p>
            <w:pPr>
              <w:jc w:val="right"/>
              <w:ind w:right="173"/>
              <w:spacing w:after="0"/>
              <w:rPr>
                <w:sz w:val="20"/>
                <w:szCs w:val="20"/>
                <w:color w:val="auto"/>
              </w:rPr>
            </w:pPr>
            <w:r>
              <w:rPr>
                <w:rFonts w:ascii="Arial" w:cs="Arial" w:eastAsia="Arial" w:hAnsi="Arial"/>
                <w:sz w:val="13"/>
                <w:szCs w:val="13"/>
                <w:b w:val="1"/>
                <w:bCs w:val="1"/>
                <w:color w:val="auto"/>
              </w:rPr>
              <w:t>4.10%</w:t>
            </w: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5.07%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97pbs</w:t>
            </w: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Risk-Adjusted Net Interest Margin</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4.03%</w:t>
            </w:r>
          </w:p>
        </w:tc>
        <w:tc>
          <w:tcPr>
            <w:tcW w:w="1000" w:type="dxa"/>
            <w:vAlign w:val="bottom"/>
          </w:tcPr>
          <w:p>
            <w:pPr>
              <w:jc w:val="right"/>
              <w:ind w:right="53"/>
              <w:spacing w:after="0"/>
              <w:rPr>
                <w:sz w:val="20"/>
                <w:szCs w:val="20"/>
                <w:color w:val="auto"/>
              </w:rPr>
            </w:pPr>
            <w:r>
              <w:rPr>
                <w:rFonts w:ascii="Arial" w:cs="Arial" w:eastAsia="Arial" w:hAnsi="Arial"/>
                <w:sz w:val="13"/>
                <w:szCs w:val="13"/>
                <w:b w:val="1"/>
                <w:bCs w:val="1"/>
                <w:color w:val="auto"/>
              </w:rPr>
              <w:t>4.50%</w:t>
            </w:r>
          </w:p>
        </w:tc>
        <w:tc>
          <w:tcPr>
            <w:tcW w:w="9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4.44%</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-6pbs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41pbs</w:t>
            </w:r>
          </w:p>
        </w:tc>
        <w:tc>
          <w:tcPr>
            <w:tcW w:w="1140" w:type="dxa"/>
            <w:vAlign w:val="bottom"/>
          </w:tcPr>
          <w:p>
            <w:pPr>
              <w:jc w:val="right"/>
              <w:ind w:right="173"/>
              <w:spacing w:after="0"/>
              <w:rPr>
                <w:sz w:val="20"/>
                <w:szCs w:val="20"/>
                <w:color w:val="auto"/>
              </w:rPr>
            </w:pPr>
            <w:r>
              <w:rPr>
                <w:rFonts w:ascii="Arial" w:cs="Arial" w:eastAsia="Arial" w:hAnsi="Arial"/>
                <w:sz w:val="13"/>
                <w:szCs w:val="13"/>
                <w:b w:val="1"/>
                <w:bCs w:val="1"/>
                <w:color w:val="auto"/>
              </w:rPr>
              <w:t>3.57%</w:t>
            </w: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4.27%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70pbs</w:t>
            </w: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Peru's Reference Rate</w:t>
            </w:r>
          </w:p>
        </w:tc>
        <w:tc>
          <w:tcPr>
            <w:tcW w:w="1060" w:type="dxa"/>
            <w:vAlign w:val="bottom"/>
          </w:tcPr>
          <w:p>
            <w:pPr>
              <w:jc w:val="right"/>
              <w:ind w:right="73"/>
              <w:spacing w:after="0"/>
              <w:rPr>
                <w:sz w:val="20"/>
                <w:szCs w:val="20"/>
                <w:color w:val="auto"/>
              </w:rPr>
            </w:pPr>
            <w:r>
              <w:rPr>
                <w:rFonts w:ascii="Arial" w:cs="Arial" w:eastAsia="Arial" w:hAnsi="Arial"/>
                <w:sz w:val="13"/>
                <w:szCs w:val="13"/>
                <w:b w:val="1"/>
                <w:bCs w:val="1"/>
                <w:color w:val="auto"/>
              </w:rPr>
              <w:t>2.50%</w:t>
            </w:r>
          </w:p>
        </w:tc>
        <w:tc>
          <w:tcPr>
            <w:tcW w:w="1000" w:type="dxa"/>
            <w:vAlign w:val="bottom"/>
          </w:tcPr>
          <w:p>
            <w:pPr>
              <w:jc w:val="right"/>
              <w:ind w:right="53"/>
              <w:spacing w:after="0"/>
              <w:rPr>
                <w:sz w:val="20"/>
                <w:szCs w:val="20"/>
                <w:color w:val="auto"/>
              </w:rPr>
            </w:pPr>
            <w:r>
              <w:rPr>
                <w:rFonts w:ascii="Arial" w:cs="Arial" w:eastAsia="Arial" w:hAnsi="Arial"/>
                <w:sz w:val="13"/>
                <w:szCs w:val="13"/>
                <w:b w:val="1"/>
                <w:bCs w:val="1"/>
                <w:color w:val="auto"/>
              </w:rPr>
              <w:t>6.75%</w:t>
            </w:r>
          </w:p>
        </w:tc>
        <w:tc>
          <w:tcPr>
            <w:tcW w:w="9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7.50%</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75pbs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500pbs</w:t>
            </w:r>
          </w:p>
        </w:tc>
        <w:tc>
          <w:tcPr>
            <w:tcW w:w="1140" w:type="dxa"/>
            <w:vAlign w:val="bottom"/>
          </w:tcPr>
          <w:p>
            <w:pPr>
              <w:jc w:val="right"/>
              <w:ind w:right="173"/>
              <w:spacing w:after="0"/>
              <w:rPr>
                <w:sz w:val="20"/>
                <w:szCs w:val="20"/>
                <w:color w:val="auto"/>
              </w:rPr>
            </w:pPr>
            <w:r>
              <w:rPr>
                <w:rFonts w:ascii="Arial" w:cs="Arial" w:eastAsia="Arial" w:hAnsi="Arial"/>
                <w:sz w:val="13"/>
                <w:szCs w:val="13"/>
                <w:b w:val="1"/>
                <w:bCs w:val="1"/>
                <w:color w:val="auto"/>
              </w:rPr>
              <w:t>2.50%</w:t>
            </w: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7.50%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500pbs</w:t>
            </w:r>
          </w:p>
        </w:tc>
      </w:tr>
      <w:tr>
        <w:trPr>
          <w:trHeight w:val="161"/>
        </w:trPr>
        <w:tc>
          <w:tcPr>
            <w:tcW w:w="31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FED funds rate</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0.25%</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3.25%</w:t>
            </w:r>
          </w:p>
        </w:tc>
        <w:tc>
          <w:tcPr>
            <w:tcW w:w="9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4.50%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125pbs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425pbs</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0.25%</w:t>
            </w:r>
          </w:p>
        </w:tc>
        <w:tc>
          <w:tcPr>
            <w:tcW w:w="8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4.50%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425pbs</w:t>
            </w:r>
          </w:p>
        </w:tc>
      </w:tr>
    </w:tbl>
    <w:p>
      <w:pPr>
        <w:spacing w:after="0" w:line="172"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grew 8.0% QoQ, 30.9% YoY and 23.1% FY in 2022 due to an increase in market rates, which was driven primarily by rates for</w:t>
      </w:r>
      <w:r>
        <w:rPr>
          <w:rFonts w:ascii="Arial" w:cs="Arial" w:eastAsia="Arial" w:hAnsi="Arial"/>
          <w:sz w:val="17"/>
          <w:szCs w:val="17"/>
          <w:b w:val="1"/>
          <w:bCs w:val="1"/>
          <w:color w:val="auto"/>
        </w:rPr>
        <w:t xml:space="preserve"> </w:t>
      </w:r>
      <w:r>
        <w:rPr>
          <w:rFonts w:ascii="Arial" w:cs="Arial" w:eastAsia="Arial" w:hAnsi="Arial"/>
          <w:sz w:val="17"/>
          <w:szCs w:val="17"/>
          <w:color w:val="auto"/>
        </w:rPr>
        <w:t>IEA and for structural loans and available funds in particular.</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QoQ, structural loans in quarter-end balances remained stable given that loan growth in Retail Banking was offset by a decrease in the loan balances of Corporate clients, after moves to amortize debt. An uptick in the share of Mortgage, Consumer and Credit Card products in the IEA mix, coupled with higher interest rates, drove the yield on IEAs upward.</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funding volume dropped due to a decrease in liquidity across the system, in line with amortizations of GP loans. The Funding Cost rose in tandem with higher rates. In net terms, growth in the IEA Yield topped the increase registered for the funding cost, which led NIM to rise 42bps QoQ and stand at 5.73%.</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YoY and FY at the end of 2022, growth in interest income offset an uptick in financial expenses. This evolution was mainly attributable to the fact that the impact of interest rate hikes in the AGI exceeded the negative pressure that said hikes exercised o n the funding cost, which was buffered by BCP’s s m x, wh w-cost deposits were preponderant (represented 55.7% of total deposits at the end of 2022). Growth in structural loans also contributed, albeit to a lesser extent, to the favorable evolution of interest income. In this context, NIM rose 148bps YoY and 97bps FY to stand at 5.73% in 4Q22 and 5.07% in 2022.</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on interest income and expenses, please see Annex 12.3.</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 Interest Margin</w:t>
      </w:r>
    </w:p>
    <w:p>
      <w:pPr>
        <w:spacing w:after="0" w:line="182" w:lineRule="exact"/>
        <w:rPr>
          <w:sz w:val="20"/>
          <w:szCs w:val="20"/>
          <w:color w:val="auto"/>
        </w:rPr>
      </w:pPr>
    </w:p>
    <w:p>
      <w:pPr>
        <w:jc w:val="both"/>
        <w:ind w:left="5840"/>
        <w:spacing w:after="0" w:line="239" w:lineRule="auto"/>
        <w:rPr>
          <w:sz w:val="20"/>
          <w:szCs w:val="20"/>
          <w:color w:val="auto"/>
        </w:rPr>
      </w:pPr>
      <w:r>
        <w:rPr>
          <w:rFonts w:ascii="Arial" w:cs="Arial" w:eastAsia="Arial" w:hAnsi="Arial"/>
          <w:sz w:val="17"/>
          <w:szCs w:val="17"/>
          <w:color w:val="auto"/>
        </w:rPr>
        <w:t>Structural NIM stood above pre-pandemic level, bolstered by the positive pricing effect generated by our active interest rate management within our business segments. Notwithstanding, a large volume of loan provisions was set aside; this affected risk-adjusted NIM, which stood at 4.44% in 4Q22.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-606425</wp:posOffset>
            </wp:positionV>
            <wp:extent cx="3195320" cy="1525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95320" cy="1525905"/>
                    </a:xfrm>
                    <a:prstGeom prst="rect">
                      <a:avLst/>
                    </a:prstGeom>
                    <a:noFill/>
                  </pic:spPr>
                </pic:pic>
              </a:graphicData>
            </a:graphic>
          </wp:anchor>
        </w:drawing>
      </w:r>
    </w:p>
    <w:p>
      <w:pPr>
        <w:spacing w:after="0" w:line="139" w:lineRule="exact"/>
        <w:rPr>
          <w:sz w:val="20"/>
          <w:szCs w:val="20"/>
          <w:color w:val="auto"/>
        </w:rPr>
      </w:pPr>
    </w:p>
    <w:p>
      <w:pPr>
        <w:jc w:val="both"/>
        <w:ind w:left="5840"/>
        <w:spacing w:after="0" w:line="239" w:lineRule="auto"/>
        <w:rPr>
          <w:sz w:val="20"/>
          <w:szCs w:val="20"/>
          <w:color w:val="auto"/>
        </w:rPr>
      </w:pPr>
      <w:r>
        <w:rPr>
          <w:rFonts w:ascii="Arial" w:cs="Arial" w:eastAsia="Arial" w:hAnsi="Arial"/>
          <w:sz w:val="17"/>
          <w:szCs w:val="17"/>
          <w:color w:val="auto"/>
        </w:rPr>
        <w:t>To analyze the evolution of Net Interest Income, it is important to differentiate dynamics by currency given that trends in volumes and variations in market rates are different for each. The reference rate in LC (BCRP) increased 75bps QoQ and 500bps YoY while the rate in FC (FED funds rate) rose 125bps QoQ and 425bps YoY.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7" w:name="page28"/>
    <w:bookmarkEnd w:id="27"/>
    <w:p>
      <w:pPr>
        <w:jc w:val="right"/>
        <w:ind w:right="300"/>
        <w:spacing w:after="0"/>
        <w:tabs>
          <w:tab w:leader="none" w:pos="34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117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1845" cy="311785"/>
                    </a:xfrm>
                    <a:prstGeom prst="rect">
                      <a:avLst/>
                    </a:prstGeom>
                    <a:noFill/>
                  </pic:spPr>
                </pic:pic>
              </a:graphicData>
            </a:graphic>
          </wp:anchor>
        </w:drawing>
      </w:r>
    </w:p>
    <w:p>
      <w:pPr>
        <w:spacing w:after="0" w:line="37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04. Net Interest Income (NII)</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Dynamics of Net Interest Income by Currency</w:t>
      </w:r>
    </w:p>
    <w:p>
      <w:pPr>
        <w:sectPr>
          <w:pgSz w:w="11900" w:h="16838" w:orient="portrait"/>
          <w:cols w:equalWidth="0" w:num="1">
            <w:col w:w="11240"/>
          </w:cols>
          <w:pgMar w:left="320" w:top="659" w:right="339" w:bottom="1440" w:gutter="0" w:footer="0" w:header="0"/>
        </w:sectPr>
      </w:pP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25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Interest Income / IEA</w:t>
            </w:r>
          </w:p>
        </w:tc>
        <w:tc>
          <w:tcPr>
            <w:tcW w:w="540" w:type="dxa"/>
            <w:vAlign w:val="bottom"/>
            <w:tcBorders>
              <w:top w:val="single" w:sz="8" w:color="auto"/>
            </w:tcBorders>
            <w:shd w:val="clear" w:color="auto" w:fill="2AD2C9"/>
          </w:tcPr>
          <w:p>
            <w:pPr>
              <w:spacing w:after="0"/>
              <w:rPr>
                <w:sz w:val="14"/>
                <w:szCs w:val="14"/>
                <w:color w:val="auto"/>
              </w:rPr>
            </w:pPr>
          </w:p>
        </w:tc>
        <w:tc>
          <w:tcPr>
            <w:tcW w:w="60" w:type="dxa"/>
            <w:vAlign w:val="bottom"/>
            <w:tcBorders>
              <w:top w:val="single" w:sz="8" w:color="auto"/>
            </w:tcBorders>
            <w:shd w:val="clear" w:color="auto" w:fill="2AD2C9"/>
          </w:tcPr>
          <w:p>
            <w:pPr>
              <w:spacing w:after="0"/>
              <w:rPr>
                <w:sz w:val="14"/>
                <w:szCs w:val="14"/>
                <w:color w:val="auto"/>
              </w:rPr>
            </w:pPr>
          </w:p>
        </w:tc>
        <w:tc>
          <w:tcPr>
            <w:tcW w:w="560" w:type="dxa"/>
            <w:vAlign w:val="bottom"/>
            <w:tcBorders>
              <w:top w:val="single" w:sz="8" w:color="auto"/>
            </w:tcBorders>
            <w:shd w:val="clear" w:color="auto" w:fill="2AD2C9"/>
          </w:tcPr>
          <w:p>
            <w:pPr>
              <w:jc w:val="right"/>
              <w:ind w:right="93"/>
              <w:spacing w:after="0"/>
              <w:rPr>
                <w:sz w:val="20"/>
                <w:szCs w:val="20"/>
                <w:color w:val="auto"/>
              </w:rPr>
            </w:pPr>
            <w:r>
              <w:rPr>
                <w:rFonts w:ascii="Arial" w:cs="Arial" w:eastAsia="Arial" w:hAnsi="Arial"/>
                <w:sz w:val="13"/>
                <w:szCs w:val="13"/>
                <w:b w:val="1"/>
                <w:bCs w:val="1"/>
                <w:color w:val="FFFFFF"/>
              </w:rPr>
              <w:t>4Q21</w:t>
            </w:r>
          </w:p>
        </w:tc>
        <w:tc>
          <w:tcPr>
            <w:tcW w:w="540" w:type="dxa"/>
            <w:vAlign w:val="bottom"/>
            <w:tcBorders>
              <w:top w:val="single" w:sz="8" w:color="auto"/>
              <w:right w:val="single" w:sz="8" w:color="auto"/>
            </w:tcBorders>
            <w:shd w:val="clear" w:color="auto" w:fill="2AD2C9"/>
          </w:tcPr>
          <w:p>
            <w:pPr>
              <w:spacing w:after="0"/>
              <w:rPr>
                <w:sz w:val="14"/>
                <w:szCs w:val="14"/>
                <w:color w:val="auto"/>
              </w:rPr>
            </w:pPr>
          </w:p>
        </w:tc>
        <w:tc>
          <w:tcPr>
            <w:tcW w:w="600" w:type="dxa"/>
            <w:vAlign w:val="bottom"/>
            <w:tcBorders>
              <w:top w:val="single" w:sz="8" w:color="auto"/>
            </w:tcBorders>
            <w:shd w:val="clear" w:color="auto" w:fill="2AD2C9"/>
          </w:tcPr>
          <w:p>
            <w:pPr>
              <w:spacing w:after="0"/>
              <w:rPr>
                <w:sz w:val="14"/>
                <w:szCs w:val="14"/>
                <w:color w:val="auto"/>
              </w:rPr>
            </w:pPr>
          </w:p>
        </w:tc>
        <w:tc>
          <w:tcPr>
            <w:tcW w:w="560" w:type="dxa"/>
            <w:vAlign w:val="bottom"/>
            <w:tcBorders>
              <w:top w:val="single" w:sz="8" w:color="auto"/>
            </w:tcBorders>
            <w:shd w:val="clear" w:color="auto" w:fill="2AD2C9"/>
          </w:tcPr>
          <w:p>
            <w:pPr>
              <w:jc w:val="right"/>
              <w:ind w:right="93"/>
              <w:spacing w:after="0"/>
              <w:rPr>
                <w:sz w:val="20"/>
                <w:szCs w:val="20"/>
                <w:color w:val="auto"/>
              </w:rPr>
            </w:pPr>
            <w:r>
              <w:rPr>
                <w:rFonts w:ascii="Arial" w:cs="Arial" w:eastAsia="Arial" w:hAnsi="Arial"/>
                <w:sz w:val="13"/>
                <w:szCs w:val="13"/>
                <w:b w:val="1"/>
                <w:bCs w:val="1"/>
                <w:color w:val="FFFFFF"/>
              </w:rPr>
              <w:t>3Q22</w:t>
            </w:r>
          </w:p>
        </w:tc>
        <w:tc>
          <w:tcPr>
            <w:tcW w:w="540" w:type="dxa"/>
            <w:vAlign w:val="bottom"/>
            <w:tcBorders>
              <w:top w:val="single" w:sz="8" w:color="auto"/>
              <w:right w:val="single" w:sz="8" w:color="auto"/>
            </w:tcBorders>
            <w:shd w:val="clear" w:color="auto" w:fill="2AD2C9"/>
          </w:tcPr>
          <w:p>
            <w:pPr>
              <w:spacing w:after="0"/>
              <w:rPr>
                <w:sz w:val="14"/>
                <w:szCs w:val="14"/>
                <w:color w:val="auto"/>
              </w:rPr>
            </w:pPr>
          </w:p>
        </w:tc>
        <w:tc>
          <w:tcPr>
            <w:tcW w:w="600" w:type="dxa"/>
            <w:vAlign w:val="bottom"/>
            <w:tcBorders>
              <w:top w:val="single" w:sz="8" w:color="auto"/>
            </w:tcBorders>
            <w:shd w:val="clear" w:color="auto" w:fill="2AD2C9"/>
          </w:tcPr>
          <w:p>
            <w:pPr>
              <w:spacing w:after="0"/>
              <w:rPr>
                <w:sz w:val="14"/>
                <w:szCs w:val="14"/>
                <w:color w:val="auto"/>
              </w:rPr>
            </w:pPr>
          </w:p>
        </w:tc>
        <w:tc>
          <w:tcPr>
            <w:tcW w:w="560" w:type="dxa"/>
            <w:vAlign w:val="bottom"/>
            <w:tcBorders>
              <w:top w:val="single" w:sz="8" w:color="auto"/>
            </w:tcBorders>
            <w:shd w:val="clear" w:color="auto" w:fill="2AD2C9"/>
          </w:tcPr>
          <w:p>
            <w:pPr>
              <w:jc w:val="right"/>
              <w:ind w:right="93"/>
              <w:spacing w:after="0"/>
              <w:rPr>
                <w:sz w:val="20"/>
                <w:szCs w:val="20"/>
                <w:color w:val="auto"/>
              </w:rPr>
            </w:pPr>
            <w:r>
              <w:rPr>
                <w:rFonts w:ascii="Arial" w:cs="Arial" w:eastAsia="Arial" w:hAnsi="Arial"/>
                <w:sz w:val="13"/>
                <w:szCs w:val="13"/>
                <w:b w:val="1"/>
                <w:bCs w:val="1"/>
                <w:color w:val="FFFFFF"/>
              </w:rPr>
              <w:t>4Q22</w:t>
            </w:r>
          </w:p>
        </w:tc>
        <w:tc>
          <w:tcPr>
            <w:tcW w:w="540" w:type="dxa"/>
            <w:vAlign w:val="bottom"/>
            <w:tcBorders>
              <w:top w:val="single" w:sz="8" w:color="auto"/>
              <w:right w:val="single" w:sz="8" w:color="auto"/>
            </w:tcBorders>
            <w:shd w:val="clear" w:color="auto" w:fill="2AD2C9"/>
          </w:tcPr>
          <w:p>
            <w:pPr>
              <w:spacing w:after="0"/>
              <w:rPr>
                <w:sz w:val="14"/>
                <w:szCs w:val="14"/>
                <w:color w:val="auto"/>
              </w:rPr>
            </w:pPr>
          </w:p>
        </w:tc>
      </w:tr>
      <w:tr>
        <w:trPr>
          <w:trHeight w:val="151"/>
        </w:trPr>
        <w:tc>
          <w:tcPr>
            <w:tcW w:w="2500" w:type="dxa"/>
            <w:vAlign w:val="bottom"/>
            <w:tcBorders>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millions</w:t>
            </w:r>
          </w:p>
        </w:tc>
        <w:tc>
          <w:tcPr>
            <w:tcW w:w="540" w:type="dxa"/>
            <w:vAlign w:val="bottom"/>
            <w:shd w:val="clear" w:color="auto" w:fill="2AD2C9"/>
          </w:tcPr>
          <w:p>
            <w:pPr>
              <w:jc w:val="right"/>
              <w:spacing w:after="0"/>
              <w:rPr>
                <w:sz w:val="20"/>
                <w:szCs w:val="20"/>
                <w:color w:val="auto"/>
              </w:rPr>
            </w:pPr>
            <w:r>
              <w:rPr>
                <w:rFonts w:ascii="Arial" w:cs="Arial" w:eastAsia="Arial" w:hAnsi="Arial"/>
                <w:sz w:val="13"/>
                <w:szCs w:val="13"/>
                <w:b w:val="1"/>
                <w:bCs w:val="1"/>
                <w:color w:val="FFFFFF"/>
              </w:rPr>
              <w:t>Average</w:t>
            </w:r>
          </w:p>
        </w:tc>
        <w:tc>
          <w:tcPr>
            <w:tcW w:w="60" w:type="dxa"/>
            <w:vAlign w:val="bottom"/>
            <w:shd w:val="clear" w:color="auto" w:fill="2AD2C9"/>
          </w:tcPr>
          <w:p>
            <w:pPr>
              <w:spacing w:after="0"/>
              <w:rPr>
                <w:sz w:val="13"/>
                <w:szCs w:val="13"/>
                <w:color w:val="auto"/>
              </w:rPr>
            </w:pPr>
          </w:p>
        </w:tc>
        <w:tc>
          <w:tcPr>
            <w:tcW w:w="560" w:type="dxa"/>
            <w:vAlign w:val="bottom"/>
            <w:shd w:val="clear" w:color="auto" w:fill="2AD2C9"/>
          </w:tcPr>
          <w:p>
            <w:pPr>
              <w:spacing w:after="0"/>
              <w:rPr>
                <w:sz w:val="13"/>
                <w:szCs w:val="13"/>
                <w:color w:val="auto"/>
              </w:rPr>
            </w:pPr>
          </w:p>
        </w:tc>
        <w:tc>
          <w:tcPr>
            <w:tcW w:w="540" w:type="dxa"/>
            <w:vAlign w:val="bottom"/>
            <w:tcBorders>
              <w:right w:val="single" w:sz="8" w:color="auto"/>
            </w:tcBorders>
            <w:shd w:val="clear" w:color="auto" w:fill="2AD2C9"/>
          </w:tcPr>
          <w:p>
            <w:pPr>
              <w:spacing w:after="0"/>
              <w:rPr>
                <w:sz w:val="13"/>
                <w:szCs w:val="13"/>
                <w:color w:val="auto"/>
              </w:rPr>
            </w:pPr>
          </w:p>
        </w:tc>
        <w:tc>
          <w:tcPr>
            <w:tcW w:w="600" w:type="dxa"/>
            <w:vAlign w:val="bottom"/>
            <w:shd w:val="clear" w:color="auto" w:fill="2AD2C9"/>
          </w:tcPr>
          <w:p>
            <w:pPr>
              <w:spacing w:after="0"/>
              <w:rPr>
                <w:sz w:val="20"/>
                <w:szCs w:val="20"/>
                <w:color w:val="auto"/>
              </w:rPr>
            </w:pPr>
            <w:r>
              <w:rPr>
                <w:rFonts w:ascii="Arial" w:cs="Arial" w:eastAsia="Arial" w:hAnsi="Arial"/>
                <w:sz w:val="13"/>
                <w:szCs w:val="13"/>
                <w:b w:val="1"/>
                <w:bCs w:val="1"/>
                <w:color w:val="FFFFFF"/>
              </w:rPr>
              <w:t>Average</w:t>
            </w:r>
          </w:p>
        </w:tc>
        <w:tc>
          <w:tcPr>
            <w:tcW w:w="560" w:type="dxa"/>
            <w:vAlign w:val="bottom"/>
            <w:shd w:val="clear" w:color="auto" w:fill="2AD2C9"/>
          </w:tcPr>
          <w:p>
            <w:pPr>
              <w:spacing w:after="0"/>
              <w:rPr>
                <w:sz w:val="13"/>
                <w:szCs w:val="13"/>
                <w:color w:val="auto"/>
              </w:rPr>
            </w:pPr>
          </w:p>
        </w:tc>
        <w:tc>
          <w:tcPr>
            <w:tcW w:w="540" w:type="dxa"/>
            <w:vAlign w:val="bottom"/>
            <w:tcBorders>
              <w:right w:val="single" w:sz="8" w:color="auto"/>
            </w:tcBorders>
            <w:shd w:val="clear" w:color="auto" w:fill="2AD2C9"/>
          </w:tcPr>
          <w:p>
            <w:pPr>
              <w:spacing w:after="0"/>
              <w:rPr>
                <w:sz w:val="13"/>
                <w:szCs w:val="13"/>
                <w:color w:val="auto"/>
              </w:rPr>
            </w:pPr>
          </w:p>
        </w:tc>
        <w:tc>
          <w:tcPr>
            <w:tcW w:w="600" w:type="dxa"/>
            <w:vAlign w:val="bottom"/>
            <w:shd w:val="clear" w:color="auto" w:fill="2AD2C9"/>
          </w:tcPr>
          <w:p>
            <w:pPr>
              <w:spacing w:after="0"/>
              <w:rPr>
                <w:sz w:val="20"/>
                <w:szCs w:val="20"/>
                <w:color w:val="auto"/>
              </w:rPr>
            </w:pPr>
            <w:r>
              <w:rPr>
                <w:rFonts w:ascii="Arial" w:cs="Arial" w:eastAsia="Arial" w:hAnsi="Arial"/>
                <w:sz w:val="13"/>
                <w:szCs w:val="13"/>
                <w:b w:val="1"/>
                <w:bCs w:val="1"/>
                <w:color w:val="FFFFFF"/>
              </w:rPr>
              <w:t>Average</w:t>
            </w:r>
          </w:p>
        </w:tc>
        <w:tc>
          <w:tcPr>
            <w:tcW w:w="560" w:type="dxa"/>
            <w:vAlign w:val="bottom"/>
            <w:shd w:val="clear" w:color="auto" w:fill="2AD2C9"/>
          </w:tcPr>
          <w:p>
            <w:pPr>
              <w:spacing w:after="0"/>
              <w:rPr>
                <w:sz w:val="13"/>
                <w:szCs w:val="13"/>
                <w:color w:val="auto"/>
              </w:rPr>
            </w:pPr>
          </w:p>
        </w:tc>
        <w:tc>
          <w:tcPr>
            <w:tcW w:w="540" w:type="dxa"/>
            <w:vAlign w:val="bottom"/>
            <w:tcBorders>
              <w:right w:val="single" w:sz="8" w:color="auto"/>
            </w:tcBorders>
            <w:shd w:val="clear" w:color="auto" w:fill="2AD2C9"/>
          </w:tcPr>
          <w:p>
            <w:pPr>
              <w:spacing w:after="0"/>
              <w:rPr>
                <w:sz w:val="13"/>
                <w:szCs w:val="13"/>
                <w:color w:val="auto"/>
              </w:rPr>
            </w:pPr>
          </w:p>
        </w:tc>
      </w:tr>
      <w:tr>
        <w:trPr>
          <w:trHeight w:val="151"/>
        </w:trPr>
        <w:tc>
          <w:tcPr>
            <w:tcW w:w="2500" w:type="dxa"/>
            <w:vAlign w:val="bottom"/>
            <w:tcBorders>
              <w:left w:val="single" w:sz="8" w:color="auto"/>
              <w:right w:val="single" w:sz="8" w:color="auto"/>
            </w:tcBorders>
            <w:shd w:val="clear" w:color="auto" w:fill="2AD2C9"/>
          </w:tcPr>
          <w:p>
            <w:pPr>
              <w:spacing w:after="0"/>
              <w:rPr>
                <w:sz w:val="13"/>
                <w:szCs w:val="13"/>
                <w:color w:val="auto"/>
              </w:rPr>
            </w:pPr>
          </w:p>
        </w:tc>
        <w:tc>
          <w:tcPr>
            <w:tcW w:w="540" w:type="dxa"/>
            <w:vAlign w:val="bottom"/>
            <w:shd w:val="clear" w:color="auto" w:fill="2AD2C9"/>
          </w:tcPr>
          <w:p>
            <w:pPr>
              <w:jc w:val="right"/>
              <w:spacing w:after="0"/>
              <w:rPr>
                <w:sz w:val="20"/>
                <w:szCs w:val="20"/>
                <w:color w:val="auto"/>
              </w:rPr>
            </w:pPr>
            <w:r>
              <w:rPr>
                <w:rFonts w:ascii="Arial" w:cs="Arial" w:eastAsia="Arial" w:hAnsi="Arial"/>
                <w:sz w:val="13"/>
                <w:szCs w:val="13"/>
                <w:b w:val="1"/>
                <w:bCs w:val="1"/>
                <w:color w:val="FFFFFF"/>
              </w:rPr>
              <w:t>Balance</w:t>
            </w:r>
          </w:p>
        </w:tc>
        <w:tc>
          <w:tcPr>
            <w:tcW w:w="620" w:type="dxa"/>
            <w:vAlign w:val="bottom"/>
            <w:gridSpan w:val="2"/>
            <w:shd w:val="clear" w:color="auto" w:fill="2AD2C9"/>
          </w:tcPr>
          <w:p>
            <w:pPr>
              <w:jc w:val="right"/>
              <w:ind w:right="33"/>
              <w:spacing w:after="0"/>
              <w:rPr>
                <w:sz w:val="20"/>
                <w:szCs w:val="20"/>
                <w:color w:val="auto"/>
              </w:rPr>
            </w:pPr>
            <w:r>
              <w:rPr>
                <w:rFonts w:ascii="Arial" w:cs="Arial" w:eastAsia="Arial" w:hAnsi="Arial"/>
                <w:sz w:val="13"/>
                <w:szCs w:val="13"/>
                <w:b w:val="1"/>
                <w:bCs w:val="1"/>
                <w:color w:val="FFFFFF"/>
              </w:rPr>
              <w:t>Income</w:t>
            </w:r>
          </w:p>
        </w:tc>
        <w:tc>
          <w:tcPr>
            <w:tcW w:w="540" w:type="dxa"/>
            <w:vAlign w:val="bottom"/>
            <w:tcBorders>
              <w:right w:val="single" w:sz="8" w:color="auto"/>
            </w:tcBorders>
            <w:shd w:val="clear" w:color="auto" w:fill="2AD2C9"/>
          </w:tcPr>
          <w:p>
            <w:pPr>
              <w:jc w:val="right"/>
              <w:ind w:right="53"/>
              <w:spacing w:after="0"/>
              <w:rPr>
                <w:sz w:val="20"/>
                <w:szCs w:val="20"/>
                <w:color w:val="auto"/>
              </w:rPr>
            </w:pPr>
            <w:r>
              <w:rPr>
                <w:rFonts w:ascii="Arial" w:cs="Arial" w:eastAsia="Arial" w:hAnsi="Arial"/>
                <w:sz w:val="13"/>
                <w:szCs w:val="13"/>
                <w:b w:val="1"/>
                <w:bCs w:val="1"/>
                <w:color w:val="FFFFFF"/>
              </w:rPr>
              <w:t>Yields</w:t>
            </w:r>
          </w:p>
        </w:tc>
        <w:tc>
          <w:tcPr>
            <w:tcW w:w="1160" w:type="dxa"/>
            <w:vAlign w:val="bottom"/>
            <w:gridSpan w:val="2"/>
            <w:shd w:val="clear" w:color="auto" w:fill="2AD2C9"/>
          </w:tcPr>
          <w:p>
            <w:pPr>
              <w:spacing w:after="0"/>
              <w:rPr>
                <w:sz w:val="20"/>
                <w:szCs w:val="20"/>
                <w:color w:val="auto"/>
              </w:rPr>
            </w:pPr>
            <w:r>
              <w:rPr>
                <w:rFonts w:ascii="Arial" w:cs="Arial" w:eastAsia="Arial" w:hAnsi="Arial"/>
                <w:sz w:val="13"/>
                <w:szCs w:val="13"/>
                <w:b w:val="1"/>
                <w:bCs w:val="1"/>
                <w:color w:val="FFFFFF"/>
              </w:rPr>
              <w:t>Balance Income</w:t>
            </w:r>
          </w:p>
        </w:tc>
        <w:tc>
          <w:tcPr>
            <w:tcW w:w="540" w:type="dxa"/>
            <w:vAlign w:val="bottom"/>
            <w:tcBorders>
              <w:right w:val="single" w:sz="8" w:color="auto"/>
            </w:tcBorders>
            <w:shd w:val="clear" w:color="auto" w:fill="2AD2C9"/>
          </w:tcPr>
          <w:p>
            <w:pPr>
              <w:jc w:val="right"/>
              <w:ind w:right="53"/>
              <w:spacing w:after="0"/>
              <w:rPr>
                <w:sz w:val="20"/>
                <w:szCs w:val="20"/>
                <w:color w:val="auto"/>
              </w:rPr>
            </w:pPr>
            <w:r>
              <w:rPr>
                <w:rFonts w:ascii="Arial" w:cs="Arial" w:eastAsia="Arial" w:hAnsi="Arial"/>
                <w:sz w:val="13"/>
                <w:szCs w:val="13"/>
                <w:b w:val="1"/>
                <w:bCs w:val="1"/>
                <w:color w:val="FFFFFF"/>
              </w:rPr>
              <w:t>Yields</w:t>
            </w:r>
          </w:p>
        </w:tc>
        <w:tc>
          <w:tcPr>
            <w:tcW w:w="1160" w:type="dxa"/>
            <w:vAlign w:val="bottom"/>
            <w:gridSpan w:val="2"/>
            <w:shd w:val="clear" w:color="auto" w:fill="2AD2C9"/>
          </w:tcPr>
          <w:p>
            <w:pPr>
              <w:spacing w:after="0"/>
              <w:rPr>
                <w:sz w:val="20"/>
                <w:szCs w:val="20"/>
                <w:color w:val="auto"/>
              </w:rPr>
            </w:pPr>
            <w:r>
              <w:rPr>
                <w:rFonts w:ascii="Arial" w:cs="Arial" w:eastAsia="Arial" w:hAnsi="Arial"/>
                <w:sz w:val="13"/>
                <w:szCs w:val="13"/>
                <w:b w:val="1"/>
                <w:bCs w:val="1"/>
                <w:color w:val="FFFFFF"/>
              </w:rPr>
              <w:t>Balance Income</w:t>
            </w:r>
          </w:p>
        </w:tc>
        <w:tc>
          <w:tcPr>
            <w:tcW w:w="540" w:type="dxa"/>
            <w:vAlign w:val="bottom"/>
            <w:tcBorders>
              <w:right w:val="single" w:sz="8" w:color="auto"/>
            </w:tcBorders>
            <w:shd w:val="clear" w:color="auto" w:fill="2AD2C9"/>
          </w:tcPr>
          <w:p>
            <w:pPr>
              <w:jc w:val="right"/>
              <w:ind w:right="53"/>
              <w:spacing w:after="0"/>
              <w:rPr>
                <w:sz w:val="20"/>
                <w:szCs w:val="20"/>
                <w:color w:val="auto"/>
              </w:rPr>
            </w:pPr>
            <w:r>
              <w:rPr>
                <w:rFonts w:ascii="Arial" w:cs="Arial" w:eastAsia="Arial" w:hAnsi="Arial"/>
                <w:sz w:val="13"/>
                <w:szCs w:val="13"/>
                <w:b w:val="1"/>
                <w:bCs w:val="1"/>
                <w:color w:val="FFFFFF"/>
              </w:rPr>
              <w:t>Yields</w:t>
            </w:r>
          </w:p>
        </w:tc>
      </w:tr>
      <w:tr>
        <w:trPr>
          <w:trHeight w:val="143"/>
        </w:trPr>
        <w:tc>
          <w:tcPr>
            <w:tcW w:w="250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Cash and equivalents</w:t>
            </w: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34,271</w:t>
            </w:r>
          </w:p>
        </w:tc>
        <w:tc>
          <w:tcPr>
            <w:tcW w:w="6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23</w:t>
            </w: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0.3%</w:t>
            </w: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auto"/>
              </w:rPr>
              <w:t>26,581</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139</w:t>
            </w: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2.1%</w:t>
            </w: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auto"/>
              </w:rPr>
              <w:t>28,114</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236</w:t>
            </w: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3.4%</w:t>
            </w:r>
          </w:p>
        </w:tc>
      </w:tr>
      <w:tr>
        <w:trPr>
          <w:trHeight w:val="151"/>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Other IEA</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3,145</w:t>
            </w:r>
          </w:p>
        </w:tc>
        <w:tc>
          <w:tcPr>
            <w:tcW w:w="560" w:type="dxa"/>
            <w:vAlign w:val="bottom"/>
          </w:tcPr>
          <w:p>
            <w:pPr>
              <w:jc w:val="right"/>
              <w:spacing w:after="0"/>
              <w:rPr>
                <w:sz w:val="20"/>
                <w:szCs w:val="20"/>
                <w:color w:val="auto"/>
              </w:rPr>
            </w:pPr>
            <w:r>
              <w:rPr>
                <w:rFonts w:ascii="Arial" w:cs="Arial" w:eastAsia="Arial" w:hAnsi="Arial"/>
                <w:sz w:val="13"/>
                <w:szCs w:val="13"/>
                <w:color w:val="auto"/>
              </w:rPr>
              <w:t>12</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600" w:type="dxa"/>
            <w:vAlign w:val="bottom"/>
          </w:tcPr>
          <w:p>
            <w:pPr>
              <w:jc w:val="right"/>
              <w:spacing w:after="0"/>
              <w:rPr>
                <w:sz w:val="20"/>
                <w:szCs w:val="20"/>
                <w:color w:val="auto"/>
              </w:rPr>
            </w:pPr>
            <w:r>
              <w:rPr>
                <w:rFonts w:ascii="Arial" w:cs="Arial" w:eastAsia="Arial" w:hAnsi="Arial"/>
                <w:sz w:val="13"/>
                <w:szCs w:val="13"/>
                <w:color w:val="auto"/>
              </w:rPr>
              <w:t>2,583</w:t>
            </w:r>
          </w:p>
        </w:tc>
        <w:tc>
          <w:tcPr>
            <w:tcW w:w="560" w:type="dxa"/>
            <w:vAlign w:val="bottom"/>
          </w:tcPr>
          <w:p>
            <w:pPr>
              <w:jc w:val="right"/>
              <w:spacing w:after="0"/>
              <w:rPr>
                <w:sz w:val="20"/>
                <w:szCs w:val="20"/>
                <w:color w:val="auto"/>
              </w:rPr>
            </w:pPr>
            <w:r>
              <w:rPr>
                <w:rFonts w:ascii="Arial" w:cs="Arial" w:eastAsia="Arial" w:hAnsi="Arial"/>
                <w:sz w:val="13"/>
                <w:szCs w:val="13"/>
                <w:color w:val="auto"/>
              </w:rPr>
              <w:t>10</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600" w:type="dxa"/>
            <w:vAlign w:val="bottom"/>
          </w:tcPr>
          <w:p>
            <w:pPr>
              <w:jc w:val="right"/>
              <w:spacing w:after="0"/>
              <w:rPr>
                <w:sz w:val="20"/>
                <w:szCs w:val="20"/>
                <w:color w:val="auto"/>
              </w:rPr>
            </w:pPr>
            <w:r>
              <w:rPr>
                <w:rFonts w:ascii="Arial" w:cs="Arial" w:eastAsia="Arial" w:hAnsi="Arial"/>
                <w:sz w:val="13"/>
                <w:szCs w:val="13"/>
                <w:color w:val="auto"/>
              </w:rPr>
              <w:t>2,113</w:t>
            </w:r>
          </w:p>
        </w:tc>
        <w:tc>
          <w:tcPr>
            <w:tcW w:w="560" w:type="dxa"/>
            <w:vAlign w:val="bottom"/>
          </w:tcPr>
          <w:p>
            <w:pPr>
              <w:jc w:val="right"/>
              <w:spacing w:after="0"/>
              <w:rPr>
                <w:sz w:val="20"/>
                <w:szCs w:val="20"/>
                <w:color w:val="auto"/>
              </w:rPr>
            </w:pPr>
            <w:r>
              <w:rPr>
                <w:rFonts w:ascii="Arial" w:cs="Arial" w:eastAsia="Arial" w:hAnsi="Arial"/>
                <w:sz w:val="13"/>
                <w:szCs w:val="13"/>
                <w:color w:val="auto"/>
              </w:rPr>
              <w:t>48</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w:t>
            </w:r>
          </w:p>
        </w:tc>
      </w:tr>
      <w:tr>
        <w:trPr>
          <w:trHeight w:val="151"/>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Investments</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48,531</w:t>
            </w:r>
          </w:p>
        </w:tc>
        <w:tc>
          <w:tcPr>
            <w:tcW w:w="560" w:type="dxa"/>
            <w:vAlign w:val="bottom"/>
          </w:tcPr>
          <w:p>
            <w:pPr>
              <w:jc w:val="right"/>
              <w:spacing w:after="0"/>
              <w:rPr>
                <w:sz w:val="20"/>
                <w:szCs w:val="20"/>
                <w:color w:val="auto"/>
              </w:rPr>
            </w:pPr>
            <w:r>
              <w:rPr>
                <w:rFonts w:ascii="Arial" w:cs="Arial" w:eastAsia="Arial" w:hAnsi="Arial"/>
                <w:sz w:val="13"/>
                <w:szCs w:val="13"/>
                <w:color w:val="auto"/>
              </w:rPr>
              <w:t>402</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600" w:type="dxa"/>
            <w:vAlign w:val="bottom"/>
          </w:tcPr>
          <w:p>
            <w:pPr>
              <w:jc w:val="right"/>
              <w:spacing w:after="0"/>
              <w:rPr>
                <w:sz w:val="20"/>
                <w:szCs w:val="20"/>
                <w:color w:val="auto"/>
              </w:rPr>
            </w:pPr>
            <w:r>
              <w:rPr>
                <w:rFonts w:ascii="Arial" w:cs="Arial" w:eastAsia="Arial" w:hAnsi="Arial"/>
                <w:sz w:val="13"/>
                <w:szCs w:val="13"/>
                <w:color w:val="auto"/>
              </w:rPr>
              <w:t>46,093</w:t>
            </w:r>
          </w:p>
        </w:tc>
        <w:tc>
          <w:tcPr>
            <w:tcW w:w="560" w:type="dxa"/>
            <w:vAlign w:val="bottom"/>
          </w:tcPr>
          <w:p>
            <w:pPr>
              <w:jc w:val="right"/>
              <w:spacing w:after="0"/>
              <w:rPr>
                <w:sz w:val="20"/>
                <w:szCs w:val="20"/>
                <w:color w:val="auto"/>
              </w:rPr>
            </w:pPr>
            <w:r>
              <w:rPr>
                <w:rFonts w:ascii="Arial" w:cs="Arial" w:eastAsia="Arial" w:hAnsi="Arial"/>
                <w:sz w:val="13"/>
                <w:szCs w:val="13"/>
                <w:color w:val="auto"/>
              </w:rPr>
              <w:t>551</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600" w:type="dxa"/>
            <w:vAlign w:val="bottom"/>
          </w:tcPr>
          <w:p>
            <w:pPr>
              <w:jc w:val="right"/>
              <w:spacing w:after="0"/>
              <w:rPr>
                <w:sz w:val="20"/>
                <w:szCs w:val="20"/>
                <w:color w:val="auto"/>
              </w:rPr>
            </w:pPr>
            <w:r>
              <w:rPr>
                <w:rFonts w:ascii="Arial" w:cs="Arial" w:eastAsia="Arial" w:hAnsi="Arial"/>
                <w:sz w:val="13"/>
                <w:szCs w:val="13"/>
                <w:color w:val="auto"/>
              </w:rPr>
              <w:t>46,137</w:t>
            </w:r>
          </w:p>
        </w:tc>
        <w:tc>
          <w:tcPr>
            <w:tcW w:w="560" w:type="dxa"/>
            <w:vAlign w:val="bottom"/>
          </w:tcPr>
          <w:p>
            <w:pPr>
              <w:jc w:val="right"/>
              <w:spacing w:after="0"/>
              <w:rPr>
                <w:sz w:val="20"/>
                <w:szCs w:val="20"/>
                <w:color w:val="auto"/>
              </w:rPr>
            </w:pPr>
            <w:r>
              <w:rPr>
                <w:rFonts w:ascii="Arial" w:cs="Arial" w:eastAsia="Arial" w:hAnsi="Arial"/>
                <w:sz w:val="13"/>
                <w:szCs w:val="13"/>
                <w:color w:val="auto"/>
              </w:rPr>
              <w:t>563</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4.9%</w:t>
            </w:r>
          </w:p>
        </w:tc>
      </w:tr>
      <w:tr>
        <w:trPr>
          <w:trHeight w:val="151"/>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Loans</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147,074</w:t>
            </w:r>
          </w:p>
        </w:tc>
        <w:tc>
          <w:tcPr>
            <w:tcW w:w="560" w:type="dxa"/>
            <w:vAlign w:val="bottom"/>
          </w:tcPr>
          <w:p>
            <w:pPr>
              <w:jc w:val="right"/>
              <w:spacing w:after="0"/>
              <w:rPr>
                <w:sz w:val="20"/>
                <w:szCs w:val="20"/>
                <w:color w:val="auto"/>
              </w:rPr>
            </w:pPr>
            <w:r>
              <w:rPr>
                <w:rFonts w:ascii="Arial" w:cs="Arial" w:eastAsia="Arial" w:hAnsi="Arial"/>
                <w:sz w:val="13"/>
                <w:szCs w:val="13"/>
                <w:color w:val="auto"/>
              </w:rPr>
              <w:t>2,654</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600" w:type="dxa"/>
            <w:vAlign w:val="bottom"/>
          </w:tcPr>
          <w:p>
            <w:pPr>
              <w:jc w:val="right"/>
              <w:spacing w:after="0"/>
              <w:rPr>
                <w:sz w:val="20"/>
                <w:szCs w:val="20"/>
                <w:color w:val="auto"/>
              </w:rPr>
            </w:pPr>
            <w:r>
              <w:rPr>
                <w:rFonts w:ascii="Arial" w:cs="Arial" w:eastAsia="Arial" w:hAnsi="Arial"/>
                <w:sz w:val="13"/>
                <w:szCs w:val="13"/>
                <w:color w:val="auto"/>
              </w:rPr>
              <w:t>150,881</w:t>
            </w:r>
          </w:p>
        </w:tc>
        <w:tc>
          <w:tcPr>
            <w:tcW w:w="560" w:type="dxa"/>
            <w:vAlign w:val="bottom"/>
          </w:tcPr>
          <w:p>
            <w:pPr>
              <w:jc w:val="right"/>
              <w:spacing w:after="0"/>
              <w:rPr>
                <w:sz w:val="20"/>
                <w:szCs w:val="20"/>
                <w:color w:val="auto"/>
              </w:rPr>
            </w:pPr>
            <w:r>
              <w:rPr>
                <w:rFonts w:ascii="Arial" w:cs="Arial" w:eastAsia="Arial" w:hAnsi="Arial"/>
                <w:sz w:val="13"/>
                <w:szCs w:val="13"/>
                <w:color w:val="auto"/>
              </w:rPr>
              <w:t>3,289</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600" w:type="dxa"/>
            <w:vAlign w:val="bottom"/>
          </w:tcPr>
          <w:p>
            <w:pPr>
              <w:jc w:val="right"/>
              <w:spacing w:after="0"/>
              <w:rPr>
                <w:sz w:val="20"/>
                <w:szCs w:val="20"/>
                <w:color w:val="auto"/>
              </w:rPr>
            </w:pPr>
            <w:r>
              <w:rPr>
                <w:rFonts w:ascii="Arial" w:cs="Arial" w:eastAsia="Arial" w:hAnsi="Arial"/>
                <w:sz w:val="13"/>
                <w:szCs w:val="13"/>
                <w:color w:val="auto"/>
              </w:rPr>
              <w:t>150,009</w:t>
            </w:r>
          </w:p>
        </w:tc>
        <w:tc>
          <w:tcPr>
            <w:tcW w:w="560" w:type="dxa"/>
            <w:vAlign w:val="bottom"/>
          </w:tcPr>
          <w:p>
            <w:pPr>
              <w:jc w:val="right"/>
              <w:spacing w:after="0"/>
              <w:rPr>
                <w:sz w:val="20"/>
                <w:szCs w:val="20"/>
                <w:color w:val="auto"/>
              </w:rPr>
            </w:pPr>
            <w:r>
              <w:rPr>
                <w:rFonts w:ascii="Arial" w:cs="Arial" w:eastAsia="Arial" w:hAnsi="Arial"/>
                <w:sz w:val="13"/>
                <w:szCs w:val="13"/>
                <w:color w:val="auto"/>
              </w:rPr>
              <w:t>3,515</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9.4%</w:t>
            </w:r>
          </w:p>
        </w:tc>
      </w:tr>
      <w:tr>
        <w:trPr>
          <w:trHeight w:val="151"/>
        </w:trPr>
        <w:tc>
          <w:tcPr>
            <w:tcW w:w="25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Structural</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127,228</w:t>
            </w:r>
          </w:p>
        </w:tc>
        <w:tc>
          <w:tcPr>
            <w:tcW w:w="560" w:type="dxa"/>
            <w:vAlign w:val="bottom"/>
          </w:tcPr>
          <w:p>
            <w:pPr>
              <w:jc w:val="right"/>
              <w:spacing w:after="0"/>
              <w:rPr>
                <w:sz w:val="20"/>
                <w:szCs w:val="20"/>
                <w:color w:val="auto"/>
              </w:rPr>
            </w:pPr>
            <w:r>
              <w:rPr>
                <w:rFonts w:ascii="Arial" w:cs="Arial" w:eastAsia="Arial" w:hAnsi="Arial"/>
                <w:sz w:val="13"/>
                <w:szCs w:val="13"/>
                <w:color w:val="auto"/>
              </w:rPr>
              <w:t>2,582</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600" w:type="dxa"/>
            <w:vAlign w:val="bottom"/>
          </w:tcPr>
          <w:p>
            <w:pPr>
              <w:jc w:val="right"/>
              <w:spacing w:after="0"/>
              <w:rPr>
                <w:sz w:val="20"/>
                <w:szCs w:val="20"/>
                <w:color w:val="auto"/>
              </w:rPr>
            </w:pPr>
            <w:r>
              <w:rPr>
                <w:rFonts w:ascii="Arial" w:cs="Arial" w:eastAsia="Arial" w:hAnsi="Arial"/>
                <w:sz w:val="13"/>
                <w:szCs w:val="13"/>
                <w:color w:val="auto"/>
              </w:rPr>
              <w:t>137,457</w:t>
            </w:r>
          </w:p>
        </w:tc>
        <w:tc>
          <w:tcPr>
            <w:tcW w:w="560" w:type="dxa"/>
            <w:vAlign w:val="bottom"/>
          </w:tcPr>
          <w:p>
            <w:pPr>
              <w:jc w:val="right"/>
              <w:spacing w:after="0"/>
              <w:rPr>
                <w:sz w:val="20"/>
                <w:szCs w:val="20"/>
                <w:color w:val="auto"/>
              </w:rPr>
            </w:pPr>
            <w:r>
              <w:rPr>
                <w:rFonts w:ascii="Arial" w:cs="Arial" w:eastAsia="Arial" w:hAnsi="Arial"/>
                <w:sz w:val="13"/>
                <w:szCs w:val="13"/>
                <w:color w:val="auto"/>
              </w:rPr>
              <w:t>3,235</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right"/>
              <w:spacing w:after="0"/>
              <w:rPr>
                <w:sz w:val="20"/>
                <w:szCs w:val="20"/>
                <w:color w:val="auto"/>
              </w:rPr>
            </w:pPr>
            <w:r>
              <w:rPr>
                <w:rFonts w:ascii="Arial" w:cs="Arial" w:eastAsia="Arial" w:hAnsi="Arial"/>
                <w:sz w:val="13"/>
                <w:szCs w:val="13"/>
                <w:color w:val="auto"/>
              </w:rPr>
              <w:t>139,153</w:t>
            </w:r>
          </w:p>
        </w:tc>
        <w:tc>
          <w:tcPr>
            <w:tcW w:w="560" w:type="dxa"/>
            <w:vAlign w:val="bottom"/>
          </w:tcPr>
          <w:p>
            <w:pPr>
              <w:jc w:val="right"/>
              <w:spacing w:after="0"/>
              <w:rPr>
                <w:sz w:val="20"/>
                <w:szCs w:val="20"/>
                <w:color w:val="auto"/>
              </w:rPr>
            </w:pPr>
            <w:r>
              <w:rPr>
                <w:rFonts w:ascii="Arial" w:cs="Arial" w:eastAsia="Arial" w:hAnsi="Arial"/>
                <w:sz w:val="13"/>
                <w:szCs w:val="13"/>
                <w:color w:val="auto"/>
              </w:rPr>
              <w:t>3,459</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9.9%</w:t>
            </w:r>
          </w:p>
        </w:tc>
      </w:tr>
      <w:tr>
        <w:trPr>
          <w:trHeight w:val="159"/>
        </w:trPr>
        <w:tc>
          <w:tcPr>
            <w:tcW w:w="25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Government Programs</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19,846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13,425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10,856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2.1%</w:t>
            </w:r>
          </w:p>
        </w:tc>
      </w:tr>
      <w:tr>
        <w:trPr>
          <w:trHeight w:val="144"/>
        </w:trPr>
        <w:tc>
          <w:tcPr>
            <w:tcW w:w="250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Total IEA</w:t>
            </w:r>
          </w:p>
        </w:tc>
        <w:tc>
          <w:tcPr>
            <w:tcW w:w="60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233,023</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3,092</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5.3%</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226,138</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3,989</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7.1%</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226,373</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4,362</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7.7%</w:t>
            </w:r>
          </w:p>
        </w:tc>
      </w:tr>
      <w:tr>
        <w:trPr>
          <w:trHeight w:val="144"/>
        </w:trPr>
        <w:tc>
          <w:tcPr>
            <w:tcW w:w="250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IEA (LC)</w:t>
            </w:r>
          </w:p>
        </w:tc>
        <w:tc>
          <w:tcPr>
            <w:tcW w:w="60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56.2%</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76.5%</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7.2%</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57.0%</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75.0%</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9.3%</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56.4%</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73.1%</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10.0%</w:t>
            </w:r>
          </w:p>
        </w:tc>
      </w:tr>
      <w:tr>
        <w:trPr>
          <w:trHeight w:val="144"/>
        </w:trPr>
        <w:tc>
          <w:tcPr>
            <w:tcW w:w="250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IEA (FC)</w:t>
            </w:r>
          </w:p>
        </w:tc>
        <w:tc>
          <w:tcPr>
            <w:tcW w:w="60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43.8%</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23.5%</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2.8%</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43.0%</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25.0%</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4.1%</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43.6%</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26.9%</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4.8%</w:t>
            </w:r>
          </w:p>
        </w:tc>
      </w:tr>
      <w:tr>
        <w:trPr>
          <w:trHeight w:val="144"/>
        </w:trPr>
        <w:tc>
          <w:tcPr>
            <w:tcW w:w="2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r>
      <w:tr>
        <w:trPr>
          <w:trHeight w:val="144"/>
        </w:trPr>
        <w:tc>
          <w:tcPr>
            <w:tcW w:w="2500" w:type="dxa"/>
            <w:vAlign w:val="bottom"/>
            <w:tcBorders>
              <w:left w:val="single" w:sz="8" w:color="auto"/>
              <w:right w:val="single" w:sz="8" w:color="auto"/>
            </w:tcBorders>
            <w:shd w:val="clear" w:color="auto" w:fill="2AD2C9"/>
          </w:tcPr>
          <w:p>
            <w:pPr>
              <w:ind w:left="20"/>
              <w:spacing w:after="0" w:line="144" w:lineRule="exact"/>
              <w:rPr>
                <w:sz w:val="20"/>
                <w:szCs w:val="20"/>
                <w:color w:val="auto"/>
              </w:rPr>
            </w:pPr>
            <w:r>
              <w:rPr>
                <w:rFonts w:ascii="Arial" w:cs="Arial" w:eastAsia="Arial" w:hAnsi="Arial"/>
                <w:sz w:val="13"/>
                <w:szCs w:val="13"/>
                <w:b w:val="1"/>
                <w:bCs w:val="1"/>
                <w:color w:val="FFFFFF"/>
              </w:rPr>
              <w:t>Interest Expense / Funding</w:t>
            </w:r>
          </w:p>
        </w:tc>
        <w:tc>
          <w:tcPr>
            <w:tcW w:w="540" w:type="dxa"/>
            <w:vAlign w:val="bottom"/>
            <w:shd w:val="clear" w:color="auto" w:fill="2AD2C9"/>
          </w:tcPr>
          <w:p>
            <w:pPr>
              <w:spacing w:after="0"/>
              <w:rPr>
                <w:sz w:val="12"/>
                <w:szCs w:val="12"/>
                <w:color w:val="auto"/>
              </w:rPr>
            </w:pPr>
          </w:p>
        </w:tc>
        <w:tc>
          <w:tcPr>
            <w:tcW w:w="60" w:type="dxa"/>
            <w:vAlign w:val="bottom"/>
            <w:shd w:val="clear" w:color="auto" w:fill="2AD2C9"/>
          </w:tcPr>
          <w:p>
            <w:pPr>
              <w:spacing w:after="0"/>
              <w:rPr>
                <w:sz w:val="12"/>
                <w:szCs w:val="12"/>
                <w:color w:val="auto"/>
              </w:rPr>
            </w:pPr>
          </w:p>
        </w:tc>
        <w:tc>
          <w:tcPr>
            <w:tcW w:w="560" w:type="dxa"/>
            <w:vAlign w:val="bottom"/>
            <w:shd w:val="clear" w:color="auto" w:fill="2AD2C9"/>
          </w:tcPr>
          <w:p>
            <w:pPr>
              <w:jc w:val="right"/>
              <w:ind w:right="93"/>
              <w:spacing w:after="0" w:line="144" w:lineRule="exact"/>
              <w:rPr>
                <w:sz w:val="20"/>
                <w:szCs w:val="20"/>
                <w:color w:val="auto"/>
              </w:rPr>
            </w:pPr>
            <w:r>
              <w:rPr>
                <w:rFonts w:ascii="Arial" w:cs="Arial" w:eastAsia="Arial" w:hAnsi="Arial"/>
                <w:sz w:val="13"/>
                <w:szCs w:val="13"/>
                <w:b w:val="1"/>
                <w:bCs w:val="1"/>
                <w:color w:val="FFFFFF"/>
              </w:rPr>
              <w:t>4Q21</w:t>
            </w:r>
          </w:p>
        </w:tc>
        <w:tc>
          <w:tcPr>
            <w:tcW w:w="540" w:type="dxa"/>
            <w:vAlign w:val="bottom"/>
            <w:tcBorders>
              <w:right w:val="single" w:sz="8" w:color="auto"/>
            </w:tcBorders>
            <w:shd w:val="clear" w:color="auto" w:fill="2AD2C9"/>
          </w:tcPr>
          <w:p>
            <w:pPr>
              <w:spacing w:after="0"/>
              <w:rPr>
                <w:sz w:val="12"/>
                <w:szCs w:val="12"/>
                <w:color w:val="auto"/>
              </w:rPr>
            </w:pPr>
          </w:p>
        </w:tc>
        <w:tc>
          <w:tcPr>
            <w:tcW w:w="600" w:type="dxa"/>
            <w:vAlign w:val="bottom"/>
            <w:shd w:val="clear" w:color="auto" w:fill="2AD2C9"/>
          </w:tcPr>
          <w:p>
            <w:pPr>
              <w:spacing w:after="0"/>
              <w:rPr>
                <w:sz w:val="12"/>
                <w:szCs w:val="12"/>
                <w:color w:val="auto"/>
              </w:rPr>
            </w:pPr>
          </w:p>
        </w:tc>
        <w:tc>
          <w:tcPr>
            <w:tcW w:w="560" w:type="dxa"/>
            <w:vAlign w:val="bottom"/>
            <w:shd w:val="clear" w:color="auto" w:fill="2AD2C9"/>
          </w:tcPr>
          <w:p>
            <w:pPr>
              <w:jc w:val="right"/>
              <w:ind w:right="93"/>
              <w:spacing w:after="0" w:line="144" w:lineRule="exact"/>
              <w:rPr>
                <w:sz w:val="20"/>
                <w:szCs w:val="20"/>
                <w:color w:val="auto"/>
              </w:rPr>
            </w:pPr>
            <w:r>
              <w:rPr>
                <w:rFonts w:ascii="Arial" w:cs="Arial" w:eastAsia="Arial" w:hAnsi="Arial"/>
                <w:sz w:val="13"/>
                <w:szCs w:val="13"/>
                <w:b w:val="1"/>
                <w:bCs w:val="1"/>
                <w:color w:val="FFFFFF"/>
              </w:rPr>
              <w:t>3Q22</w:t>
            </w:r>
          </w:p>
        </w:tc>
        <w:tc>
          <w:tcPr>
            <w:tcW w:w="540" w:type="dxa"/>
            <w:vAlign w:val="bottom"/>
            <w:tcBorders>
              <w:right w:val="single" w:sz="8" w:color="auto"/>
            </w:tcBorders>
            <w:shd w:val="clear" w:color="auto" w:fill="2AD2C9"/>
          </w:tcPr>
          <w:p>
            <w:pPr>
              <w:spacing w:after="0"/>
              <w:rPr>
                <w:sz w:val="12"/>
                <w:szCs w:val="12"/>
                <w:color w:val="auto"/>
              </w:rPr>
            </w:pPr>
          </w:p>
        </w:tc>
        <w:tc>
          <w:tcPr>
            <w:tcW w:w="600" w:type="dxa"/>
            <w:vAlign w:val="bottom"/>
            <w:shd w:val="clear" w:color="auto" w:fill="2AD2C9"/>
          </w:tcPr>
          <w:p>
            <w:pPr>
              <w:spacing w:after="0"/>
              <w:rPr>
                <w:sz w:val="12"/>
                <w:szCs w:val="12"/>
                <w:color w:val="auto"/>
              </w:rPr>
            </w:pPr>
          </w:p>
        </w:tc>
        <w:tc>
          <w:tcPr>
            <w:tcW w:w="560" w:type="dxa"/>
            <w:vAlign w:val="bottom"/>
            <w:shd w:val="clear" w:color="auto" w:fill="2AD2C9"/>
          </w:tcPr>
          <w:p>
            <w:pPr>
              <w:jc w:val="right"/>
              <w:ind w:right="93"/>
              <w:spacing w:after="0" w:line="144" w:lineRule="exact"/>
              <w:rPr>
                <w:sz w:val="20"/>
                <w:szCs w:val="20"/>
                <w:color w:val="auto"/>
              </w:rPr>
            </w:pPr>
            <w:r>
              <w:rPr>
                <w:rFonts w:ascii="Arial" w:cs="Arial" w:eastAsia="Arial" w:hAnsi="Arial"/>
                <w:sz w:val="13"/>
                <w:szCs w:val="13"/>
                <w:b w:val="1"/>
                <w:bCs w:val="1"/>
                <w:color w:val="FFFFFF"/>
              </w:rPr>
              <w:t>4Q22</w:t>
            </w:r>
          </w:p>
        </w:tc>
        <w:tc>
          <w:tcPr>
            <w:tcW w:w="540" w:type="dxa"/>
            <w:vAlign w:val="bottom"/>
            <w:tcBorders>
              <w:right w:val="single" w:sz="8" w:color="auto"/>
            </w:tcBorders>
            <w:shd w:val="clear" w:color="auto" w:fill="2AD2C9"/>
          </w:tcPr>
          <w:p>
            <w:pPr>
              <w:spacing w:after="0"/>
              <w:rPr>
                <w:sz w:val="12"/>
                <w:szCs w:val="12"/>
                <w:color w:val="auto"/>
              </w:rPr>
            </w:pPr>
          </w:p>
        </w:tc>
      </w:tr>
      <w:tr>
        <w:trPr>
          <w:trHeight w:val="151"/>
        </w:trPr>
        <w:tc>
          <w:tcPr>
            <w:tcW w:w="2500" w:type="dxa"/>
            <w:vAlign w:val="bottom"/>
            <w:tcBorders>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millions</w:t>
            </w:r>
          </w:p>
        </w:tc>
        <w:tc>
          <w:tcPr>
            <w:tcW w:w="540" w:type="dxa"/>
            <w:vAlign w:val="bottom"/>
            <w:shd w:val="clear" w:color="auto" w:fill="2AD2C9"/>
          </w:tcPr>
          <w:p>
            <w:pPr>
              <w:jc w:val="right"/>
              <w:spacing w:after="0"/>
              <w:rPr>
                <w:sz w:val="20"/>
                <w:szCs w:val="20"/>
                <w:color w:val="auto"/>
              </w:rPr>
            </w:pPr>
            <w:r>
              <w:rPr>
                <w:rFonts w:ascii="Arial" w:cs="Arial" w:eastAsia="Arial" w:hAnsi="Arial"/>
                <w:sz w:val="13"/>
                <w:szCs w:val="13"/>
                <w:b w:val="1"/>
                <w:bCs w:val="1"/>
                <w:color w:val="FFFFFF"/>
              </w:rPr>
              <w:t>Average</w:t>
            </w:r>
          </w:p>
        </w:tc>
        <w:tc>
          <w:tcPr>
            <w:tcW w:w="60" w:type="dxa"/>
            <w:vAlign w:val="bottom"/>
            <w:shd w:val="clear" w:color="auto" w:fill="2AD2C9"/>
          </w:tcPr>
          <w:p>
            <w:pPr>
              <w:spacing w:after="0"/>
              <w:rPr>
                <w:sz w:val="13"/>
                <w:szCs w:val="13"/>
                <w:color w:val="auto"/>
              </w:rPr>
            </w:pPr>
          </w:p>
        </w:tc>
        <w:tc>
          <w:tcPr>
            <w:tcW w:w="560" w:type="dxa"/>
            <w:vAlign w:val="bottom"/>
            <w:shd w:val="clear" w:color="auto" w:fill="2AD2C9"/>
          </w:tcPr>
          <w:p>
            <w:pPr>
              <w:spacing w:after="0"/>
              <w:rPr>
                <w:sz w:val="13"/>
                <w:szCs w:val="13"/>
                <w:color w:val="auto"/>
              </w:rPr>
            </w:pPr>
          </w:p>
        </w:tc>
        <w:tc>
          <w:tcPr>
            <w:tcW w:w="540" w:type="dxa"/>
            <w:vAlign w:val="bottom"/>
            <w:tcBorders>
              <w:right w:val="single" w:sz="8" w:color="auto"/>
            </w:tcBorders>
            <w:shd w:val="clear" w:color="auto" w:fill="2AD2C9"/>
          </w:tcPr>
          <w:p>
            <w:pPr>
              <w:spacing w:after="0"/>
              <w:rPr>
                <w:sz w:val="13"/>
                <w:szCs w:val="13"/>
                <w:color w:val="auto"/>
              </w:rPr>
            </w:pPr>
          </w:p>
        </w:tc>
        <w:tc>
          <w:tcPr>
            <w:tcW w:w="600" w:type="dxa"/>
            <w:vAlign w:val="bottom"/>
            <w:shd w:val="clear" w:color="auto" w:fill="2AD2C9"/>
          </w:tcPr>
          <w:p>
            <w:pPr>
              <w:spacing w:after="0"/>
              <w:rPr>
                <w:sz w:val="20"/>
                <w:szCs w:val="20"/>
                <w:color w:val="auto"/>
              </w:rPr>
            </w:pPr>
            <w:r>
              <w:rPr>
                <w:rFonts w:ascii="Arial" w:cs="Arial" w:eastAsia="Arial" w:hAnsi="Arial"/>
                <w:sz w:val="13"/>
                <w:szCs w:val="13"/>
                <w:b w:val="1"/>
                <w:bCs w:val="1"/>
                <w:color w:val="FFFFFF"/>
              </w:rPr>
              <w:t>Average</w:t>
            </w:r>
          </w:p>
        </w:tc>
        <w:tc>
          <w:tcPr>
            <w:tcW w:w="560" w:type="dxa"/>
            <w:vAlign w:val="bottom"/>
            <w:shd w:val="clear" w:color="auto" w:fill="2AD2C9"/>
          </w:tcPr>
          <w:p>
            <w:pPr>
              <w:spacing w:after="0"/>
              <w:rPr>
                <w:sz w:val="13"/>
                <w:szCs w:val="13"/>
                <w:color w:val="auto"/>
              </w:rPr>
            </w:pPr>
          </w:p>
        </w:tc>
        <w:tc>
          <w:tcPr>
            <w:tcW w:w="540" w:type="dxa"/>
            <w:vAlign w:val="bottom"/>
            <w:tcBorders>
              <w:right w:val="single" w:sz="8" w:color="auto"/>
            </w:tcBorders>
            <w:shd w:val="clear" w:color="auto" w:fill="2AD2C9"/>
          </w:tcPr>
          <w:p>
            <w:pPr>
              <w:spacing w:after="0"/>
              <w:rPr>
                <w:sz w:val="13"/>
                <w:szCs w:val="13"/>
                <w:color w:val="auto"/>
              </w:rPr>
            </w:pPr>
          </w:p>
        </w:tc>
        <w:tc>
          <w:tcPr>
            <w:tcW w:w="600" w:type="dxa"/>
            <w:vAlign w:val="bottom"/>
            <w:shd w:val="clear" w:color="auto" w:fill="2AD2C9"/>
          </w:tcPr>
          <w:p>
            <w:pPr>
              <w:spacing w:after="0"/>
              <w:rPr>
                <w:sz w:val="20"/>
                <w:szCs w:val="20"/>
                <w:color w:val="auto"/>
              </w:rPr>
            </w:pPr>
            <w:r>
              <w:rPr>
                <w:rFonts w:ascii="Arial" w:cs="Arial" w:eastAsia="Arial" w:hAnsi="Arial"/>
                <w:sz w:val="13"/>
                <w:szCs w:val="13"/>
                <w:b w:val="1"/>
                <w:bCs w:val="1"/>
                <w:color w:val="FFFFFF"/>
              </w:rPr>
              <w:t>Average</w:t>
            </w:r>
          </w:p>
        </w:tc>
        <w:tc>
          <w:tcPr>
            <w:tcW w:w="560" w:type="dxa"/>
            <w:vAlign w:val="bottom"/>
            <w:shd w:val="clear" w:color="auto" w:fill="2AD2C9"/>
          </w:tcPr>
          <w:p>
            <w:pPr>
              <w:spacing w:after="0"/>
              <w:rPr>
                <w:sz w:val="13"/>
                <w:szCs w:val="13"/>
                <w:color w:val="auto"/>
              </w:rPr>
            </w:pPr>
          </w:p>
        </w:tc>
        <w:tc>
          <w:tcPr>
            <w:tcW w:w="540" w:type="dxa"/>
            <w:vAlign w:val="bottom"/>
            <w:tcBorders>
              <w:right w:val="single" w:sz="8" w:color="auto"/>
            </w:tcBorders>
            <w:shd w:val="clear" w:color="auto" w:fill="2AD2C9"/>
          </w:tcPr>
          <w:p>
            <w:pPr>
              <w:spacing w:after="0"/>
              <w:rPr>
                <w:sz w:val="13"/>
                <w:szCs w:val="13"/>
                <w:color w:val="auto"/>
              </w:rPr>
            </w:pPr>
          </w:p>
        </w:tc>
      </w:tr>
      <w:tr>
        <w:trPr>
          <w:trHeight w:val="151"/>
        </w:trPr>
        <w:tc>
          <w:tcPr>
            <w:tcW w:w="2500" w:type="dxa"/>
            <w:vAlign w:val="bottom"/>
            <w:tcBorders>
              <w:left w:val="single" w:sz="8" w:color="auto"/>
              <w:right w:val="single" w:sz="8" w:color="auto"/>
            </w:tcBorders>
            <w:shd w:val="clear" w:color="auto" w:fill="2AD2C9"/>
          </w:tcPr>
          <w:p>
            <w:pPr>
              <w:spacing w:after="0"/>
              <w:rPr>
                <w:sz w:val="13"/>
                <w:szCs w:val="13"/>
                <w:color w:val="auto"/>
              </w:rPr>
            </w:pPr>
          </w:p>
        </w:tc>
        <w:tc>
          <w:tcPr>
            <w:tcW w:w="540" w:type="dxa"/>
            <w:vAlign w:val="bottom"/>
            <w:shd w:val="clear" w:color="auto" w:fill="2AD2C9"/>
          </w:tcPr>
          <w:p>
            <w:pPr>
              <w:jc w:val="right"/>
              <w:spacing w:after="0"/>
              <w:rPr>
                <w:sz w:val="20"/>
                <w:szCs w:val="20"/>
                <w:color w:val="auto"/>
              </w:rPr>
            </w:pPr>
            <w:r>
              <w:rPr>
                <w:rFonts w:ascii="Arial" w:cs="Arial" w:eastAsia="Arial" w:hAnsi="Arial"/>
                <w:sz w:val="13"/>
                <w:szCs w:val="13"/>
                <w:b w:val="1"/>
                <w:bCs w:val="1"/>
                <w:color w:val="FFFFFF"/>
              </w:rPr>
              <w:t>Balance</w:t>
            </w:r>
          </w:p>
        </w:tc>
        <w:tc>
          <w:tcPr>
            <w:tcW w:w="620" w:type="dxa"/>
            <w:vAlign w:val="bottom"/>
            <w:gridSpan w:val="2"/>
            <w:shd w:val="clear" w:color="auto" w:fill="2AD2C9"/>
          </w:tcPr>
          <w:p>
            <w:pPr>
              <w:jc w:val="right"/>
              <w:spacing w:after="0"/>
              <w:rPr>
                <w:sz w:val="20"/>
                <w:szCs w:val="20"/>
                <w:color w:val="auto"/>
              </w:rPr>
            </w:pPr>
            <w:r>
              <w:rPr>
                <w:rFonts w:ascii="Arial" w:cs="Arial" w:eastAsia="Arial" w:hAnsi="Arial"/>
                <w:sz w:val="13"/>
                <w:szCs w:val="13"/>
                <w:b w:val="1"/>
                <w:bCs w:val="1"/>
                <w:color w:val="FFFFFF"/>
              </w:rPr>
              <w:t>Expense</w:t>
            </w:r>
          </w:p>
        </w:tc>
        <w:tc>
          <w:tcPr>
            <w:tcW w:w="540" w:type="dxa"/>
            <w:vAlign w:val="bottom"/>
            <w:tcBorders>
              <w:right w:val="single" w:sz="8" w:color="auto"/>
            </w:tcBorders>
            <w:shd w:val="clear" w:color="auto" w:fill="2AD2C9"/>
          </w:tcPr>
          <w:p>
            <w:pPr>
              <w:jc w:val="right"/>
              <w:ind w:right="53"/>
              <w:spacing w:after="0"/>
              <w:rPr>
                <w:sz w:val="20"/>
                <w:szCs w:val="20"/>
                <w:color w:val="auto"/>
              </w:rPr>
            </w:pPr>
            <w:r>
              <w:rPr>
                <w:rFonts w:ascii="Arial" w:cs="Arial" w:eastAsia="Arial" w:hAnsi="Arial"/>
                <w:sz w:val="13"/>
                <w:szCs w:val="13"/>
                <w:b w:val="1"/>
                <w:bCs w:val="1"/>
                <w:color w:val="FFFFFF"/>
              </w:rPr>
              <w:t>Yields</w:t>
            </w:r>
          </w:p>
        </w:tc>
        <w:tc>
          <w:tcPr>
            <w:tcW w:w="1160" w:type="dxa"/>
            <w:vAlign w:val="bottom"/>
            <w:gridSpan w:val="2"/>
            <w:shd w:val="clear" w:color="auto" w:fill="2AD2C9"/>
          </w:tcPr>
          <w:p>
            <w:pPr>
              <w:spacing w:after="0"/>
              <w:rPr>
                <w:sz w:val="20"/>
                <w:szCs w:val="20"/>
                <w:color w:val="auto"/>
              </w:rPr>
            </w:pPr>
            <w:r>
              <w:rPr>
                <w:rFonts w:ascii="Arial" w:cs="Arial" w:eastAsia="Arial" w:hAnsi="Arial"/>
                <w:sz w:val="13"/>
                <w:szCs w:val="13"/>
                <w:b w:val="1"/>
                <w:bCs w:val="1"/>
                <w:color w:val="FFFFFF"/>
              </w:rPr>
              <w:t>Balance Expense</w:t>
            </w:r>
          </w:p>
        </w:tc>
        <w:tc>
          <w:tcPr>
            <w:tcW w:w="540" w:type="dxa"/>
            <w:vAlign w:val="bottom"/>
            <w:tcBorders>
              <w:right w:val="single" w:sz="8" w:color="auto"/>
            </w:tcBorders>
            <w:shd w:val="clear" w:color="auto" w:fill="2AD2C9"/>
          </w:tcPr>
          <w:p>
            <w:pPr>
              <w:jc w:val="right"/>
              <w:ind w:right="53"/>
              <w:spacing w:after="0"/>
              <w:rPr>
                <w:sz w:val="20"/>
                <w:szCs w:val="20"/>
                <w:color w:val="auto"/>
              </w:rPr>
            </w:pPr>
            <w:r>
              <w:rPr>
                <w:rFonts w:ascii="Arial" w:cs="Arial" w:eastAsia="Arial" w:hAnsi="Arial"/>
                <w:sz w:val="13"/>
                <w:szCs w:val="13"/>
                <w:b w:val="1"/>
                <w:bCs w:val="1"/>
                <w:color w:val="FFFFFF"/>
              </w:rPr>
              <w:t>Yields</w:t>
            </w:r>
          </w:p>
        </w:tc>
        <w:tc>
          <w:tcPr>
            <w:tcW w:w="1160" w:type="dxa"/>
            <w:vAlign w:val="bottom"/>
            <w:gridSpan w:val="2"/>
            <w:shd w:val="clear" w:color="auto" w:fill="2AD2C9"/>
          </w:tcPr>
          <w:p>
            <w:pPr>
              <w:spacing w:after="0"/>
              <w:rPr>
                <w:sz w:val="20"/>
                <w:szCs w:val="20"/>
                <w:color w:val="auto"/>
              </w:rPr>
            </w:pPr>
            <w:r>
              <w:rPr>
                <w:rFonts w:ascii="Arial" w:cs="Arial" w:eastAsia="Arial" w:hAnsi="Arial"/>
                <w:sz w:val="13"/>
                <w:szCs w:val="13"/>
                <w:b w:val="1"/>
                <w:bCs w:val="1"/>
                <w:color w:val="FFFFFF"/>
              </w:rPr>
              <w:t>Balance Expense</w:t>
            </w:r>
          </w:p>
        </w:tc>
        <w:tc>
          <w:tcPr>
            <w:tcW w:w="540" w:type="dxa"/>
            <w:vAlign w:val="bottom"/>
            <w:tcBorders>
              <w:right w:val="single" w:sz="8" w:color="auto"/>
            </w:tcBorders>
            <w:shd w:val="clear" w:color="auto" w:fill="2AD2C9"/>
          </w:tcPr>
          <w:p>
            <w:pPr>
              <w:jc w:val="right"/>
              <w:ind w:right="53"/>
              <w:spacing w:after="0"/>
              <w:rPr>
                <w:sz w:val="20"/>
                <w:szCs w:val="20"/>
                <w:color w:val="auto"/>
              </w:rPr>
            </w:pPr>
            <w:r>
              <w:rPr>
                <w:rFonts w:ascii="Arial" w:cs="Arial" w:eastAsia="Arial" w:hAnsi="Arial"/>
                <w:sz w:val="13"/>
                <w:szCs w:val="13"/>
                <w:b w:val="1"/>
                <w:bCs w:val="1"/>
                <w:color w:val="FFFFFF"/>
              </w:rPr>
              <w:t>Yields</w:t>
            </w:r>
          </w:p>
        </w:tc>
      </w:tr>
      <w:tr>
        <w:trPr>
          <w:trHeight w:val="143"/>
        </w:trPr>
        <w:tc>
          <w:tcPr>
            <w:tcW w:w="250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Deposits</w:t>
            </w: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151,072</w:t>
            </w:r>
          </w:p>
        </w:tc>
        <w:tc>
          <w:tcPr>
            <w:tcW w:w="6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223</w:t>
            </w: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0.6%</w:t>
            </w: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auto"/>
              </w:rPr>
              <w:t>149,699</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510</w:t>
            </w: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1.4%</w:t>
            </w: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auto"/>
              </w:rPr>
              <w:t>149,489</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582</w:t>
            </w: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1.6%</w:t>
            </w:r>
          </w:p>
        </w:tc>
      </w:tr>
      <w:tr>
        <w:trPr>
          <w:trHeight w:val="151"/>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BCRP + Due to Banks</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27,559</w:t>
            </w:r>
          </w:p>
        </w:tc>
        <w:tc>
          <w:tcPr>
            <w:tcW w:w="560" w:type="dxa"/>
            <w:vAlign w:val="bottom"/>
          </w:tcPr>
          <w:p>
            <w:pPr>
              <w:jc w:val="right"/>
              <w:spacing w:after="0"/>
              <w:rPr>
                <w:sz w:val="20"/>
                <w:szCs w:val="20"/>
                <w:color w:val="auto"/>
              </w:rPr>
            </w:pPr>
            <w:r>
              <w:rPr>
                <w:rFonts w:ascii="Arial" w:cs="Arial" w:eastAsia="Arial" w:hAnsi="Arial"/>
                <w:sz w:val="13"/>
                <w:szCs w:val="13"/>
                <w:color w:val="auto"/>
              </w:rPr>
              <w:t>112</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600" w:type="dxa"/>
            <w:vAlign w:val="bottom"/>
          </w:tcPr>
          <w:p>
            <w:pPr>
              <w:jc w:val="right"/>
              <w:spacing w:after="0"/>
              <w:rPr>
                <w:sz w:val="20"/>
                <w:szCs w:val="20"/>
                <w:color w:val="auto"/>
              </w:rPr>
            </w:pPr>
            <w:r>
              <w:rPr>
                <w:rFonts w:ascii="Arial" w:cs="Arial" w:eastAsia="Arial" w:hAnsi="Arial"/>
                <w:sz w:val="13"/>
                <w:szCs w:val="13"/>
                <w:color w:val="auto"/>
              </w:rPr>
              <w:t>22,970</w:t>
            </w:r>
          </w:p>
        </w:tc>
        <w:tc>
          <w:tcPr>
            <w:tcW w:w="560" w:type="dxa"/>
            <w:vAlign w:val="bottom"/>
          </w:tcPr>
          <w:p>
            <w:pPr>
              <w:jc w:val="right"/>
              <w:spacing w:after="0"/>
              <w:rPr>
                <w:sz w:val="20"/>
                <w:szCs w:val="20"/>
                <w:color w:val="auto"/>
              </w:rPr>
            </w:pPr>
            <w:r>
              <w:rPr>
                <w:rFonts w:ascii="Arial" w:cs="Arial" w:eastAsia="Arial" w:hAnsi="Arial"/>
                <w:sz w:val="13"/>
                <w:szCs w:val="13"/>
                <w:color w:val="auto"/>
              </w:rPr>
              <w:t>186</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600" w:type="dxa"/>
            <w:vAlign w:val="bottom"/>
          </w:tcPr>
          <w:p>
            <w:pPr>
              <w:jc w:val="right"/>
              <w:spacing w:after="0"/>
              <w:rPr>
                <w:sz w:val="20"/>
                <w:szCs w:val="20"/>
                <w:color w:val="auto"/>
              </w:rPr>
            </w:pPr>
            <w:r>
              <w:rPr>
                <w:rFonts w:ascii="Arial" w:cs="Arial" w:eastAsia="Arial" w:hAnsi="Arial"/>
                <w:sz w:val="13"/>
                <w:szCs w:val="13"/>
                <w:color w:val="auto"/>
              </w:rPr>
              <w:t>21,843</w:t>
            </w:r>
          </w:p>
        </w:tc>
        <w:tc>
          <w:tcPr>
            <w:tcW w:w="560" w:type="dxa"/>
            <w:vAlign w:val="bottom"/>
          </w:tcPr>
          <w:p>
            <w:pPr>
              <w:jc w:val="right"/>
              <w:spacing w:after="0"/>
              <w:rPr>
                <w:sz w:val="20"/>
                <w:szCs w:val="20"/>
                <w:color w:val="auto"/>
              </w:rPr>
            </w:pPr>
            <w:r>
              <w:rPr>
                <w:rFonts w:ascii="Arial" w:cs="Arial" w:eastAsia="Arial" w:hAnsi="Arial"/>
                <w:sz w:val="13"/>
                <w:szCs w:val="13"/>
                <w:color w:val="auto"/>
              </w:rPr>
              <w:t>240</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4.4%</w:t>
            </w:r>
          </w:p>
        </w:tc>
      </w:tr>
      <w:tr>
        <w:trPr>
          <w:trHeight w:val="151"/>
        </w:trPr>
        <w:tc>
          <w:tcPr>
            <w:tcW w:w="2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Bonds and Notes</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17,700</w:t>
            </w:r>
          </w:p>
        </w:tc>
        <w:tc>
          <w:tcPr>
            <w:tcW w:w="560" w:type="dxa"/>
            <w:vAlign w:val="bottom"/>
          </w:tcPr>
          <w:p>
            <w:pPr>
              <w:jc w:val="right"/>
              <w:spacing w:after="0"/>
              <w:rPr>
                <w:sz w:val="20"/>
                <w:szCs w:val="20"/>
                <w:color w:val="auto"/>
              </w:rPr>
            </w:pPr>
            <w:r>
              <w:rPr>
                <w:rFonts w:ascii="Arial" w:cs="Arial" w:eastAsia="Arial" w:hAnsi="Arial"/>
                <w:sz w:val="13"/>
                <w:szCs w:val="13"/>
                <w:color w:val="auto"/>
              </w:rPr>
              <w:t>185</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600" w:type="dxa"/>
            <w:vAlign w:val="bottom"/>
          </w:tcPr>
          <w:p>
            <w:pPr>
              <w:jc w:val="right"/>
              <w:spacing w:after="0"/>
              <w:rPr>
                <w:sz w:val="20"/>
                <w:szCs w:val="20"/>
                <w:color w:val="auto"/>
              </w:rPr>
            </w:pPr>
            <w:r>
              <w:rPr>
                <w:rFonts w:ascii="Arial" w:cs="Arial" w:eastAsia="Arial" w:hAnsi="Arial"/>
                <w:sz w:val="13"/>
                <w:szCs w:val="13"/>
                <w:color w:val="auto"/>
              </w:rPr>
              <w:t>17,217</w:t>
            </w:r>
          </w:p>
        </w:tc>
        <w:tc>
          <w:tcPr>
            <w:tcW w:w="560" w:type="dxa"/>
            <w:vAlign w:val="bottom"/>
          </w:tcPr>
          <w:p>
            <w:pPr>
              <w:jc w:val="right"/>
              <w:spacing w:after="0"/>
              <w:rPr>
                <w:sz w:val="20"/>
                <w:szCs w:val="20"/>
                <w:color w:val="auto"/>
              </w:rPr>
            </w:pPr>
            <w:r>
              <w:rPr>
                <w:rFonts w:ascii="Arial" w:cs="Arial" w:eastAsia="Arial" w:hAnsi="Arial"/>
                <w:sz w:val="13"/>
                <w:szCs w:val="13"/>
                <w:color w:val="auto"/>
              </w:rPr>
              <w:t>189</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600" w:type="dxa"/>
            <w:vAlign w:val="bottom"/>
          </w:tcPr>
          <w:p>
            <w:pPr>
              <w:jc w:val="right"/>
              <w:spacing w:after="0"/>
              <w:rPr>
                <w:sz w:val="20"/>
                <w:szCs w:val="20"/>
                <w:color w:val="auto"/>
              </w:rPr>
            </w:pPr>
            <w:r>
              <w:rPr>
                <w:rFonts w:ascii="Arial" w:cs="Arial" w:eastAsia="Arial" w:hAnsi="Arial"/>
                <w:sz w:val="13"/>
                <w:szCs w:val="13"/>
                <w:color w:val="auto"/>
              </w:rPr>
              <w:t>17,430</w:t>
            </w:r>
          </w:p>
        </w:tc>
        <w:tc>
          <w:tcPr>
            <w:tcW w:w="560" w:type="dxa"/>
            <w:vAlign w:val="bottom"/>
          </w:tcPr>
          <w:p>
            <w:pPr>
              <w:jc w:val="right"/>
              <w:spacing w:after="0"/>
              <w:rPr>
                <w:sz w:val="20"/>
                <w:szCs w:val="20"/>
                <w:color w:val="auto"/>
              </w:rPr>
            </w:pPr>
            <w:r>
              <w:rPr>
                <w:rFonts w:ascii="Arial" w:cs="Arial" w:eastAsia="Arial" w:hAnsi="Arial"/>
                <w:sz w:val="13"/>
                <w:szCs w:val="13"/>
                <w:color w:val="auto"/>
              </w:rPr>
              <w:t>189</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4.3%</w:t>
            </w:r>
          </w:p>
        </w:tc>
      </w:tr>
      <w:tr>
        <w:trPr>
          <w:trHeight w:val="159"/>
        </w:trPr>
        <w:tc>
          <w:tcPr>
            <w:tcW w:w="2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Others</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1,314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32.6%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40.1%</w:t>
            </w:r>
          </w:p>
        </w:tc>
      </w:tr>
      <w:tr>
        <w:trPr>
          <w:trHeight w:val="144"/>
        </w:trPr>
        <w:tc>
          <w:tcPr>
            <w:tcW w:w="250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Total Funding</w:t>
            </w:r>
          </w:p>
        </w:tc>
        <w:tc>
          <w:tcPr>
            <w:tcW w:w="60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197,645</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615</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1.2%</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191,147</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987</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2.1%</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189,843</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1,119</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w:t>
            </w:r>
          </w:p>
        </w:tc>
      </w:tr>
      <w:tr>
        <w:trPr>
          <w:trHeight w:val="144"/>
        </w:trPr>
        <w:tc>
          <w:tcPr>
            <w:tcW w:w="250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Funding (LC)</w:t>
            </w:r>
          </w:p>
        </w:tc>
        <w:tc>
          <w:tcPr>
            <w:tcW w:w="60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51.5%</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49.5%</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1.2%</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51.1%</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57.9%</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2.3%</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51.0%</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59.0%</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2.7%</w:t>
            </w:r>
          </w:p>
        </w:tc>
      </w:tr>
      <w:tr>
        <w:trPr>
          <w:trHeight w:val="144"/>
        </w:trPr>
        <w:tc>
          <w:tcPr>
            <w:tcW w:w="250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Funding (FC)</w:t>
            </w:r>
          </w:p>
        </w:tc>
        <w:tc>
          <w:tcPr>
            <w:tcW w:w="60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48.5%</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50.5%</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1.3%</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48.9%</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42.1%</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1.8%</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49.0%</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41.0%</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2.0%</w:t>
            </w:r>
          </w:p>
        </w:tc>
      </w:tr>
      <w:tr>
        <w:trPr>
          <w:trHeight w:val="144"/>
        </w:trPr>
        <w:tc>
          <w:tcPr>
            <w:tcW w:w="2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r>
      <w:tr>
        <w:trPr>
          <w:trHeight w:val="144"/>
        </w:trPr>
        <w:tc>
          <w:tcPr>
            <w:tcW w:w="250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NIM</w:t>
            </w:r>
          </w:p>
        </w:tc>
        <w:tc>
          <w:tcPr>
            <w:tcW w:w="60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233,023</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2,477</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4.3%</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226,138</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3,001</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5.3%</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226,373</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3,243</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5.7%</w:t>
            </w:r>
          </w:p>
        </w:tc>
      </w:tr>
      <w:tr>
        <w:trPr>
          <w:trHeight w:val="144"/>
        </w:trPr>
        <w:tc>
          <w:tcPr>
            <w:tcW w:w="250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NIM (LC)</w:t>
            </w:r>
          </w:p>
        </w:tc>
        <w:tc>
          <w:tcPr>
            <w:tcW w:w="60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56.2%</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83.2%</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6.3%</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57.0%</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80.7%</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7.5%</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56.4%</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78.0%</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7.9%</w:t>
            </w:r>
          </w:p>
        </w:tc>
      </w:tr>
      <w:tr>
        <w:trPr>
          <w:trHeight w:val="144"/>
        </w:trPr>
        <w:tc>
          <w:tcPr>
            <w:tcW w:w="250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NIM (FC)</w:t>
            </w:r>
          </w:p>
        </w:tc>
        <w:tc>
          <w:tcPr>
            <w:tcW w:w="60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43.8%</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16.8%</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1.6%</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43.0%</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19.3%</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2.4%</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43.6%</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22.0%</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2.9%</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QoQ analysis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4"/>
        </w:trPr>
        <w:tc>
          <w:tcPr>
            <w:tcW w:w="540" w:type="dxa"/>
            <w:vAlign w:val="bottom"/>
            <w:tcBorders>
              <w:top w:val="single" w:sz="8" w:color="auto"/>
              <w:left w:val="single" w:sz="8" w:color="auto"/>
            </w:tcBorders>
            <w:vMerge w:val="restart"/>
            <w:shd w:val="clear" w:color="auto" w:fill="2AD2C9"/>
          </w:tcPr>
          <w:p>
            <w:pPr>
              <w:ind w:left="20"/>
              <w:spacing w:after="0"/>
              <w:rPr>
                <w:sz w:val="20"/>
                <w:szCs w:val="20"/>
                <w:color w:val="auto"/>
              </w:rPr>
            </w:pPr>
            <w:r>
              <w:rPr>
                <w:rFonts w:ascii="Arial" w:cs="Arial" w:eastAsia="Arial" w:hAnsi="Arial"/>
                <w:sz w:val="13"/>
                <w:szCs w:val="13"/>
                <w:b w:val="1"/>
                <w:bCs w:val="1"/>
                <w:color w:val="FFFFFF"/>
                <w:w w:val="97"/>
              </w:rPr>
              <w:t>Average</w:t>
            </w:r>
          </w:p>
        </w:tc>
        <w:tc>
          <w:tcPr>
            <w:tcW w:w="40" w:type="dxa"/>
            <w:vAlign w:val="bottom"/>
            <w:tcBorders>
              <w:top w:val="single" w:sz="8" w:color="auto"/>
            </w:tcBorders>
            <w:shd w:val="clear" w:color="auto" w:fill="2AD2C9"/>
          </w:tcPr>
          <w:p>
            <w:pPr>
              <w:spacing w:after="0"/>
              <w:rPr>
                <w:sz w:val="14"/>
                <w:szCs w:val="14"/>
                <w:color w:val="auto"/>
              </w:rPr>
            </w:pPr>
          </w:p>
        </w:tc>
        <w:tc>
          <w:tcPr>
            <w:tcW w:w="560" w:type="dxa"/>
            <w:vAlign w:val="bottom"/>
            <w:tcBorders>
              <w:top w:val="single" w:sz="8" w:color="auto"/>
            </w:tcBorders>
            <w:shd w:val="clear" w:color="auto" w:fill="2AD2C9"/>
          </w:tcPr>
          <w:p>
            <w:pPr>
              <w:jc w:val="right"/>
              <w:ind w:right="33"/>
              <w:spacing w:after="0"/>
              <w:rPr>
                <w:sz w:val="20"/>
                <w:szCs w:val="20"/>
                <w:color w:val="auto"/>
              </w:rPr>
            </w:pPr>
            <w:r>
              <w:rPr>
                <w:rFonts w:ascii="Arial" w:cs="Arial" w:eastAsia="Arial" w:hAnsi="Arial"/>
                <w:sz w:val="13"/>
                <w:szCs w:val="13"/>
                <w:b w:val="1"/>
                <w:bCs w:val="1"/>
                <w:color w:val="FFFFFF"/>
              </w:rPr>
              <w:t>Dec 21</w:t>
            </w:r>
          </w:p>
        </w:tc>
        <w:tc>
          <w:tcPr>
            <w:tcW w:w="540" w:type="dxa"/>
            <w:vAlign w:val="bottom"/>
            <w:tcBorders>
              <w:top w:val="single" w:sz="8" w:color="auto"/>
              <w:right w:val="single" w:sz="8" w:color="auto"/>
            </w:tcBorders>
            <w:shd w:val="clear" w:color="auto" w:fill="2AD2C9"/>
          </w:tcPr>
          <w:p>
            <w:pPr>
              <w:spacing w:after="0"/>
              <w:rPr>
                <w:sz w:val="14"/>
                <w:szCs w:val="14"/>
                <w:color w:val="auto"/>
              </w:rPr>
            </w:pPr>
          </w:p>
        </w:tc>
        <w:tc>
          <w:tcPr>
            <w:tcW w:w="560" w:type="dxa"/>
            <w:vAlign w:val="bottom"/>
            <w:tcBorders>
              <w:top w:val="single" w:sz="8" w:color="auto"/>
            </w:tcBorders>
            <w:vMerge w:val="restart"/>
            <w:shd w:val="clear" w:color="auto" w:fill="2AD2C9"/>
          </w:tcPr>
          <w:p>
            <w:pPr>
              <w:spacing w:after="0"/>
              <w:rPr>
                <w:sz w:val="20"/>
                <w:szCs w:val="20"/>
                <w:color w:val="auto"/>
              </w:rPr>
            </w:pPr>
            <w:r>
              <w:rPr>
                <w:rFonts w:ascii="Arial" w:cs="Arial" w:eastAsia="Arial" w:hAnsi="Arial"/>
                <w:sz w:val="13"/>
                <w:szCs w:val="13"/>
                <w:b w:val="1"/>
                <w:bCs w:val="1"/>
                <w:color w:val="FFFFFF"/>
              </w:rPr>
              <w:t>Average</w:t>
            </w:r>
          </w:p>
        </w:tc>
        <w:tc>
          <w:tcPr>
            <w:tcW w:w="560" w:type="dxa"/>
            <w:vAlign w:val="bottom"/>
            <w:tcBorders>
              <w:top w:val="single" w:sz="8" w:color="auto"/>
            </w:tcBorders>
            <w:shd w:val="clear" w:color="auto" w:fill="2AD2C9"/>
          </w:tcPr>
          <w:p>
            <w:pPr>
              <w:jc w:val="right"/>
              <w:ind w:right="33"/>
              <w:spacing w:after="0"/>
              <w:rPr>
                <w:sz w:val="20"/>
                <w:szCs w:val="20"/>
                <w:color w:val="auto"/>
              </w:rPr>
            </w:pPr>
            <w:r>
              <w:rPr>
                <w:rFonts w:ascii="Arial" w:cs="Arial" w:eastAsia="Arial" w:hAnsi="Arial"/>
                <w:sz w:val="13"/>
                <w:szCs w:val="13"/>
                <w:b w:val="1"/>
                <w:bCs w:val="1"/>
                <w:color w:val="FFFFFF"/>
              </w:rPr>
              <w:t>Dec 22</w:t>
            </w:r>
          </w:p>
        </w:tc>
        <w:tc>
          <w:tcPr>
            <w:tcW w:w="540" w:type="dxa"/>
            <w:vAlign w:val="bottom"/>
            <w:tcBorders>
              <w:top w:val="single" w:sz="8" w:color="auto"/>
              <w:right w:val="single" w:sz="8" w:color="auto"/>
            </w:tcBorders>
            <w:shd w:val="clear" w:color="auto" w:fill="2AD2C9"/>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40" w:type="dxa"/>
            <w:vAlign w:val="bottom"/>
            <w:tcBorders>
              <w:left w:val="single" w:sz="8" w:color="auto"/>
            </w:tcBorders>
            <w:vMerge w:val="continue"/>
            <w:shd w:val="clear" w:color="auto" w:fill="2AD2C9"/>
          </w:tcPr>
          <w:p>
            <w:pPr>
              <w:spacing w:after="0"/>
              <w:rPr>
                <w:sz w:val="13"/>
                <w:szCs w:val="13"/>
                <w:color w:val="auto"/>
              </w:rPr>
            </w:pPr>
          </w:p>
        </w:tc>
        <w:tc>
          <w:tcPr>
            <w:tcW w:w="40" w:type="dxa"/>
            <w:vAlign w:val="bottom"/>
            <w:shd w:val="clear" w:color="auto" w:fill="2AD2C9"/>
          </w:tcPr>
          <w:p>
            <w:pPr>
              <w:spacing w:after="0"/>
              <w:rPr>
                <w:sz w:val="13"/>
                <w:szCs w:val="13"/>
                <w:color w:val="auto"/>
              </w:rPr>
            </w:pPr>
          </w:p>
        </w:tc>
        <w:tc>
          <w:tcPr>
            <w:tcW w:w="560" w:type="dxa"/>
            <w:vAlign w:val="bottom"/>
            <w:shd w:val="clear" w:color="auto" w:fill="2AD2C9"/>
          </w:tcPr>
          <w:p>
            <w:pPr>
              <w:spacing w:after="0"/>
              <w:rPr>
                <w:sz w:val="13"/>
                <w:szCs w:val="13"/>
                <w:color w:val="auto"/>
              </w:rPr>
            </w:pPr>
          </w:p>
        </w:tc>
        <w:tc>
          <w:tcPr>
            <w:tcW w:w="540" w:type="dxa"/>
            <w:vAlign w:val="bottom"/>
            <w:tcBorders>
              <w:right w:val="single" w:sz="8" w:color="auto"/>
            </w:tcBorders>
            <w:shd w:val="clear" w:color="auto" w:fill="2AD2C9"/>
          </w:tcPr>
          <w:p>
            <w:pPr>
              <w:spacing w:after="0"/>
              <w:rPr>
                <w:sz w:val="13"/>
                <w:szCs w:val="13"/>
                <w:color w:val="auto"/>
              </w:rPr>
            </w:pPr>
          </w:p>
        </w:tc>
        <w:tc>
          <w:tcPr>
            <w:tcW w:w="560" w:type="dxa"/>
            <w:vAlign w:val="bottom"/>
            <w:vMerge w:val="continue"/>
            <w:shd w:val="clear" w:color="auto" w:fill="2AD2C9"/>
          </w:tcPr>
          <w:p>
            <w:pPr>
              <w:spacing w:after="0"/>
              <w:rPr>
                <w:sz w:val="13"/>
                <w:szCs w:val="13"/>
                <w:color w:val="auto"/>
              </w:rPr>
            </w:pPr>
          </w:p>
        </w:tc>
        <w:tc>
          <w:tcPr>
            <w:tcW w:w="560" w:type="dxa"/>
            <w:vAlign w:val="bottom"/>
            <w:shd w:val="clear" w:color="auto" w:fill="2AD2C9"/>
          </w:tcPr>
          <w:p>
            <w:pPr>
              <w:spacing w:after="0"/>
              <w:rPr>
                <w:sz w:val="13"/>
                <w:szCs w:val="13"/>
                <w:color w:val="auto"/>
              </w:rPr>
            </w:pPr>
          </w:p>
        </w:tc>
        <w:tc>
          <w:tcPr>
            <w:tcW w:w="540" w:type="dxa"/>
            <w:vAlign w:val="bottom"/>
            <w:tcBorders>
              <w:right w:val="single" w:sz="8" w:color="auto"/>
            </w:tcBorders>
            <w:shd w:val="clear" w:color="auto" w:fill="2AD2C9"/>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40" w:type="dxa"/>
            <w:vAlign w:val="bottom"/>
            <w:tcBorders>
              <w:lef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Balance</w:t>
            </w:r>
          </w:p>
        </w:tc>
        <w:tc>
          <w:tcPr>
            <w:tcW w:w="600" w:type="dxa"/>
            <w:vAlign w:val="bottom"/>
            <w:gridSpan w:val="2"/>
            <w:shd w:val="clear" w:color="auto" w:fill="2AD2C9"/>
          </w:tcPr>
          <w:p>
            <w:pPr>
              <w:jc w:val="right"/>
              <w:ind w:right="13"/>
              <w:spacing w:after="0"/>
              <w:rPr>
                <w:sz w:val="20"/>
                <w:szCs w:val="20"/>
                <w:color w:val="auto"/>
              </w:rPr>
            </w:pPr>
            <w:r>
              <w:rPr>
                <w:rFonts w:ascii="Arial" w:cs="Arial" w:eastAsia="Arial" w:hAnsi="Arial"/>
                <w:sz w:val="13"/>
                <w:szCs w:val="13"/>
                <w:b w:val="1"/>
                <w:bCs w:val="1"/>
                <w:color w:val="FFFFFF"/>
              </w:rPr>
              <w:t>Income</w:t>
            </w:r>
          </w:p>
        </w:tc>
        <w:tc>
          <w:tcPr>
            <w:tcW w:w="540" w:type="dxa"/>
            <w:vAlign w:val="bottom"/>
            <w:tcBorders>
              <w:right w:val="single" w:sz="8" w:color="auto"/>
            </w:tcBorders>
            <w:shd w:val="clear" w:color="auto" w:fill="2AD2C9"/>
          </w:tcPr>
          <w:p>
            <w:pPr>
              <w:jc w:val="right"/>
              <w:ind w:right="33"/>
              <w:spacing w:after="0"/>
              <w:rPr>
                <w:sz w:val="20"/>
                <w:szCs w:val="20"/>
                <w:color w:val="auto"/>
              </w:rPr>
            </w:pPr>
            <w:r>
              <w:rPr>
                <w:rFonts w:ascii="Arial" w:cs="Arial" w:eastAsia="Arial" w:hAnsi="Arial"/>
                <w:sz w:val="13"/>
                <w:szCs w:val="13"/>
                <w:b w:val="1"/>
                <w:bCs w:val="1"/>
                <w:color w:val="FFFFFF"/>
              </w:rPr>
              <w:t>Yields</w:t>
            </w:r>
          </w:p>
        </w:tc>
        <w:tc>
          <w:tcPr>
            <w:tcW w:w="1120" w:type="dxa"/>
            <w:vAlign w:val="bottom"/>
            <w:gridSpan w:val="2"/>
            <w:shd w:val="clear" w:color="auto" w:fill="2AD2C9"/>
          </w:tcPr>
          <w:p>
            <w:pPr>
              <w:spacing w:after="0"/>
              <w:rPr>
                <w:sz w:val="20"/>
                <w:szCs w:val="20"/>
                <w:color w:val="auto"/>
              </w:rPr>
            </w:pPr>
            <w:r>
              <w:rPr>
                <w:rFonts w:ascii="Arial" w:cs="Arial" w:eastAsia="Arial" w:hAnsi="Arial"/>
                <w:sz w:val="13"/>
                <w:szCs w:val="13"/>
                <w:b w:val="1"/>
                <w:bCs w:val="1"/>
                <w:color w:val="FFFFFF"/>
              </w:rPr>
              <w:t>Balance Income</w:t>
            </w:r>
          </w:p>
        </w:tc>
        <w:tc>
          <w:tcPr>
            <w:tcW w:w="540" w:type="dxa"/>
            <w:vAlign w:val="bottom"/>
            <w:tcBorders>
              <w:right w:val="single" w:sz="8" w:color="auto"/>
            </w:tcBorders>
            <w:shd w:val="clear" w:color="auto" w:fill="2AD2C9"/>
          </w:tcPr>
          <w:p>
            <w:pPr>
              <w:jc w:val="right"/>
              <w:ind w:right="33"/>
              <w:spacing w:after="0"/>
              <w:rPr>
                <w:sz w:val="20"/>
                <w:szCs w:val="20"/>
                <w:color w:val="auto"/>
              </w:rPr>
            </w:pPr>
            <w:r>
              <w:rPr>
                <w:rFonts w:ascii="Arial" w:cs="Arial" w:eastAsia="Arial" w:hAnsi="Arial"/>
                <w:sz w:val="13"/>
                <w:szCs w:val="13"/>
                <w:b w:val="1"/>
                <w:bCs w:val="1"/>
                <w:color w:val="FFFFFF"/>
              </w:rPr>
              <w:t>Yields</w:t>
            </w:r>
          </w:p>
        </w:tc>
        <w:tc>
          <w:tcPr>
            <w:tcW w:w="0" w:type="dxa"/>
            <w:vAlign w:val="bottom"/>
          </w:tcPr>
          <w:p>
            <w:pPr>
              <w:spacing w:after="0"/>
              <w:rPr>
                <w:sz w:val="1"/>
                <w:szCs w:val="1"/>
                <w:color w:val="auto"/>
              </w:rPr>
            </w:pPr>
          </w:p>
        </w:tc>
      </w:tr>
      <w:tr>
        <w:trPr>
          <w:trHeight w:val="143"/>
        </w:trPr>
        <w:tc>
          <w:tcPr>
            <w:tcW w:w="540" w:type="dxa"/>
            <w:vAlign w:val="bottom"/>
            <w:tcBorders>
              <w:left w:val="single" w:sz="8" w:color="auto"/>
            </w:tcBorders>
          </w:tcPr>
          <w:p>
            <w:pPr>
              <w:ind w:left="140"/>
              <w:spacing w:after="0" w:line="144" w:lineRule="exact"/>
              <w:rPr>
                <w:sz w:val="20"/>
                <w:szCs w:val="20"/>
                <w:color w:val="auto"/>
              </w:rPr>
            </w:pPr>
            <w:r>
              <w:rPr>
                <w:rFonts w:ascii="Arial" w:cs="Arial" w:eastAsia="Arial" w:hAnsi="Arial"/>
                <w:sz w:val="13"/>
                <w:szCs w:val="13"/>
                <w:color w:val="auto"/>
                <w:w w:val="95"/>
              </w:rPr>
              <w:t>30,486</w:t>
            </w:r>
          </w:p>
        </w:tc>
        <w:tc>
          <w:tcPr>
            <w:tcW w:w="4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50</w:t>
            </w: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0.2%</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29,646</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459</w:t>
            </w: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1"/>
        </w:trPr>
        <w:tc>
          <w:tcPr>
            <w:tcW w:w="580" w:type="dxa"/>
            <w:vAlign w:val="bottom"/>
            <w:tcBorders>
              <w:left w:val="single" w:sz="8" w:color="auto"/>
            </w:tcBorders>
            <w:gridSpan w:val="2"/>
          </w:tcPr>
          <w:p>
            <w:pPr>
              <w:jc w:val="right"/>
              <w:spacing w:after="0"/>
              <w:rPr>
                <w:sz w:val="20"/>
                <w:szCs w:val="20"/>
                <w:color w:val="auto"/>
              </w:rPr>
            </w:pPr>
            <w:r>
              <w:rPr>
                <w:rFonts w:ascii="Arial" w:cs="Arial" w:eastAsia="Arial" w:hAnsi="Arial"/>
                <w:sz w:val="13"/>
                <w:szCs w:val="13"/>
                <w:color w:val="auto"/>
              </w:rPr>
              <w:t>2,986</w:t>
            </w:r>
          </w:p>
        </w:tc>
        <w:tc>
          <w:tcPr>
            <w:tcW w:w="560" w:type="dxa"/>
            <w:vAlign w:val="bottom"/>
          </w:tcPr>
          <w:p>
            <w:pPr>
              <w:jc w:val="right"/>
              <w:spacing w:after="0"/>
              <w:rPr>
                <w:sz w:val="20"/>
                <w:szCs w:val="20"/>
                <w:color w:val="auto"/>
              </w:rPr>
            </w:pPr>
            <w:r>
              <w:rPr>
                <w:rFonts w:ascii="Arial" w:cs="Arial" w:eastAsia="Arial" w:hAnsi="Arial"/>
                <w:sz w:val="13"/>
                <w:szCs w:val="13"/>
                <w:color w:val="auto"/>
              </w:rPr>
              <w:t>63</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560" w:type="dxa"/>
            <w:vAlign w:val="bottom"/>
          </w:tcPr>
          <w:p>
            <w:pPr>
              <w:jc w:val="right"/>
              <w:spacing w:after="0"/>
              <w:rPr>
                <w:sz w:val="20"/>
                <w:szCs w:val="20"/>
                <w:color w:val="auto"/>
              </w:rPr>
            </w:pPr>
            <w:r>
              <w:rPr>
                <w:rFonts w:ascii="Arial" w:cs="Arial" w:eastAsia="Arial" w:hAnsi="Arial"/>
                <w:sz w:val="13"/>
                <w:szCs w:val="13"/>
                <w:color w:val="auto"/>
              </w:rPr>
              <w:t>2,312</w:t>
            </w:r>
          </w:p>
        </w:tc>
        <w:tc>
          <w:tcPr>
            <w:tcW w:w="560" w:type="dxa"/>
            <w:vAlign w:val="bottom"/>
          </w:tcPr>
          <w:p>
            <w:pPr>
              <w:jc w:val="right"/>
              <w:spacing w:after="0"/>
              <w:rPr>
                <w:sz w:val="20"/>
                <w:szCs w:val="20"/>
                <w:color w:val="auto"/>
              </w:rPr>
            </w:pPr>
            <w:r>
              <w:rPr>
                <w:rFonts w:ascii="Arial" w:cs="Arial" w:eastAsia="Arial" w:hAnsi="Arial"/>
                <w:sz w:val="13"/>
                <w:szCs w:val="13"/>
                <w:color w:val="auto"/>
              </w:rPr>
              <w:t>91</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1"/>
        </w:trPr>
        <w:tc>
          <w:tcPr>
            <w:tcW w:w="580" w:type="dxa"/>
            <w:vAlign w:val="bottom"/>
            <w:tcBorders>
              <w:left w:val="single" w:sz="8" w:color="auto"/>
            </w:tcBorders>
            <w:gridSpan w:val="2"/>
          </w:tcPr>
          <w:p>
            <w:pPr>
              <w:jc w:val="right"/>
              <w:spacing w:after="0"/>
              <w:rPr>
                <w:sz w:val="20"/>
                <w:szCs w:val="20"/>
                <w:color w:val="auto"/>
              </w:rPr>
            </w:pPr>
            <w:r>
              <w:rPr>
                <w:rFonts w:ascii="Arial" w:cs="Arial" w:eastAsia="Arial" w:hAnsi="Arial"/>
                <w:sz w:val="13"/>
                <w:szCs w:val="13"/>
                <w:color w:val="auto"/>
              </w:rPr>
              <w:t>52,063</w:t>
            </w:r>
          </w:p>
        </w:tc>
        <w:tc>
          <w:tcPr>
            <w:tcW w:w="560" w:type="dxa"/>
            <w:vAlign w:val="bottom"/>
          </w:tcPr>
          <w:p>
            <w:pPr>
              <w:jc w:val="right"/>
              <w:spacing w:after="0"/>
              <w:rPr>
                <w:sz w:val="20"/>
                <w:szCs w:val="20"/>
                <w:color w:val="auto"/>
              </w:rPr>
            </w:pPr>
            <w:r>
              <w:rPr>
                <w:rFonts w:ascii="Arial" w:cs="Arial" w:eastAsia="Arial" w:hAnsi="Arial"/>
                <w:sz w:val="13"/>
                <w:szCs w:val="13"/>
                <w:color w:val="auto"/>
              </w:rPr>
              <w:t>1,567</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560" w:type="dxa"/>
            <w:vAlign w:val="bottom"/>
          </w:tcPr>
          <w:p>
            <w:pPr>
              <w:jc w:val="right"/>
              <w:spacing w:after="0"/>
              <w:rPr>
                <w:sz w:val="20"/>
                <w:szCs w:val="20"/>
                <w:color w:val="auto"/>
              </w:rPr>
            </w:pPr>
            <w:r>
              <w:rPr>
                <w:rFonts w:ascii="Arial" w:cs="Arial" w:eastAsia="Arial" w:hAnsi="Arial"/>
                <w:sz w:val="13"/>
                <w:szCs w:val="13"/>
                <w:color w:val="auto"/>
              </w:rPr>
              <w:t>47,192</w:t>
            </w:r>
          </w:p>
        </w:tc>
        <w:tc>
          <w:tcPr>
            <w:tcW w:w="560" w:type="dxa"/>
            <w:vAlign w:val="bottom"/>
          </w:tcPr>
          <w:p>
            <w:pPr>
              <w:jc w:val="right"/>
              <w:spacing w:after="0"/>
              <w:rPr>
                <w:sz w:val="20"/>
                <w:szCs w:val="20"/>
                <w:color w:val="auto"/>
              </w:rPr>
            </w:pPr>
            <w:r>
              <w:rPr>
                <w:rFonts w:ascii="Arial" w:cs="Arial" w:eastAsia="Arial" w:hAnsi="Arial"/>
                <w:sz w:val="13"/>
                <w:szCs w:val="13"/>
                <w:color w:val="auto"/>
              </w:rPr>
              <w:t>2,043</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1"/>
        </w:trPr>
        <w:tc>
          <w:tcPr>
            <w:tcW w:w="580" w:type="dxa"/>
            <w:vAlign w:val="bottom"/>
            <w:tcBorders>
              <w:left w:val="single" w:sz="8" w:color="auto"/>
            </w:tcBorders>
            <w:gridSpan w:val="2"/>
          </w:tcPr>
          <w:p>
            <w:pPr>
              <w:jc w:val="right"/>
              <w:spacing w:after="0"/>
              <w:rPr>
                <w:sz w:val="20"/>
                <w:szCs w:val="20"/>
                <w:color w:val="auto"/>
              </w:rPr>
            </w:pPr>
            <w:r>
              <w:rPr>
                <w:rFonts w:ascii="Arial" w:cs="Arial" w:eastAsia="Arial" w:hAnsi="Arial"/>
                <w:sz w:val="13"/>
                <w:szCs w:val="13"/>
                <w:color w:val="auto"/>
              </w:rPr>
              <w:t>142,629</w:t>
            </w:r>
          </w:p>
        </w:tc>
        <w:tc>
          <w:tcPr>
            <w:tcW w:w="560" w:type="dxa"/>
            <w:vAlign w:val="bottom"/>
          </w:tcPr>
          <w:p>
            <w:pPr>
              <w:jc w:val="right"/>
              <w:spacing w:after="0"/>
              <w:rPr>
                <w:sz w:val="20"/>
                <w:szCs w:val="20"/>
                <w:color w:val="auto"/>
              </w:rPr>
            </w:pPr>
            <w:r>
              <w:rPr>
                <w:rFonts w:ascii="Arial" w:cs="Arial" w:eastAsia="Arial" w:hAnsi="Arial"/>
                <w:sz w:val="13"/>
                <w:szCs w:val="13"/>
                <w:color w:val="auto"/>
              </w:rPr>
              <w:t>10,171</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560" w:type="dxa"/>
            <w:vAlign w:val="bottom"/>
          </w:tcPr>
          <w:p>
            <w:pPr>
              <w:jc w:val="right"/>
              <w:spacing w:after="0"/>
              <w:rPr>
                <w:sz w:val="20"/>
                <w:szCs w:val="20"/>
                <w:color w:val="auto"/>
              </w:rPr>
            </w:pPr>
            <w:r>
              <w:rPr>
                <w:rFonts w:ascii="Arial" w:cs="Arial" w:eastAsia="Arial" w:hAnsi="Arial"/>
                <w:sz w:val="13"/>
                <w:szCs w:val="13"/>
                <w:color w:val="auto"/>
              </w:rPr>
              <w:t>148,112</w:t>
            </w:r>
          </w:p>
        </w:tc>
        <w:tc>
          <w:tcPr>
            <w:tcW w:w="560" w:type="dxa"/>
            <w:vAlign w:val="bottom"/>
          </w:tcPr>
          <w:p>
            <w:pPr>
              <w:jc w:val="right"/>
              <w:spacing w:after="0"/>
              <w:rPr>
                <w:sz w:val="20"/>
                <w:szCs w:val="20"/>
                <w:color w:val="auto"/>
              </w:rPr>
            </w:pPr>
            <w:r>
              <w:rPr>
                <w:rFonts w:ascii="Arial" w:cs="Arial" w:eastAsia="Arial" w:hAnsi="Arial"/>
                <w:sz w:val="13"/>
                <w:szCs w:val="13"/>
                <w:color w:val="auto"/>
              </w:rPr>
              <w:t>12,419</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1"/>
        </w:trPr>
        <w:tc>
          <w:tcPr>
            <w:tcW w:w="580" w:type="dxa"/>
            <w:vAlign w:val="bottom"/>
            <w:tcBorders>
              <w:left w:val="single" w:sz="8" w:color="auto"/>
            </w:tcBorders>
            <w:gridSpan w:val="2"/>
          </w:tcPr>
          <w:p>
            <w:pPr>
              <w:jc w:val="right"/>
              <w:spacing w:after="0"/>
              <w:rPr>
                <w:sz w:val="20"/>
                <w:szCs w:val="20"/>
                <w:color w:val="auto"/>
              </w:rPr>
            </w:pPr>
            <w:r>
              <w:rPr>
                <w:rFonts w:ascii="Arial" w:cs="Arial" w:eastAsia="Arial" w:hAnsi="Arial"/>
                <w:sz w:val="13"/>
                <w:szCs w:val="13"/>
                <w:color w:val="auto"/>
              </w:rPr>
              <w:t>120,973</w:t>
            </w:r>
          </w:p>
        </w:tc>
        <w:tc>
          <w:tcPr>
            <w:tcW w:w="560" w:type="dxa"/>
            <w:vAlign w:val="bottom"/>
          </w:tcPr>
          <w:p>
            <w:pPr>
              <w:jc w:val="right"/>
              <w:spacing w:after="0"/>
              <w:rPr>
                <w:sz w:val="20"/>
                <w:szCs w:val="20"/>
                <w:color w:val="auto"/>
              </w:rPr>
            </w:pPr>
            <w:r>
              <w:rPr>
                <w:rFonts w:ascii="Arial" w:cs="Arial" w:eastAsia="Arial" w:hAnsi="Arial"/>
                <w:sz w:val="13"/>
                <w:szCs w:val="13"/>
                <w:color w:val="auto"/>
              </w:rPr>
              <w:t>9,847</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560" w:type="dxa"/>
            <w:vAlign w:val="bottom"/>
          </w:tcPr>
          <w:p>
            <w:pPr>
              <w:jc w:val="right"/>
              <w:spacing w:after="0"/>
              <w:rPr>
                <w:sz w:val="20"/>
                <w:szCs w:val="20"/>
                <w:color w:val="auto"/>
              </w:rPr>
            </w:pPr>
            <w:r>
              <w:rPr>
                <w:rFonts w:ascii="Arial" w:cs="Arial" w:eastAsia="Arial" w:hAnsi="Arial"/>
                <w:sz w:val="13"/>
                <w:szCs w:val="13"/>
                <w:color w:val="auto"/>
              </w:rPr>
              <w:t>134,021</w:t>
            </w:r>
          </w:p>
        </w:tc>
        <w:tc>
          <w:tcPr>
            <w:tcW w:w="560" w:type="dxa"/>
            <w:vAlign w:val="bottom"/>
          </w:tcPr>
          <w:p>
            <w:pPr>
              <w:jc w:val="right"/>
              <w:spacing w:after="0"/>
              <w:rPr>
                <w:sz w:val="20"/>
                <w:szCs w:val="20"/>
                <w:color w:val="auto"/>
              </w:rPr>
            </w:pPr>
            <w:r>
              <w:rPr>
                <w:rFonts w:ascii="Arial" w:cs="Arial" w:eastAsia="Arial" w:hAnsi="Arial"/>
                <w:sz w:val="13"/>
                <w:szCs w:val="13"/>
                <w:color w:val="auto"/>
              </w:rPr>
              <w:t>12,184</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59"/>
        </w:trPr>
        <w:tc>
          <w:tcPr>
            <w:tcW w:w="580" w:type="dxa"/>
            <w:vAlign w:val="bottom"/>
            <w:tcBorders>
              <w:left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21,656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14,090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4"/>
        </w:trPr>
        <w:tc>
          <w:tcPr>
            <w:tcW w:w="580" w:type="dxa"/>
            <w:vAlign w:val="bottom"/>
            <w:tcBorders>
              <w:left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228,163</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11,850</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5.2%</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227,262</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15,011</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6.6%</w:t>
            </w:r>
          </w:p>
        </w:tc>
        <w:tc>
          <w:tcPr>
            <w:tcW w:w="0" w:type="dxa"/>
            <w:vAlign w:val="bottom"/>
          </w:tcPr>
          <w:p>
            <w:pPr>
              <w:spacing w:after="0"/>
              <w:rPr>
                <w:sz w:val="1"/>
                <w:szCs w:val="1"/>
                <w:color w:val="auto"/>
              </w:rPr>
            </w:pPr>
          </w:p>
        </w:tc>
      </w:tr>
      <w:tr>
        <w:trPr>
          <w:trHeight w:val="144"/>
        </w:trPr>
        <w:tc>
          <w:tcPr>
            <w:tcW w:w="580" w:type="dxa"/>
            <w:vAlign w:val="bottom"/>
            <w:tcBorders>
              <w:left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59.2%</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75.8%</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6.7%</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56.6%</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76.0%</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44"/>
        </w:trPr>
        <w:tc>
          <w:tcPr>
            <w:tcW w:w="580" w:type="dxa"/>
            <w:vAlign w:val="bottom"/>
            <w:tcBorders>
              <w:left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40.8%</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24.2%</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3.1%</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43.4%</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24.0%</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44"/>
        </w:trPr>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 w:type="dxa"/>
            <w:vAlign w:val="bottom"/>
            <w:tcBorders>
              <w:left w:val="single" w:sz="8" w:color="auto"/>
            </w:tcBorders>
            <w:vMerge w:val="restart"/>
            <w:shd w:val="clear" w:color="auto" w:fill="2AD2C9"/>
          </w:tcPr>
          <w:p>
            <w:pPr>
              <w:ind w:left="20"/>
              <w:spacing w:after="0"/>
              <w:rPr>
                <w:sz w:val="20"/>
                <w:szCs w:val="20"/>
                <w:color w:val="auto"/>
              </w:rPr>
            </w:pPr>
            <w:r>
              <w:rPr>
                <w:rFonts w:ascii="Arial" w:cs="Arial" w:eastAsia="Arial" w:hAnsi="Arial"/>
                <w:sz w:val="13"/>
                <w:szCs w:val="13"/>
                <w:b w:val="1"/>
                <w:bCs w:val="1"/>
                <w:color w:val="FFFFFF"/>
                <w:w w:val="97"/>
              </w:rPr>
              <w:t>Average</w:t>
            </w:r>
          </w:p>
        </w:tc>
        <w:tc>
          <w:tcPr>
            <w:tcW w:w="40" w:type="dxa"/>
            <w:vAlign w:val="bottom"/>
            <w:shd w:val="clear" w:color="auto" w:fill="2AD2C9"/>
          </w:tcPr>
          <w:p>
            <w:pPr>
              <w:spacing w:after="0"/>
              <w:rPr>
                <w:sz w:val="12"/>
                <w:szCs w:val="12"/>
                <w:color w:val="auto"/>
              </w:rPr>
            </w:pPr>
          </w:p>
        </w:tc>
        <w:tc>
          <w:tcPr>
            <w:tcW w:w="560" w:type="dxa"/>
            <w:vAlign w:val="bottom"/>
            <w:shd w:val="clear" w:color="auto" w:fill="2AD2C9"/>
          </w:tcPr>
          <w:p>
            <w:pPr>
              <w:jc w:val="right"/>
              <w:ind w:right="33"/>
              <w:spacing w:after="0" w:line="144" w:lineRule="exact"/>
              <w:rPr>
                <w:sz w:val="20"/>
                <w:szCs w:val="20"/>
                <w:color w:val="auto"/>
              </w:rPr>
            </w:pPr>
            <w:r>
              <w:rPr>
                <w:rFonts w:ascii="Arial" w:cs="Arial" w:eastAsia="Arial" w:hAnsi="Arial"/>
                <w:sz w:val="13"/>
                <w:szCs w:val="13"/>
                <w:b w:val="1"/>
                <w:bCs w:val="1"/>
                <w:color w:val="FFFFFF"/>
              </w:rPr>
              <w:t>Dec 21</w:t>
            </w:r>
          </w:p>
        </w:tc>
        <w:tc>
          <w:tcPr>
            <w:tcW w:w="540" w:type="dxa"/>
            <w:vAlign w:val="bottom"/>
            <w:tcBorders>
              <w:right w:val="single" w:sz="8" w:color="auto"/>
            </w:tcBorders>
            <w:shd w:val="clear" w:color="auto" w:fill="2AD2C9"/>
          </w:tcPr>
          <w:p>
            <w:pPr>
              <w:spacing w:after="0"/>
              <w:rPr>
                <w:sz w:val="12"/>
                <w:szCs w:val="12"/>
                <w:color w:val="auto"/>
              </w:rPr>
            </w:pPr>
          </w:p>
        </w:tc>
        <w:tc>
          <w:tcPr>
            <w:tcW w:w="560" w:type="dxa"/>
            <w:vAlign w:val="bottom"/>
            <w:vMerge w:val="restart"/>
            <w:shd w:val="clear" w:color="auto" w:fill="2AD2C9"/>
          </w:tcPr>
          <w:p>
            <w:pPr>
              <w:spacing w:after="0"/>
              <w:rPr>
                <w:sz w:val="20"/>
                <w:szCs w:val="20"/>
                <w:color w:val="auto"/>
              </w:rPr>
            </w:pPr>
            <w:r>
              <w:rPr>
                <w:rFonts w:ascii="Arial" w:cs="Arial" w:eastAsia="Arial" w:hAnsi="Arial"/>
                <w:sz w:val="13"/>
                <w:szCs w:val="13"/>
                <w:b w:val="1"/>
                <w:bCs w:val="1"/>
                <w:color w:val="FFFFFF"/>
              </w:rPr>
              <w:t>Average</w:t>
            </w:r>
          </w:p>
        </w:tc>
        <w:tc>
          <w:tcPr>
            <w:tcW w:w="560" w:type="dxa"/>
            <w:vAlign w:val="bottom"/>
            <w:shd w:val="clear" w:color="auto" w:fill="2AD2C9"/>
          </w:tcPr>
          <w:p>
            <w:pPr>
              <w:jc w:val="right"/>
              <w:ind w:right="33"/>
              <w:spacing w:after="0" w:line="144" w:lineRule="exact"/>
              <w:rPr>
                <w:sz w:val="20"/>
                <w:szCs w:val="20"/>
                <w:color w:val="auto"/>
              </w:rPr>
            </w:pPr>
            <w:r>
              <w:rPr>
                <w:rFonts w:ascii="Arial" w:cs="Arial" w:eastAsia="Arial" w:hAnsi="Arial"/>
                <w:sz w:val="13"/>
                <w:szCs w:val="13"/>
                <w:b w:val="1"/>
                <w:bCs w:val="1"/>
                <w:color w:val="FFFFFF"/>
              </w:rPr>
              <w:t>Dec 22</w:t>
            </w:r>
          </w:p>
        </w:tc>
        <w:tc>
          <w:tcPr>
            <w:tcW w:w="540" w:type="dxa"/>
            <w:vAlign w:val="bottom"/>
            <w:tcBorders>
              <w:right w:val="single" w:sz="8" w:color="auto"/>
            </w:tcBorders>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40" w:type="dxa"/>
            <w:vAlign w:val="bottom"/>
            <w:tcBorders>
              <w:left w:val="single" w:sz="8" w:color="auto"/>
            </w:tcBorders>
            <w:vMerge w:val="continue"/>
            <w:shd w:val="clear" w:color="auto" w:fill="2AD2C9"/>
          </w:tcPr>
          <w:p>
            <w:pPr>
              <w:spacing w:after="0"/>
              <w:rPr>
                <w:sz w:val="13"/>
                <w:szCs w:val="13"/>
                <w:color w:val="auto"/>
              </w:rPr>
            </w:pPr>
          </w:p>
        </w:tc>
        <w:tc>
          <w:tcPr>
            <w:tcW w:w="40" w:type="dxa"/>
            <w:vAlign w:val="bottom"/>
            <w:shd w:val="clear" w:color="auto" w:fill="2AD2C9"/>
          </w:tcPr>
          <w:p>
            <w:pPr>
              <w:spacing w:after="0"/>
              <w:rPr>
                <w:sz w:val="13"/>
                <w:szCs w:val="13"/>
                <w:color w:val="auto"/>
              </w:rPr>
            </w:pPr>
          </w:p>
        </w:tc>
        <w:tc>
          <w:tcPr>
            <w:tcW w:w="560" w:type="dxa"/>
            <w:vAlign w:val="bottom"/>
            <w:shd w:val="clear" w:color="auto" w:fill="2AD2C9"/>
          </w:tcPr>
          <w:p>
            <w:pPr>
              <w:spacing w:after="0"/>
              <w:rPr>
                <w:sz w:val="13"/>
                <w:szCs w:val="13"/>
                <w:color w:val="auto"/>
              </w:rPr>
            </w:pPr>
          </w:p>
        </w:tc>
        <w:tc>
          <w:tcPr>
            <w:tcW w:w="540" w:type="dxa"/>
            <w:vAlign w:val="bottom"/>
            <w:tcBorders>
              <w:right w:val="single" w:sz="8" w:color="auto"/>
            </w:tcBorders>
            <w:shd w:val="clear" w:color="auto" w:fill="2AD2C9"/>
          </w:tcPr>
          <w:p>
            <w:pPr>
              <w:spacing w:after="0"/>
              <w:rPr>
                <w:sz w:val="13"/>
                <w:szCs w:val="13"/>
                <w:color w:val="auto"/>
              </w:rPr>
            </w:pPr>
          </w:p>
        </w:tc>
        <w:tc>
          <w:tcPr>
            <w:tcW w:w="560" w:type="dxa"/>
            <w:vAlign w:val="bottom"/>
            <w:vMerge w:val="continue"/>
            <w:shd w:val="clear" w:color="auto" w:fill="2AD2C9"/>
          </w:tcPr>
          <w:p>
            <w:pPr>
              <w:spacing w:after="0"/>
              <w:rPr>
                <w:sz w:val="13"/>
                <w:szCs w:val="13"/>
                <w:color w:val="auto"/>
              </w:rPr>
            </w:pPr>
          </w:p>
        </w:tc>
        <w:tc>
          <w:tcPr>
            <w:tcW w:w="560" w:type="dxa"/>
            <w:vAlign w:val="bottom"/>
            <w:shd w:val="clear" w:color="auto" w:fill="2AD2C9"/>
          </w:tcPr>
          <w:p>
            <w:pPr>
              <w:spacing w:after="0"/>
              <w:rPr>
                <w:sz w:val="13"/>
                <w:szCs w:val="13"/>
                <w:color w:val="auto"/>
              </w:rPr>
            </w:pPr>
          </w:p>
        </w:tc>
        <w:tc>
          <w:tcPr>
            <w:tcW w:w="540" w:type="dxa"/>
            <w:vAlign w:val="bottom"/>
            <w:tcBorders>
              <w:right w:val="single" w:sz="8" w:color="auto"/>
            </w:tcBorders>
            <w:shd w:val="clear" w:color="auto" w:fill="2AD2C9"/>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b w:val="1"/>
                <w:bCs w:val="1"/>
                <w:color w:val="FFFFFF"/>
              </w:rPr>
              <w:t>BalanceExpense</w:t>
            </w:r>
          </w:p>
        </w:tc>
        <w:tc>
          <w:tcPr>
            <w:tcW w:w="5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FFFFFF"/>
              </w:rPr>
              <w:t>Yields</w:t>
            </w:r>
          </w:p>
        </w:tc>
        <w:tc>
          <w:tcPr>
            <w:tcW w:w="1120" w:type="dxa"/>
            <w:vAlign w:val="bottom"/>
            <w:gridSpan w:val="2"/>
          </w:tcPr>
          <w:p>
            <w:pPr>
              <w:spacing w:after="0"/>
              <w:rPr>
                <w:sz w:val="20"/>
                <w:szCs w:val="20"/>
                <w:color w:val="auto"/>
              </w:rPr>
            </w:pPr>
            <w:r>
              <w:rPr>
                <w:rFonts w:ascii="Arial" w:cs="Arial" w:eastAsia="Arial" w:hAnsi="Arial"/>
                <w:sz w:val="13"/>
                <w:szCs w:val="13"/>
                <w:b w:val="1"/>
                <w:bCs w:val="1"/>
                <w:color w:val="FFFFFF"/>
              </w:rPr>
              <w:t>BalanceExpense</w:t>
            </w:r>
          </w:p>
        </w:tc>
        <w:tc>
          <w:tcPr>
            <w:tcW w:w="5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FFFFFF"/>
              </w:rPr>
              <w:t>Yields</w:t>
            </w:r>
          </w:p>
        </w:tc>
        <w:tc>
          <w:tcPr>
            <w:tcW w:w="0" w:type="dxa"/>
            <w:vAlign w:val="bottom"/>
          </w:tcPr>
          <w:p>
            <w:pPr>
              <w:spacing w:after="0"/>
              <w:rPr>
                <w:sz w:val="1"/>
                <w:szCs w:val="1"/>
                <w:color w:val="auto"/>
              </w:rPr>
            </w:pPr>
          </w:p>
        </w:tc>
      </w:tr>
      <w:tr>
        <w:trPr>
          <w:trHeight w:val="143"/>
        </w:trPr>
        <w:tc>
          <w:tcPr>
            <w:tcW w:w="580" w:type="dxa"/>
            <w:vAlign w:val="bottom"/>
            <w:tcBorders>
              <w:left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145,981</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865</w:t>
            </w: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0.6%</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148,309</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1,688</w:t>
            </w:r>
          </w:p>
        </w:tc>
        <w:tc>
          <w:tcPr>
            <w:tcW w:w="54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1"/>
        </w:trPr>
        <w:tc>
          <w:tcPr>
            <w:tcW w:w="580" w:type="dxa"/>
            <w:vAlign w:val="bottom"/>
            <w:tcBorders>
              <w:left w:val="single" w:sz="8" w:color="auto"/>
            </w:tcBorders>
            <w:gridSpan w:val="2"/>
          </w:tcPr>
          <w:p>
            <w:pPr>
              <w:jc w:val="right"/>
              <w:spacing w:after="0"/>
              <w:rPr>
                <w:sz w:val="20"/>
                <w:szCs w:val="20"/>
                <w:color w:val="auto"/>
              </w:rPr>
            </w:pPr>
            <w:r>
              <w:rPr>
                <w:rFonts w:ascii="Arial" w:cs="Arial" w:eastAsia="Arial" w:hAnsi="Arial"/>
                <w:sz w:val="13"/>
                <w:szCs w:val="13"/>
                <w:color w:val="auto"/>
              </w:rPr>
              <w:t>29,309</w:t>
            </w:r>
          </w:p>
        </w:tc>
        <w:tc>
          <w:tcPr>
            <w:tcW w:w="560" w:type="dxa"/>
            <w:vAlign w:val="bottom"/>
          </w:tcPr>
          <w:p>
            <w:pPr>
              <w:jc w:val="right"/>
              <w:spacing w:after="0"/>
              <w:rPr>
                <w:sz w:val="20"/>
                <w:szCs w:val="20"/>
                <w:color w:val="auto"/>
              </w:rPr>
            </w:pPr>
            <w:r>
              <w:rPr>
                <w:rFonts w:ascii="Arial" w:cs="Arial" w:eastAsia="Arial" w:hAnsi="Arial"/>
                <w:sz w:val="13"/>
                <w:szCs w:val="13"/>
                <w:color w:val="auto"/>
              </w:rPr>
              <w:t>435</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560" w:type="dxa"/>
            <w:vAlign w:val="bottom"/>
          </w:tcPr>
          <w:p>
            <w:pPr>
              <w:jc w:val="right"/>
              <w:spacing w:after="0"/>
              <w:rPr>
                <w:sz w:val="20"/>
                <w:szCs w:val="20"/>
                <w:color w:val="auto"/>
              </w:rPr>
            </w:pPr>
            <w:r>
              <w:rPr>
                <w:rFonts w:ascii="Arial" w:cs="Arial" w:eastAsia="Arial" w:hAnsi="Arial"/>
                <w:sz w:val="13"/>
                <w:szCs w:val="13"/>
                <w:color w:val="auto"/>
              </w:rPr>
              <w:t>23,570</w:t>
            </w:r>
          </w:p>
        </w:tc>
        <w:tc>
          <w:tcPr>
            <w:tcW w:w="560" w:type="dxa"/>
            <w:vAlign w:val="bottom"/>
          </w:tcPr>
          <w:p>
            <w:pPr>
              <w:jc w:val="right"/>
              <w:spacing w:after="0"/>
              <w:rPr>
                <w:sz w:val="20"/>
                <w:szCs w:val="20"/>
                <w:color w:val="auto"/>
              </w:rPr>
            </w:pPr>
            <w:r>
              <w:rPr>
                <w:rFonts w:ascii="Arial" w:cs="Arial" w:eastAsia="Arial" w:hAnsi="Arial"/>
                <w:sz w:val="13"/>
                <w:szCs w:val="13"/>
                <w:color w:val="auto"/>
              </w:rPr>
              <w:t>683</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1"/>
        </w:trPr>
        <w:tc>
          <w:tcPr>
            <w:tcW w:w="580" w:type="dxa"/>
            <w:vAlign w:val="bottom"/>
            <w:tcBorders>
              <w:left w:val="single" w:sz="8" w:color="auto"/>
            </w:tcBorders>
            <w:gridSpan w:val="2"/>
          </w:tcPr>
          <w:p>
            <w:pPr>
              <w:jc w:val="right"/>
              <w:spacing w:after="0"/>
              <w:rPr>
                <w:sz w:val="20"/>
                <w:szCs w:val="20"/>
                <w:color w:val="auto"/>
              </w:rPr>
            </w:pPr>
            <w:r>
              <w:rPr>
                <w:rFonts w:ascii="Arial" w:cs="Arial" w:eastAsia="Arial" w:hAnsi="Arial"/>
                <w:sz w:val="13"/>
                <w:szCs w:val="13"/>
                <w:color w:val="auto"/>
              </w:rPr>
              <w:t>17,071</w:t>
            </w:r>
          </w:p>
        </w:tc>
        <w:tc>
          <w:tcPr>
            <w:tcW w:w="560" w:type="dxa"/>
            <w:vAlign w:val="bottom"/>
          </w:tcPr>
          <w:p>
            <w:pPr>
              <w:jc w:val="right"/>
              <w:spacing w:after="0"/>
              <w:rPr>
                <w:sz w:val="20"/>
                <w:szCs w:val="20"/>
                <w:color w:val="auto"/>
              </w:rPr>
            </w:pPr>
            <w:r>
              <w:rPr>
                <w:rFonts w:ascii="Arial" w:cs="Arial" w:eastAsia="Arial" w:hAnsi="Arial"/>
                <w:sz w:val="13"/>
                <w:szCs w:val="13"/>
                <w:color w:val="auto"/>
              </w:rPr>
              <w:t>837</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560" w:type="dxa"/>
            <w:vAlign w:val="bottom"/>
          </w:tcPr>
          <w:p>
            <w:pPr>
              <w:jc w:val="right"/>
              <w:spacing w:after="0"/>
              <w:rPr>
                <w:sz w:val="20"/>
                <w:szCs w:val="20"/>
                <w:color w:val="auto"/>
              </w:rPr>
            </w:pPr>
            <w:r>
              <w:rPr>
                <w:rFonts w:ascii="Arial" w:cs="Arial" w:eastAsia="Arial" w:hAnsi="Arial"/>
                <w:sz w:val="13"/>
                <w:szCs w:val="13"/>
                <w:color w:val="auto"/>
              </w:rPr>
              <w:t>17,415</w:t>
            </w:r>
          </w:p>
        </w:tc>
        <w:tc>
          <w:tcPr>
            <w:tcW w:w="560" w:type="dxa"/>
            <w:vAlign w:val="bottom"/>
          </w:tcPr>
          <w:p>
            <w:pPr>
              <w:jc w:val="right"/>
              <w:spacing w:after="0"/>
              <w:rPr>
                <w:sz w:val="20"/>
                <w:szCs w:val="20"/>
                <w:color w:val="auto"/>
              </w:rPr>
            </w:pPr>
            <w:r>
              <w:rPr>
                <w:rFonts w:ascii="Arial" w:cs="Arial" w:eastAsia="Arial" w:hAnsi="Arial"/>
                <w:sz w:val="13"/>
                <w:szCs w:val="13"/>
                <w:color w:val="auto"/>
              </w:rPr>
              <w:t>728</w:t>
            </w: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9"/>
        </w:trPr>
        <w:tc>
          <w:tcPr>
            <w:tcW w:w="580" w:type="dxa"/>
            <w:vAlign w:val="bottom"/>
            <w:tcBorders>
              <w:left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1,185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144"/>
        </w:trPr>
        <w:tc>
          <w:tcPr>
            <w:tcW w:w="580" w:type="dxa"/>
            <w:vAlign w:val="bottom"/>
            <w:tcBorders>
              <w:left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193,546</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2,491</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1.3%</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190,430</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3,493</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1.8%</w:t>
            </w:r>
          </w:p>
        </w:tc>
        <w:tc>
          <w:tcPr>
            <w:tcW w:w="0" w:type="dxa"/>
            <w:vAlign w:val="bottom"/>
          </w:tcPr>
          <w:p>
            <w:pPr>
              <w:spacing w:after="0"/>
              <w:rPr>
                <w:sz w:val="1"/>
                <w:szCs w:val="1"/>
                <w:color w:val="auto"/>
              </w:rPr>
            </w:pPr>
          </w:p>
        </w:tc>
      </w:tr>
      <w:tr>
        <w:trPr>
          <w:trHeight w:val="144"/>
        </w:trPr>
        <w:tc>
          <w:tcPr>
            <w:tcW w:w="580" w:type="dxa"/>
            <w:vAlign w:val="bottom"/>
            <w:tcBorders>
              <w:left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54.2%</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46.4%</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1.1%</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50.8%</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57.6%</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4"/>
        </w:trPr>
        <w:tc>
          <w:tcPr>
            <w:tcW w:w="580" w:type="dxa"/>
            <w:vAlign w:val="bottom"/>
            <w:tcBorders>
              <w:left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45.8%</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53.6%</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1.5%</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49.2%</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42.4%</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4"/>
        </w:trPr>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228,163</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9,360</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8.2%</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227,262</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11,518</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10.1%</w:t>
            </w:r>
          </w:p>
        </w:tc>
        <w:tc>
          <w:tcPr>
            <w:tcW w:w="0" w:type="dxa"/>
            <w:vAlign w:val="bottom"/>
          </w:tcPr>
          <w:p>
            <w:pPr>
              <w:spacing w:after="0"/>
              <w:rPr>
                <w:sz w:val="1"/>
                <w:szCs w:val="1"/>
                <w:color w:val="auto"/>
              </w:rPr>
            </w:pPr>
          </w:p>
        </w:tc>
      </w:tr>
      <w:tr>
        <w:trPr>
          <w:trHeight w:val="144"/>
        </w:trPr>
        <w:tc>
          <w:tcPr>
            <w:tcW w:w="580" w:type="dxa"/>
            <w:vAlign w:val="bottom"/>
            <w:tcBorders>
              <w:left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59.2%</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83.7%</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5.8%</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56.6%</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81.6%</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44"/>
        </w:trPr>
        <w:tc>
          <w:tcPr>
            <w:tcW w:w="580" w:type="dxa"/>
            <w:vAlign w:val="bottom"/>
            <w:tcBorders>
              <w:left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3"/>
                <w:szCs w:val="13"/>
                <w:color w:val="auto"/>
              </w:rPr>
              <w:t>40.8%</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16.3%</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1.6%</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43.4%</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18.4%</w:t>
            </w:r>
          </w:p>
        </w:tc>
        <w:tc>
          <w:tcPr>
            <w:tcW w:w="5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-1309370</wp:posOffset>
            </wp:positionV>
            <wp:extent cx="2108835" cy="1917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08835" cy="191770"/>
                    </a:xfrm>
                    <a:prstGeom prst="rect">
                      <a:avLst/>
                    </a:prstGeom>
                    <a:noFill/>
                  </pic:spPr>
                </pic:pic>
              </a:graphicData>
            </a:graphic>
          </wp:anchor>
        </w:drawing>
      </w:r>
    </w:p>
    <w:p>
      <w:pPr>
        <w:spacing w:after="0" w:line="549" w:lineRule="exact"/>
        <w:rPr>
          <w:sz w:val="20"/>
          <w:szCs w:val="20"/>
          <w:color w:val="auto"/>
        </w:rPr>
      </w:pPr>
    </w:p>
    <w:p>
      <w:pPr>
        <w:sectPr>
          <w:pgSz w:w="11900" w:h="16838" w:orient="portrait"/>
          <w:cols w:equalWidth="0" w:num="2">
            <w:col w:w="7580" w:space="340"/>
            <w:col w:w="3320"/>
          </w:cols>
          <w:pgMar w:left="320" w:top="659" w:right="339" w:bottom="1440" w:gutter="0" w:footer="0" w:header="0"/>
          <w:type w:val="continuous"/>
        </w:sectPr>
      </w:pPr>
    </w:p>
    <w:p>
      <w:pPr>
        <w:jc w:val="both"/>
        <w:spacing w:after="0" w:line="247" w:lineRule="auto"/>
        <w:rPr>
          <w:sz w:val="20"/>
          <w:szCs w:val="20"/>
          <w:color w:val="auto"/>
        </w:rPr>
      </w:pPr>
      <w:r>
        <w:rPr>
          <w:rFonts w:ascii="Arial" w:cs="Arial" w:eastAsia="Arial" w:hAnsi="Arial"/>
          <w:sz w:val="17"/>
          <w:szCs w:val="17"/>
          <w:color w:val="auto"/>
        </w:rPr>
        <w:t xml:space="preserve">QoQ, </w:t>
      </w:r>
      <w:r>
        <w:rPr>
          <w:rFonts w:ascii="Arial" w:cs="Arial" w:eastAsia="Arial" w:hAnsi="Arial"/>
          <w:sz w:val="17"/>
          <w:szCs w:val="17"/>
          <w:b w:val="1"/>
          <w:bCs w:val="1"/>
          <w:color w:val="auto"/>
        </w:rPr>
        <w:t>Net Interest Income</w:t>
      </w:r>
      <w:r>
        <w:rPr>
          <w:rFonts w:ascii="Arial" w:cs="Arial" w:eastAsia="Arial" w:hAnsi="Arial"/>
          <w:sz w:val="17"/>
          <w:szCs w:val="17"/>
          <w:color w:val="auto"/>
        </w:rPr>
        <w:t xml:space="preserve"> rose 8.0%. This evolution was spurred primarily by an increase in rates on Available Funds and Loans in both LC and FC. IEA in LC represented 56.4% of total IEA and accounted for 78% of Net Interest Income generated in 4Q22. Nonetheless, it is important to note that growth in Net Interest Income in FC was higher than that registered by LC. This evolution was driven by the following dynamics: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Dynamics in Local Currency (LC)</w:t>
      </w:r>
    </w:p>
    <w:p>
      <w:pPr>
        <w:spacing w:after="0" w:line="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in LC rose 4.4% after growth in interest income outstripped the increase registered in expenses. This scenario was fueled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dynamics:</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Average IEA in LC fell slightly and reported mixed variations across components. Average structural loans rose 2.0% while GP loans, liquid assets and investments fell. Movements in these accounts generated a higher-yield IEA mix in LC. Rates for IEA in LC increased, led by rates on available funds and loans. As a result, the IEA Yield in LC rose from 9.3% in 3Q22 to 10.0% in 4Q22. In this context, the price effect was the dominant dynamic and led interest income in LC to grow 6.5%.</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Average funding in LC fell 0.9% due to a drop in the funding balance for Reactiva loans. This evolution was partially offset by growth in average deposits, which was driven by an uptick in retail funding in recent quarters. The funding cost in LC increased from 2.3% in 3Q22 to 2.7% in 4Q22, spurred primarily by higher market rates, which impacted the BCRP Instruments and due to banks and correspondents, and lastly, deposits. Interest expenses in LC rose 15.5% due mainly to a price effect.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Dynamics (FC)</w:t>
      </w:r>
    </w:p>
    <w:p>
      <w:pPr>
        <w:spacing w:after="0" w:line="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in FC rose 23.3%. Average IEA in FC rose 1.5%, which reflects growth in average available funds due to an uptick in the average</w:t>
      </w:r>
      <w:r>
        <w:rPr>
          <w:rFonts w:ascii="Arial" w:cs="Arial" w:eastAsia="Arial" w:hAnsi="Arial"/>
          <w:sz w:val="17"/>
          <w:szCs w:val="17"/>
          <w:b w:val="1"/>
          <w:bCs w:val="1"/>
          <w:color w:val="auto"/>
        </w:rPr>
        <w:t xml:space="preserve"> </w:t>
      </w:r>
      <w:r>
        <w:rPr>
          <w:rFonts w:ascii="Arial" w:cs="Arial" w:eastAsia="Arial" w:hAnsi="Arial"/>
          <w:sz w:val="17"/>
          <w:szCs w:val="17"/>
          <w:color w:val="auto"/>
        </w:rPr>
        <w:t>funding sources at BCP Stand-alone and Mibanco. The fact that the increase reported for available funds outpaced the growth registered by other assets led to a lower-yield mix of IEA in FC. Notwithstanding, the price effect generated by rising market rates offset the negative effect created by the mix and led the IEA yield in FC to increase from 4.1% to 4.8%. Growth in interest rates, coupled with an expansion in the IEA volume, led interest income in FC to rise 17.9%.</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Average funding in FC fell 0.4% due to a decrease in deposits and in demand deposits in particular. This dynamic was partially offset by growth in bank funding, which generated a negative mix effect. The increase registered in the cost of funding was primarily driven by an uptick in FC rates and secondarily by the negative mix effect generated by an uptick in wholesale funding volumes. In this context, interest expenses in FC rose 10.4%.</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type w:val="continuous"/>
        </w:sectPr>
      </w:pPr>
    </w:p>
    <w:bookmarkStart w:id="28" w:name="page29"/>
    <w:bookmarkEnd w:id="28"/>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117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1845" cy="311785"/>
                    </a:xfrm>
                    <a:prstGeom prst="rect">
                      <a:avLst/>
                    </a:prstGeom>
                    <a:noFill/>
                  </pic:spPr>
                </pic:pic>
              </a:graphicData>
            </a:graphic>
          </wp:anchor>
        </w:drawing>
      </w:r>
    </w:p>
    <w:p>
      <w:pPr>
        <w:spacing w:after="0" w:line="37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04. Net Interest Income (NII)</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YoY Analysis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YoY, </w:t>
      </w:r>
      <w:r>
        <w:rPr>
          <w:rFonts w:ascii="Arial" w:cs="Arial" w:eastAsia="Arial" w:hAnsi="Arial"/>
          <w:sz w:val="17"/>
          <w:szCs w:val="17"/>
          <w:b w:val="1"/>
          <w:bCs w:val="1"/>
          <w:color w:val="auto"/>
        </w:rPr>
        <w:t>Net Interest Income</w:t>
      </w:r>
      <w:r>
        <w:rPr>
          <w:rFonts w:ascii="Arial" w:cs="Arial" w:eastAsia="Arial" w:hAnsi="Arial"/>
          <w:sz w:val="17"/>
          <w:szCs w:val="17"/>
          <w:color w:val="auto"/>
        </w:rPr>
        <w:t xml:space="preserve"> rose 30.9%. This evolution was fueled mainly by the trajectory of rates and volumes in LC and by rate dynamics in FC.</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Local Currency Dynamics (LC)</w:t>
      </w:r>
    </w:p>
    <w:p>
      <w:pPr>
        <w:spacing w:after="0" w:line="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in LC rose 22.7% YoY. Average IEA in LC fell 2.6% YoY, in line with quarterly dynamics and the IEA Yield hit 10.0% in 4Q22.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context, income in LC increased 34.8% due to a positive price effect across IEA and to growth in the structural loan volume.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Average funding in LC dropped 4.9% due to a decrease in the repos balance with BCRP, which reflected amortizations of Reactiva loans. This evolution was offset by an uptick in time deposits in an environment marked by rising rates and clients seeking higher yields. The rates of funding components in LC rose, in particular for interest-bearing deposits and bank financing, in line with an increase in the reference rate. The cost of funding in LC rose from 1.2% in 4Q21 to 2.7% in 4Q22. A price effect, coupled with a more expensive funding structure, led interest expenses in LC to double.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Dynamics in Foreign Currency (FC)</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in FC grew 71.6%. Average IEA in FC fell 3.2% after loan growth was offset by a drop in available funds and in the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balance. This dynamic generated a mix effect that positively impacted the IEA yield in FC. The IEA yield in FC rose from 2.8% in 4Q21 to stand at 4.8% in 4Q22, driven by an increase in market rates and the mix effect described above. In this scenario, positive price and mix effects led interest income in FC to rise 61.5%.</w:t>
      </w:r>
    </w:p>
    <w:p>
      <w:pPr>
        <w:spacing w:after="0" w:line="15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Average funding in FC fell 2.9% due to a drop in lower-cost funding sources. This was partially offset by an increase in time deposits, which was driven by clients chasing higher yields. The funding cost in FC rose from 1.3% in 4Q21 to 2.0% in 4Q22 in a context marked by rising interest rates in FC. Interest expenses in FC rose 48.0%, spurred primarily by higher passive rates.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FY Analysis at the end of 2022</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the FY analysis, Net Interest Income rose 23.1%. The dynamics that drove this evolution were similar to those seen in the YoY evolution for LC but differed from those reported for FC.</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Dynamics in local currency (LC)</w:t>
      </w:r>
    </w:p>
    <w:p>
      <w:pPr>
        <w:spacing w:after="0" w:line="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The dynamics driving average IEA and the IEA yield in LC are the same as those explained in the QoQ and YoY analysis and led income in LC to increase 27.0%.</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Average funding in LC fell 7.6% due to a decrease in repos with BCRP, which was driven by amortizations of GP loans. This evolution was offset by an increase in time deposits in an environment marked by rising rates and client shifts to higher-yield products. Rates on interest-bearing deposits and those applicable to banking financing in LC increased, in line with market dynamics. The cost of funding in LC rose from 1.1% in 2021 to 2.1% in 2022. The combination of a price effect and the impact of more expensive funding led interest expenses in LC to grow 73.8% in 2022.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Dynamics in foreign currency (FC)</w:t>
      </w:r>
    </w:p>
    <w:p>
      <w:pPr>
        <w:spacing w:after="0" w:line="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in FC increased 38.5%. Average IEA in FC rose 5.8%, fueled by an uptick in available funds and structural loans. The increase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funds was driven by growth in FC deposits. The IEA yield in FC increased from 3.1% in 2021 to 3.7% in 2022. This evolution was driven by an increase m k s s s’ sh f h IEA m x A ff , s m x and an uptick in the IEA volume led interest income in FC to rise 25.7%.</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Average funding in FC rose 5.5% due to growth in average due to banks and correspondents. The cost of funding in FC rose from 1.5% in 2021 to 1.6% in 2022. This evolution was driven mainly by growth in rates for bank financing, whose effect was attenuated by a less costly funding mix. Accordingly, interest expenses in FC grew 11.1%, prompted mainly by growth in passive rates and secondarily by an increase in the funding volume in FC.</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9" w:name="page30"/>
    <w:bookmarkEnd w:id="29"/>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49"/>
          <w:szCs w:val="49"/>
          <w:b w:val="1"/>
          <w:bCs w:val="1"/>
          <w:color w:val="E93CAC"/>
        </w:rPr>
        <w:t xml:space="preserve">05 </w:t>
      </w:r>
      <w:r>
        <w:rPr>
          <w:rFonts w:ascii="Arial" w:cs="Arial" w:eastAsia="Arial" w:hAnsi="Arial"/>
          <w:sz w:val="30"/>
          <w:szCs w:val="30"/>
          <w:color w:val="E93CAC"/>
        </w:rPr>
        <w:t>Provisions</w:t>
      </w:r>
    </w:p>
    <w:p>
      <w:pPr>
        <w:spacing w:after="0" w:line="212" w:lineRule="exact"/>
        <w:rPr>
          <w:sz w:val="20"/>
          <w:szCs w:val="20"/>
          <w:color w:val="auto"/>
        </w:rPr>
      </w:pPr>
    </w:p>
    <w:p>
      <w:pPr>
        <w:jc w:val="both"/>
        <w:ind w:left="160" w:right="160"/>
        <w:spacing w:after="0" w:line="239" w:lineRule="auto"/>
        <w:rPr>
          <w:sz w:val="20"/>
          <w:szCs w:val="20"/>
          <w:color w:val="auto"/>
        </w:rPr>
      </w:pPr>
      <w:r>
        <w:rPr>
          <w:rFonts w:ascii="Arial" w:cs="Arial" w:eastAsia="Arial" w:hAnsi="Arial"/>
          <w:sz w:val="17"/>
          <w:szCs w:val="17"/>
          <w:color w:val="FFFFFF"/>
        </w:rPr>
        <w:t>QoQ, the provisions expense rose. This evolution was driven primarily by updates to macroeconomic projections to reflect a deterioration in inflation, which impacted mainly Consumer and Credit Card. Additionally, payment behavior in the consumer sector was affected by growth in observed inflation. Mibanco reported growth in provisions due to a base effect, which was generated by methodological changes that reduced provisions in the last quarter and, and to maturities of a set number of vintages, which reflects the change in credit policy mid-year. The aforementioned led the default ratio in the risk model to 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-606425</wp:posOffset>
            </wp:positionV>
            <wp:extent cx="7141845" cy="13182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1845" cy="1318260"/>
                    </a:xfrm>
                    <a:prstGeom prst="rect">
                      <a:avLst/>
                    </a:prstGeom>
                    <a:noFill/>
                  </pic:spPr>
                </pic:pic>
              </a:graphicData>
            </a:graphic>
          </wp:anchor>
        </w:drawing>
      </w:r>
    </w:p>
    <w:p>
      <w:pPr>
        <w:spacing w:after="0" w:line="139" w:lineRule="exact"/>
        <w:rPr>
          <w:sz w:val="20"/>
          <w:szCs w:val="20"/>
          <w:color w:val="auto"/>
        </w:rPr>
      </w:pPr>
    </w:p>
    <w:p>
      <w:pPr>
        <w:jc w:val="both"/>
        <w:ind w:left="160" w:right="160"/>
        <w:spacing w:after="0" w:line="263" w:lineRule="auto"/>
        <w:rPr>
          <w:sz w:val="20"/>
          <w:szCs w:val="20"/>
          <w:color w:val="auto"/>
        </w:rPr>
      </w:pPr>
      <w:r>
        <w:rPr>
          <w:rFonts w:ascii="Arial" w:cs="Arial" w:eastAsia="Arial" w:hAnsi="Arial"/>
          <w:sz w:val="17"/>
          <w:szCs w:val="17"/>
          <w:color w:val="FFFFFF"/>
        </w:rPr>
        <w:t>YoY and FY, provisions rose over an atypically high base to the impact of actual inflation throughout the year in the consumer segment; growth in disbursements to higher risk segments on SME-Pyme loans; and the inclusion of maturities of specific vintages with in Mibanco’s risk modeI.</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7"/>
          <w:szCs w:val="17"/>
          <w:color w:val="FFFFFF"/>
        </w:rPr>
        <w:t>In the aforementioned context, the Structural Cost of Risk (CofR) stood at 2.06% at the end of 4Q22 and 1.26% FY.</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Provisions </w:t>
      </w:r>
      <w:r>
        <w:rPr>
          <w:rFonts w:ascii="Arial" w:cs="Arial" w:eastAsia="Arial" w:hAnsi="Arial"/>
          <w:sz w:val="27"/>
          <w:szCs w:val="27"/>
          <w:b w:val="1"/>
          <w:bCs w:val="1"/>
          <w:color w:val="auto"/>
          <w:vertAlign w:val="superscript"/>
        </w:rPr>
        <w:t>(1)</w:t>
      </w:r>
      <w:r>
        <w:rPr>
          <w:rFonts w:ascii="Arial" w:cs="Arial" w:eastAsia="Arial" w:hAnsi="Arial"/>
          <w:sz w:val="17"/>
          <w:szCs w:val="17"/>
          <w:b w:val="1"/>
          <w:bCs w:val="1"/>
          <w:color w:val="auto"/>
        </w:rPr>
        <w:t xml:space="preserve"> and Cost of Risk (CoR) of the Structural Portfolio</w:t>
      </w:r>
    </w:p>
    <w:p>
      <w:pPr>
        <w:spacing w:after="0" w:line="74"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40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Structural Loan Portfolio Provisions</w:t>
            </w:r>
          </w:p>
        </w:tc>
        <w:tc>
          <w:tcPr>
            <w:tcW w:w="980" w:type="dxa"/>
            <w:vAlign w:val="bottom"/>
            <w:tcBorders>
              <w:top w:val="single" w:sz="8" w:color="auto"/>
            </w:tcBorders>
            <w:shd w:val="clear" w:color="auto" w:fill="2AD2C9"/>
          </w:tcPr>
          <w:p>
            <w:pPr>
              <w:spacing w:after="0"/>
              <w:rPr>
                <w:sz w:val="14"/>
                <w:szCs w:val="14"/>
                <w:color w:val="auto"/>
              </w:rPr>
            </w:pPr>
          </w:p>
        </w:tc>
        <w:tc>
          <w:tcPr>
            <w:tcW w:w="940" w:type="dxa"/>
            <w:vAlign w:val="bottom"/>
            <w:tcBorders>
              <w:top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Quarter</w:t>
            </w:r>
          </w:p>
        </w:tc>
        <w:tc>
          <w:tcPr>
            <w:tcW w:w="780" w:type="dxa"/>
            <w:vAlign w:val="bottom"/>
            <w:tcBorders>
              <w:top w:val="single" w:sz="8" w:color="auto"/>
              <w:right w:val="single" w:sz="8" w:color="auto"/>
            </w:tcBorders>
            <w:shd w:val="clear" w:color="auto" w:fill="2AD2C9"/>
          </w:tcPr>
          <w:p>
            <w:pPr>
              <w:spacing w:after="0"/>
              <w:rPr>
                <w:sz w:val="14"/>
                <w:szCs w:val="14"/>
                <w:color w:val="auto"/>
              </w:rPr>
            </w:pPr>
          </w:p>
        </w:tc>
        <w:tc>
          <w:tcPr>
            <w:tcW w:w="180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3"/>
                <w:szCs w:val="13"/>
                <w:b w:val="1"/>
                <w:bCs w:val="1"/>
                <w:color w:val="FFFFFF"/>
              </w:rPr>
              <w:t>% change</w:t>
            </w:r>
          </w:p>
        </w:tc>
        <w:tc>
          <w:tcPr>
            <w:tcW w:w="104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Year</w:t>
            </w:r>
          </w:p>
        </w:tc>
        <w:tc>
          <w:tcPr>
            <w:tcW w:w="740" w:type="dxa"/>
            <w:vAlign w:val="bottom"/>
            <w:tcBorders>
              <w:top w:val="single" w:sz="8" w:color="auto"/>
              <w:right w:val="single" w:sz="8" w:color="auto"/>
            </w:tcBorders>
            <w:shd w:val="clear" w:color="auto" w:fill="2AD2C9"/>
          </w:tcPr>
          <w:p>
            <w:pPr>
              <w:spacing w:after="0"/>
              <w:rPr>
                <w:sz w:val="14"/>
                <w:szCs w:val="14"/>
                <w:color w:val="auto"/>
              </w:rPr>
            </w:pPr>
          </w:p>
        </w:tc>
        <w:tc>
          <w:tcPr>
            <w:tcW w:w="9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64"/>
        </w:trPr>
        <w:tc>
          <w:tcPr>
            <w:tcW w:w="4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000</w:t>
            </w:r>
          </w:p>
        </w:tc>
        <w:tc>
          <w:tcPr>
            <w:tcW w:w="980" w:type="dxa"/>
            <w:vAlign w:val="bottom"/>
            <w:tcBorders>
              <w:bottom w:val="single" w:sz="8" w:color="auto"/>
            </w:tcBorders>
            <w:shd w:val="clear" w:color="auto" w:fill="2AD2C9"/>
          </w:tcPr>
          <w:p>
            <w:pPr>
              <w:jc w:val="right"/>
              <w:ind w:right="313"/>
              <w:spacing w:after="0"/>
              <w:rPr>
                <w:sz w:val="20"/>
                <w:szCs w:val="20"/>
                <w:color w:val="auto"/>
              </w:rPr>
            </w:pPr>
            <w:r>
              <w:rPr>
                <w:rFonts w:ascii="Arial" w:cs="Arial" w:eastAsia="Arial" w:hAnsi="Arial"/>
                <w:sz w:val="13"/>
                <w:szCs w:val="13"/>
                <w:b w:val="1"/>
                <w:bCs w:val="1"/>
                <w:color w:val="FFFFFF"/>
              </w:rPr>
              <w:t>4Q21</w:t>
            </w:r>
          </w:p>
        </w:tc>
        <w:tc>
          <w:tcPr>
            <w:tcW w:w="940" w:type="dxa"/>
            <w:vAlign w:val="bottom"/>
            <w:tcBorders>
              <w:bottom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3Q22</w:t>
            </w:r>
          </w:p>
        </w:tc>
        <w:tc>
          <w:tcPr>
            <w:tcW w:w="780" w:type="dxa"/>
            <w:vAlign w:val="bottom"/>
            <w:tcBorders>
              <w:bottom w:val="single" w:sz="8" w:color="auto"/>
              <w:right w:val="single" w:sz="8" w:color="auto"/>
            </w:tcBorders>
            <w:shd w:val="clear" w:color="auto" w:fill="2AD2C9"/>
          </w:tcPr>
          <w:p>
            <w:pPr>
              <w:jc w:val="right"/>
              <w:ind w:right="233"/>
              <w:spacing w:after="0"/>
              <w:rPr>
                <w:sz w:val="20"/>
                <w:szCs w:val="20"/>
                <w:color w:val="auto"/>
              </w:rPr>
            </w:pPr>
            <w:r>
              <w:rPr>
                <w:rFonts w:ascii="Arial" w:cs="Arial" w:eastAsia="Arial" w:hAnsi="Arial"/>
                <w:sz w:val="13"/>
                <w:szCs w:val="13"/>
                <w:b w:val="1"/>
                <w:bCs w:val="1"/>
                <w:color w:val="FFFFFF"/>
              </w:rPr>
              <w:t>4Q22</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9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YoY</w:t>
            </w:r>
          </w:p>
        </w:tc>
        <w:tc>
          <w:tcPr>
            <w:tcW w:w="1040" w:type="dxa"/>
            <w:vAlign w:val="bottom"/>
            <w:tcBorders>
              <w:bottom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2021</w:t>
            </w:r>
          </w:p>
        </w:tc>
        <w:tc>
          <w:tcPr>
            <w:tcW w:w="740" w:type="dxa"/>
            <w:vAlign w:val="bottom"/>
            <w:tcBorders>
              <w:bottom w:val="single" w:sz="8" w:color="auto"/>
              <w:right w:val="single" w:sz="8" w:color="auto"/>
            </w:tcBorders>
            <w:shd w:val="clear" w:color="auto" w:fill="2AD2C9"/>
          </w:tcPr>
          <w:p>
            <w:pPr>
              <w:jc w:val="right"/>
              <w:ind w:right="253"/>
              <w:spacing w:after="0"/>
              <w:rPr>
                <w:sz w:val="20"/>
                <w:szCs w:val="20"/>
                <w:color w:val="auto"/>
              </w:rPr>
            </w:pPr>
            <w:r>
              <w:rPr>
                <w:rFonts w:ascii="Arial" w:cs="Arial" w:eastAsia="Arial" w:hAnsi="Arial"/>
                <w:sz w:val="13"/>
                <w:szCs w:val="13"/>
                <w:b w:val="1"/>
                <w:bCs w:val="1"/>
                <w:color w:val="FFFFFF"/>
              </w:rPr>
              <w:t>2022</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36"/>
        </w:trPr>
        <w:tc>
          <w:tcPr>
            <w:tcW w:w="408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color w:val="auto"/>
              </w:rPr>
              <w:t>Gross provision for credit losses on loan portfolio</w:t>
            </w:r>
          </w:p>
        </w:tc>
        <w:tc>
          <w:tcPr>
            <w:tcW w:w="9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(284,126)</w:t>
            </w:r>
          </w:p>
        </w:tc>
        <w:tc>
          <w:tcPr>
            <w:tcW w:w="940" w:type="dxa"/>
            <w:vAlign w:val="bottom"/>
          </w:tcPr>
          <w:p>
            <w:pPr>
              <w:jc w:val="right"/>
              <w:ind w:right="73"/>
              <w:spacing w:after="0" w:line="136" w:lineRule="exact"/>
              <w:rPr>
                <w:sz w:val="20"/>
                <w:szCs w:val="20"/>
                <w:color w:val="auto"/>
              </w:rPr>
            </w:pPr>
            <w:r>
              <w:rPr>
                <w:rFonts w:ascii="Arial" w:cs="Arial" w:eastAsia="Arial" w:hAnsi="Arial"/>
                <w:sz w:val="13"/>
                <w:szCs w:val="13"/>
                <w:color w:val="auto"/>
              </w:rPr>
              <w:t>(505,657)</w:t>
            </w:r>
          </w:p>
        </w:tc>
        <w:tc>
          <w:tcPr>
            <w:tcW w:w="78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(799,864)</w:t>
            </w:r>
          </w:p>
        </w:tc>
        <w:tc>
          <w:tcPr>
            <w:tcW w:w="860" w:type="dxa"/>
            <w:vAlign w:val="bottom"/>
          </w:tcPr>
          <w:p>
            <w:pPr>
              <w:jc w:val="center"/>
              <w:spacing w:after="0" w:line="136" w:lineRule="exact"/>
              <w:rPr>
                <w:sz w:val="20"/>
                <w:szCs w:val="20"/>
                <w:color w:val="auto"/>
              </w:rPr>
            </w:pPr>
            <w:r>
              <w:rPr>
                <w:rFonts w:ascii="Arial" w:cs="Arial" w:eastAsia="Arial" w:hAnsi="Arial"/>
                <w:sz w:val="13"/>
                <w:szCs w:val="13"/>
                <w:color w:val="auto"/>
              </w:rPr>
              <w:t>58.2%</w:t>
            </w:r>
          </w:p>
        </w:tc>
        <w:tc>
          <w:tcPr>
            <w:tcW w:w="9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181.5%</w:t>
            </w:r>
          </w:p>
        </w:tc>
        <w:tc>
          <w:tcPr>
            <w:tcW w:w="1040" w:type="dxa"/>
            <w:vAlign w:val="bottom"/>
          </w:tcPr>
          <w:p>
            <w:pPr>
              <w:jc w:val="right"/>
              <w:ind w:right="113"/>
              <w:spacing w:after="0" w:line="136" w:lineRule="exact"/>
              <w:rPr>
                <w:sz w:val="20"/>
                <w:szCs w:val="20"/>
                <w:color w:val="auto"/>
              </w:rPr>
            </w:pPr>
            <w:r>
              <w:rPr>
                <w:rFonts w:ascii="Arial" w:cs="Arial" w:eastAsia="Arial" w:hAnsi="Arial"/>
                <w:sz w:val="13"/>
                <w:szCs w:val="13"/>
                <w:color w:val="auto"/>
              </w:rPr>
              <w:t>(1,620,262)</w:t>
            </w:r>
          </w:p>
        </w:tc>
        <w:tc>
          <w:tcPr>
            <w:tcW w:w="74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(2,100,541)</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29.6%</w:t>
            </w:r>
          </w:p>
        </w:tc>
      </w:tr>
      <w:tr>
        <w:trPr>
          <w:trHeight w:val="149"/>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Recoveries of written-off loans</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103,022</w:t>
            </w:r>
          </w:p>
        </w:tc>
        <w:tc>
          <w:tcPr>
            <w:tcW w:w="940" w:type="dxa"/>
            <w:vAlign w:val="bottom"/>
          </w:tcPr>
          <w:p>
            <w:pPr>
              <w:jc w:val="right"/>
              <w:ind w:right="113"/>
              <w:spacing w:after="0"/>
              <w:rPr>
                <w:sz w:val="20"/>
                <w:szCs w:val="20"/>
                <w:color w:val="auto"/>
              </w:rPr>
            </w:pPr>
            <w:r>
              <w:rPr>
                <w:rFonts w:ascii="Arial" w:cs="Arial" w:eastAsia="Arial" w:hAnsi="Arial"/>
                <w:sz w:val="13"/>
                <w:szCs w:val="13"/>
                <w:color w:val="auto"/>
              </w:rPr>
              <w:t>85,273</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84,908</w:t>
            </w:r>
          </w:p>
        </w:tc>
        <w:tc>
          <w:tcPr>
            <w:tcW w:w="860" w:type="dxa"/>
            <w:vAlign w:val="bottom"/>
          </w:tcPr>
          <w:p>
            <w:pPr>
              <w:jc w:val="center"/>
              <w:spacing w:after="0"/>
              <w:rPr>
                <w:sz w:val="20"/>
                <w:szCs w:val="20"/>
                <w:color w:val="auto"/>
              </w:rPr>
            </w:pPr>
            <w:r>
              <w:rPr>
                <w:rFonts w:ascii="Arial" w:cs="Arial" w:eastAsia="Arial" w:hAnsi="Arial"/>
                <w:sz w:val="13"/>
                <w:szCs w:val="13"/>
                <w:color w:val="auto"/>
              </w:rPr>
              <w:t>-0.4%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-17.6%</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346,728</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347,017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0.1%</w:t>
            </w:r>
          </w:p>
        </w:tc>
      </w:tr>
      <w:tr>
        <w:trPr>
          <w:trHeight w:val="16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Provision for credit losses on loan portfolio, net of recoveries</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(181,104)</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(420,384)</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(714,956)</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70.1%</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294.8%</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(1,273,534)</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(1,753,524)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37.7%</w:t>
            </w:r>
          </w:p>
        </w:tc>
      </w:tr>
      <w:tr>
        <w:trPr>
          <w:trHeight w:val="144"/>
        </w:trPr>
        <w:tc>
          <w:tcPr>
            <w:tcW w:w="408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0"/>
                <w:szCs w:val="10"/>
                <w:color w:val="auto"/>
              </w:rPr>
              <w:t xml:space="preserve">Structural Cost of risk </w:t>
            </w:r>
            <w:r>
              <w:rPr>
                <w:rFonts w:ascii="Arial" w:cs="Arial" w:eastAsia="Arial" w:hAnsi="Arial"/>
                <w:sz w:val="16"/>
                <w:szCs w:val="16"/>
                <w:color w:val="auto"/>
                <w:vertAlign w:val="superscript"/>
              </w:rPr>
              <w:t>(1)</w:t>
            </w:r>
          </w:p>
        </w:tc>
        <w:tc>
          <w:tcPr>
            <w:tcW w:w="980" w:type="dxa"/>
            <w:vAlign w:val="bottom"/>
            <w:tcBorders>
              <w:bottom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0.56%</w:t>
            </w:r>
          </w:p>
        </w:tc>
        <w:tc>
          <w:tcPr>
            <w:tcW w:w="940" w:type="dxa"/>
            <w:vAlign w:val="bottom"/>
            <w:tcBorders>
              <w:bottom w:val="single" w:sz="8" w:color="auto"/>
            </w:tcBorders>
          </w:tcPr>
          <w:p>
            <w:pPr>
              <w:jc w:val="right"/>
              <w:ind w:right="73"/>
              <w:spacing w:after="0" w:line="144" w:lineRule="exact"/>
              <w:rPr>
                <w:sz w:val="20"/>
                <w:szCs w:val="20"/>
                <w:color w:val="auto"/>
              </w:rPr>
            </w:pPr>
            <w:r>
              <w:rPr>
                <w:rFonts w:ascii="Arial" w:cs="Arial" w:eastAsia="Arial" w:hAnsi="Arial"/>
                <w:sz w:val="13"/>
                <w:szCs w:val="13"/>
                <w:color w:val="auto"/>
              </w:rPr>
              <w:t>1.21%</w:t>
            </w:r>
          </w:p>
        </w:tc>
        <w:tc>
          <w:tcPr>
            <w:tcW w:w="78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2.06%</w:t>
            </w:r>
          </w:p>
        </w:tc>
        <w:tc>
          <w:tcPr>
            <w:tcW w:w="86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color w:val="auto"/>
              </w:rPr>
              <w:t>85 bps</w:t>
            </w:r>
          </w:p>
        </w:tc>
        <w:tc>
          <w:tcPr>
            <w:tcW w:w="94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9"/>
              </w:rPr>
              <w:t>150 bps</w:t>
            </w:r>
          </w:p>
        </w:tc>
        <w:tc>
          <w:tcPr>
            <w:tcW w:w="1040" w:type="dxa"/>
            <w:vAlign w:val="bottom"/>
            <w:tcBorders>
              <w:bottom w:val="single" w:sz="8" w:color="auto"/>
            </w:tcBorders>
          </w:tcPr>
          <w:p>
            <w:pPr>
              <w:jc w:val="right"/>
              <w:ind w:right="113"/>
              <w:spacing w:after="0" w:line="144" w:lineRule="exact"/>
              <w:rPr>
                <w:sz w:val="20"/>
                <w:szCs w:val="20"/>
                <w:color w:val="auto"/>
              </w:rPr>
            </w:pPr>
            <w:r>
              <w:rPr>
                <w:rFonts w:ascii="Arial" w:cs="Arial" w:eastAsia="Arial" w:hAnsi="Arial"/>
                <w:sz w:val="13"/>
                <w:szCs w:val="13"/>
                <w:color w:val="auto"/>
              </w:rPr>
              <w:t>0.99%</w:t>
            </w:r>
          </w:p>
        </w:tc>
        <w:tc>
          <w:tcPr>
            <w:tcW w:w="7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1.26%</w:t>
            </w:r>
          </w:p>
        </w:tc>
        <w:tc>
          <w:tcPr>
            <w:tcW w:w="9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27 bps</w:t>
            </w:r>
          </w:p>
        </w:tc>
      </w:tr>
    </w:tbl>
    <w:p>
      <w:pPr>
        <w:spacing w:after="0" w:line="70" w:lineRule="exact"/>
        <w:rPr>
          <w:sz w:val="20"/>
          <w:szCs w:val="20"/>
          <w:color w:val="auto"/>
        </w:rPr>
      </w:pPr>
    </w:p>
    <w:p>
      <w:pPr>
        <w:ind w:left="180" w:hanging="179"/>
        <w:spacing w:after="0"/>
        <w:tabs>
          <w:tab w:leader="none" w:pos="1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Annualized Provision for credit losses on loan portfolio, net of recoveries.</w:t>
      </w:r>
    </w:p>
    <w:p>
      <w:pPr>
        <w:ind w:left="180" w:hanging="179"/>
        <w:spacing w:after="0"/>
        <w:tabs>
          <w:tab w:leader="none" w:pos="1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Structural Cost of risk excludes the Provisions for credit losses on loan portfolio, net of recoveries and Total Loans from the Reactiva Peru and FAE Government Programs.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7"/>
          <w:szCs w:val="17"/>
          <w:b w:val="1"/>
          <w:bCs w:val="1"/>
          <w:color w:val="auto"/>
        </w:rPr>
        <w:t>QoQ</w:t>
      </w:r>
      <w:r>
        <w:rPr>
          <w:rFonts w:ascii="Arial" w:cs="Arial" w:eastAsia="Arial" w:hAnsi="Arial"/>
          <w:sz w:val="17"/>
          <w:szCs w:val="17"/>
          <w:color w:val="auto"/>
        </w:rPr>
        <w:t>, Structural provisions rose. This increase, which was fueled mainly by BCP Stand-alone and Mibanco, led the structural CofR to rise 85 pbs. The</w:t>
      </w:r>
      <w:r>
        <w:rPr>
          <w:rFonts w:ascii="Arial" w:cs="Arial" w:eastAsia="Arial" w:hAnsi="Arial"/>
          <w:sz w:val="17"/>
          <w:szCs w:val="17"/>
          <w:b w:val="1"/>
          <w:bCs w:val="1"/>
          <w:color w:val="auto"/>
        </w:rPr>
        <w:t xml:space="preserve"> </w:t>
      </w:r>
      <w:r>
        <w:rPr>
          <w:rFonts w:ascii="Arial" w:cs="Arial" w:eastAsia="Arial" w:hAnsi="Arial"/>
          <w:sz w:val="17"/>
          <w:szCs w:val="17"/>
          <w:color w:val="auto"/>
        </w:rPr>
        <w:t>segments that drove the increase in the CofR were:</w:t>
      </w:r>
    </w:p>
    <w:p>
      <w:pPr>
        <w:spacing w:after="0" w:line="138" w:lineRule="exact"/>
        <w:rPr>
          <w:sz w:val="20"/>
          <w:szCs w:val="20"/>
          <w:color w:val="auto"/>
        </w:rPr>
      </w:pPr>
    </w:p>
    <w:p>
      <w:pPr>
        <w:jc w:val="both"/>
        <w:ind w:left="320" w:hanging="319"/>
        <w:spacing w:after="0" w:line="238"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Individuals, due primarily to </w:t>
      </w:r>
      <w:r>
        <w:rPr>
          <w:rFonts w:ascii="Arial" w:cs="Arial" w:eastAsia="Arial" w:hAnsi="Arial"/>
          <w:sz w:val="17"/>
          <w:szCs w:val="17"/>
          <w:color w:val="auto"/>
        </w:rPr>
        <w:t>i) the impact of new macroeconomic projections, which captured the impact of higher inflation on the</w:t>
      </w:r>
      <w:r>
        <w:rPr>
          <w:rFonts w:ascii="Arial" w:cs="Arial" w:eastAsia="Arial" w:hAnsi="Arial"/>
          <w:sz w:val="17"/>
          <w:szCs w:val="17"/>
          <w:b w:val="1"/>
          <w:bCs w:val="1"/>
          <w:color w:val="auto"/>
        </w:rPr>
        <w:t xml:space="preserve"> Consumer </w:t>
      </w:r>
      <w:r>
        <w:rPr>
          <w:rFonts w:ascii="Arial" w:cs="Arial" w:eastAsia="Arial" w:hAnsi="Arial"/>
          <w:sz w:val="17"/>
          <w:szCs w:val="17"/>
          <w:color w:val="auto"/>
        </w:rPr>
        <w:t>and</w:t>
      </w:r>
      <w:r>
        <w:rPr>
          <w:rFonts w:ascii="Arial" w:cs="Arial" w:eastAsia="Arial" w:hAnsi="Arial"/>
          <w:sz w:val="17"/>
          <w:szCs w:val="17"/>
          <w:b w:val="1"/>
          <w:bCs w:val="1"/>
          <w:color w:val="auto"/>
        </w:rPr>
        <w:t xml:space="preserve"> Credit Card </w:t>
      </w:r>
      <w:r>
        <w:rPr>
          <w:rFonts w:ascii="Arial" w:cs="Arial" w:eastAsia="Arial" w:hAnsi="Arial"/>
          <w:sz w:val="17"/>
          <w:szCs w:val="17"/>
          <w:color w:val="auto"/>
        </w:rPr>
        <w:t>segments in particular, an uptick in reference rates, and lower-than-expected GDP; ii) the impact of rising actual inflation rates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payments in the </w:t>
      </w:r>
      <w:r>
        <w:rPr>
          <w:rFonts w:ascii="Arial" w:cs="Arial" w:eastAsia="Arial" w:hAnsi="Arial"/>
          <w:sz w:val="17"/>
          <w:szCs w:val="17"/>
          <w:b w:val="1"/>
          <w:bCs w:val="1"/>
          <w:color w:val="auto"/>
        </w:rPr>
        <w:t>Consumer</w:t>
      </w:r>
      <w:r>
        <w:rPr>
          <w:rFonts w:ascii="Arial" w:cs="Arial" w:eastAsia="Arial" w:hAnsi="Arial"/>
          <w:sz w:val="17"/>
          <w:szCs w:val="17"/>
          <w:color w:val="auto"/>
        </w:rPr>
        <w:t xml:space="preserve"> segment.</w:t>
      </w:r>
    </w:p>
    <w:p>
      <w:pPr>
        <w:jc w:val="both"/>
        <w:ind w:left="300" w:hanging="299"/>
        <w:spacing w:after="0" w:line="231" w:lineRule="auto"/>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Mibanco</w:t>
      </w:r>
      <w:r>
        <w:rPr>
          <w:rFonts w:ascii="Arial" w:cs="Arial" w:eastAsia="Arial" w:hAnsi="Arial"/>
          <w:sz w:val="17"/>
          <w:szCs w:val="17"/>
          <w:color w:val="auto"/>
        </w:rPr>
        <w:t>, due to i) a base effect given that provisions in 3Q22 were unusually low due to methodological changes, which reduced provisions this</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and ii) the incorporation of maturities of a set number of new vintages with higher default ratios in the loan risk model after available information was deemed sufficient to trigger inclusion.</w:t>
      </w:r>
    </w:p>
    <w:p>
      <w:pPr>
        <w:spacing w:after="0" w:line="1" w:lineRule="exact"/>
        <w:rPr>
          <w:rFonts w:ascii="Arial" w:cs="Arial" w:eastAsia="Arial" w:hAnsi="Arial"/>
          <w:sz w:val="17"/>
          <w:szCs w:val="17"/>
          <w:color w:val="auto"/>
        </w:rPr>
      </w:pPr>
    </w:p>
    <w:p>
      <w:pPr>
        <w:ind w:left="320" w:hanging="319"/>
        <w:spacing w:after="0" w:line="244"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Wholesale, </w:t>
      </w:r>
      <w:r>
        <w:rPr>
          <w:rFonts w:ascii="Arial" w:cs="Arial" w:eastAsia="Arial" w:hAnsi="Arial"/>
          <w:sz w:val="17"/>
          <w:szCs w:val="17"/>
          <w:color w:val="auto"/>
        </w:rPr>
        <w:t>which was driven by growth over an atypically lower based given that clients that had previously been in default made debt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in 3Q22.</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 xml:space="preserve">The increase in total provisions was partially offset the decrease in provisions for </w:t>
      </w:r>
      <w:r>
        <w:rPr>
          <w:rFonts w:ascii="Arial" w:cs="Arial" w:eastAsia="Arial" w:hAnsi="Arial"/>
          <w:sz w:val="17"/>
          <w:szCs w:val="17"/>
          <w:b w:val="1"/>
          <w:bCs w:val="1"/>
          <w:color w:val="auto"/>
        </w:rPr>
        <w:t>SME-Pyme</w:t>
      </w:r>
      <w:r>
        <w:rPr>
          <w:rFonts w:ascii="Arial" w:cs="Arial" w:eastAsia="Arial" w:hAnsi="Arial"/>
          <w:sz w:val="17"/>
          <w:szCs w:val="17"/>
          <w:color w:val="auto"/>
        </w:rPr>
        <w:t xml:space="preserve"> due to methodological changes were made to the provisions model. This reduction was partially offset by worse than expected payment performance in the segment for loans under 90,000 soles. The aforementioned offset was insufficient to prevent an increase in total provisions.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0" w:name="page31"/>
    <w:bookmarkEnd w:id="30"/>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435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1845" cy="3435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05. Provisions</w:t>
      </w:r>
    </w:p>
    <w:p>
      <w:pPr>
        <w:sectPr>
          <w:pgSz w:w="11900" w:h="16838" w:orient="portrait"/>
          <w:cols w:equalWidth="0" w:num="1">
            <w:col w:w="11240"/>
          </w:cols>
          <w:pgMar w:left="320" w:top="659" w:right="339" w:bottom="1440" w:gutter="0" w:footer="0" w:header="0"/>
        </w:sectPr>
      </w:pPr>
    </w:p>
    <w:p>
      <w:pPr>
        <w:spacing w:after="0" w:line="320" w:lineRule="exact"/>
        <w:rPr>
          <w:sz w:val="20"/>
          <w:szCs w:val="20"/>
          <w:color w:val="auto"/>
        </w:rPr>
      </w:pPr>
    </w:p>
    <w:p>
      <w:pPr>
        <w:jc w:val="both"/>
        <w:ind w:right="940"/>
        <w:spacing w:after="0" w:line="247" w:lineRule="auto"/>
        <w:rPr>
          <w:sz w:val="20"/>
          <w:szCs w:val="20"/>
          <w:color w:val="auto"/>
        </w:rPr>
      </w:pPr>
      <w:r>
        <w:rPr>
          <w:rFonts w:ascii="Arial" w:cs="Arial" w:eastAsia="Arial" w:hAnsi="Arial"/>
          <w:sz w:val="17"/>
          <w:szCs w:val="17"/>
          <w:b w:val="1"/>
          <w:bCs w:val="1"/>
          <w:color w:val="auto"/>
        </w:rPr>
        <w:t xml:space="preserve">YoY and FY, the Structural CofR Ratio </w:t>
      </w:r>
      <w:r>
        <w:rPr>
          <w:rFonts w:ascii="Arial" w:cs="Arial" w:eastAsia="Arial" w:hAnsi="Arial"/>
          <w:sz w:val="17"/>
          <w:szCs w:val="17"/>
          <w:color w:val="auto"/>
        </w:rPr>
        <w:t>registered an increase of</w:t>
      </w:r>
      <w:r>
        <w:rPr>
          <w:rFonts w:ascii="Arial" w:cs="Arial" w:eastAsia="Arial" w:hAnsi="Arial"/>
          <w:sz w:val="17"/>
          <w:szCs w:val="17"/>
          <w:b w:val="1"/>
          <w:bCs w:val="1"/>
          <w:color w:val="auto"/>
        </w:rPr>
        <w:t xml:space="preserve"> </w:t>
      </w:r>
      <w:r>
        <w:rPr>
          <w:rFonts w:ascii="Arial" w:cs="Arial" w:eastAsia="Arial" w:hAnsi="Arial"/>
          <w:sz w:val="17"/>
          <w:szCs w:val="17"/>
          <w:color w:val="auto"/>
        </w:rPr>
        <w:t>150bps and 27bps, respectively, in line with growth in provisions. Growth in the provisions expense was spurred by:</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Structural Cost of Risk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133350</wp:posOffset>
            </wp:positionV>
            <wp:extent cx="3195320" cy="18935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95320" cy="1893570"/>
                    </a:xfrm>
                    <a:prstGeom prst="rect">
                      <a:avLst/>
                    </a:prstGeom>
                    <a:noFill/>
                  </pic:spPr>
                </pic:pic>
              </a:graphicData>
            </a:graphic>
          </wp:anchor>
        </w:drawing>
      </w:r>
    </w:p>
    <w:p>
      <w:pPr>
        <w:spacing w:after="0" w:line="570" w:lineRule="exact"/>
        <w:rPr>
          <w:sz w:val="20"/>
          <w:szCs w:val="20"/>
          <w:color w:val="auto"/>
        </w:rPr>
      </w:pPr>
    </w:p>
    <w:p>
      <w:pPr>
        <w:sectPr>
          <w:pgSz w:w="11900" w:h="16838" w:orient="portrait"/>
          <w:cols w:equalWidth="0" w:num="2">
            <w:col w:w="6340" w:space="720"/>
            <w:col w:w="4180"/>
          </w:cols>
          <w:pgMar w:left="320" w:top="6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Individuals – Consumer</w:t>
      </w:r>
      <w:r>
        <w:rPr>
          <w:rFonts w:ascii="Arial" w:cs="Arial" w:eastAsia="Arial" w:hAnsi="Arial"/>
          <w:sz w:val="16"/>
          <w:szCs w:val="16"/>
          <w:color w:val="auto"/>
        </w:rPr>
        <w:t>, due to i) the negative impact of growth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actual inflation on payment behavior and ii) a base effect given that</w:t>
      </w:r>
    </w:p>
    <w:p>
      <w:pPr>
        <w:spacing w:after="0" w:line="231" w:lineRule="auto"/>
        <w:rPr>
          <w:sz w:val="20"/>
          <w:szCs w:val="20"/>
          <w:color w:val="auto"/>
        </w:rPr>
      </w:pPr>
      <w:r>
        <w:rPr>
          <w:rFonts w:ascii="Arial" w:cs="Arial" w:eastAsia="Arial" w:hAnsi="Arial"/>
          <w:sz w:val="17"/>
          <w:szCs w:val="17"/>
          <w:color w:val="auto"/>
        </w:rPr>
        <w:t>provisions in 2021 were atypically low.</w:t>
      </w:r>
    </w:p>
    <w:p>
      <w:pPr>
        <w:spacing w:after="0" w:line="232" w:lineRule="auto"/>
        <w:rPr>
          <w:sz w:val="20"/>
          <w:szCs w:val="20"/>
          <w:color w:val="auto"/>
        </w:rPr>
      </w:pPr>
      <w:r>
        <w:rPr>
          <w:rFonts w:ascii="Arial" w:cs="Arial" w:eastAsia="Arial" w:hAnsi="Arial"/>
          <w:sz w:val="17"/>
          <w:szCs w:val="17"/>
          <w:b w:val="1"/>
          <w:bCs w:val="1"/>
          <w:color w:val="auto"/>
        </w:rPr>
        <w:t xml:space="preserve">SME-Pyme,  </w:t>
      </w:r>
      <w:r>
        <w:rPr>
          <w:rFonts w:ascii="Arial" w:cs="Arial" w:eastAsia="Arial" w:hAnsi="Arial"/>
          <w:sz w:val="17"/>
          <w:szCs w:val="17"/>
          <w:color w:val="auto"/>
        </w:rPr>
        <w:t>due  to  an  uptick  in  disbursements  to  segments</w:t>
      </w:r>
    </w:p>
    <w:p>
      <w:pPr>
        <w:spacing w:after="0" w:line="232" w:lineRule="auto"/>
        <w:rPr>
          <w:sz w:val="20"/>
          <w:szCs w:val="20"/>
          <w:color w:val="auto"/>
        </w:rPr>
      </w:pPr>
      <w:r>
        <w:rPr>
          <w:rFonts w:ascii="Arial" w:cs="Arial" w:eastAsia="Arial" w:hAnsi="Arial"/>
          <w:sz w:val="17"/>
          <w:szCs w:val="17"/>
          <w:color w:val="auto"/>
        </w:rPr>
        <w:t>characterized by a higher risk profile on one hand and higher</w:t>
      </w:r>
    </w:p>
    <w:p>
      <w:pPr>
        <w:spacing w:after="0" w:line="231" w:lineRule="auto"/>
        <w:rPr>
          <w:sz w:val="20"/>
          <w:szCs w:val="20"/>
          <w:color w:val="auto"/>
        </w:rPr>
      </w:pPr>
      <w:r>
        <w:rPr>
          <w:rFonts w:ascii="Arial" w:cs="Arial" w:eastAsia="Arial" w:hAnsi="Arial"/>
          <w:sz w:val="17"/>
          <w:szCs w:val="17"/>
          <w:color w:val="auto"/>
        </w:rPr>
        <w:t>margins on the other.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Mibanco, </w:t>
      </w:r>
      <w:r>
        <w:rPr>
          <w:rFonts w:ascii="Arial" w:cs="Arial" w:eastAsia="Arial" w:hAnsi="Arial"/>
          <w:sz w:val="16"/>
          <w:szCs w:val="16"/>
          <w:color w:val="auto"/>
        </w:rPr>
        <w:t>due to i) a base effect given that in 2021, provisions were</w:t>
      </w:r>
    </w:p>
    <w:p>
      <w:pPr>
        <w:spacing w:after="0"/>
        <w:tabs>
          <w:tab w:leader="none" w:pos="840" w:val="left"/>
          <w:tab w:leader="none" w:pos="1240" w:val="left"/>
          <w:tab w:leader="none" w:pos="1780" w:val="left"/>
          <w:tab w:leader="none" w:pos="2220" w:val="left"/>
          <w:tab w:leader="none" w:pos="3460" w:val="left"/>
          <w:tab w:leader="none" w:pos="3960" w:val="left"/>
          <w:tab w:leader="none" w:pos="4500" w:val="left"/>
        </w:tabs>
        <w:rPr>
          <w:sz w:val="20"/>
          <w:szCs w:val="20"/>
          <w:color w:val="auto"/>
        </w:rPr>
      </w:pPr>
      <w:r>
        <w:rPr>
          <w:rFonts w:ascii="Arial" w:cs="Arial" w:eastAsia="Arial" w:hAnsi="Arial"/>
          <w:sz w:val="17"/>
          <w:szCs w:val="17"/>
          <w:color w:val="auto"/>
        </w:rPr>
        <w:t>unusually</w:t>
        <w:tab/>
        <w:t>low</w:t>
        <w:tab/>
        <w:t>given</w:t>
        <w:tab/>
        <w:t>that</w:t>
        <w:tab/>
        <w:t>disbursements</w:t>
        <w:tab/>
        <w:t>were</w:t>
        <w:tab/>
        <w:t>more</w:t>
      </w:r>
      <w:r>
        <w:rPr>
          <w:sz w:val="20"/>
          <w:szCs w:val="20"/>
          <w:color w:val="auto"/>
        </w:rPr>
        <w:tab/>
      </w:r>
      <w:r>
        <w:rPr>
          <w:rFonts w:ascii="Arial" w:cs="Arial" w:eastAsia="Arial" w:hAnsi="Arial"/>
          <w:sz w:val="16"/>
          <w:szCs w:val="16"/>
          <w:color w:val="auto"/>
        </w:rPr>
        <w:t>heavily</w:t>
      </w:r>
    </w:p>
    <w:p>
      <w:pPr>
        <w:spacing w:after="0" w:line="232" w:lineRule="auto"/>
        <w:rPr>
          <w:sz w:val="20"/>
          <w:szCs w:val="20"/>
          <w:color w:val="auto"/>
        </w:rPr>
      </w:pPr>
      <w:r>
        <w:rPr>
          <w:rFonts w:ascii="Arial" w:cs="Arial" w:eastAsia="Arial" w:hAnsi="Arial"/>
          <w:sz w:val="17"/>
          <w:szCs w:val="17"/>
          <w:color w:val="auto"/>
        </w:rPr>
        <w:t>concentrated among clients with better risk profiles and collections</w:t>
      </w:r>
    </w:p>
    <w:p>
      <w:pPr>
        <w:spacing w:after="0" w:line="231" w:lineRule="auto"/>
        <w:rPr>
          <w:sz w:val="20"/>
          <w:szCs w:val="20"/>
          <w:color w:val="auto"/>
        </w:rPr>
      </w:pPr>
      <w:r>
        <w:rPr>
          <w:rFonts w:ascii="Arial" w:cs="Arial" w:eastAsia="Arial" w:hAnsi="Arial"/>
          <w:sz w:val="17"/>
          <w:szCs w:val="17"/>
          <w:color w:val="auto"/>
        </w:rPr>
        <w:t>were up in a post-pandemic environment; and ii) the incorporation</w:t>
      </w:r>
    </w:p>
    <w:p>
      <w:pPr>
        <w:spacing w:after="0" w:line="232" w:lineRule="auto"/>
        <w:rPr>
          <w:sz w:val="20"/>
          <w:szCs w:val="20"/>
          <w:color w:val="auto"/>
        </w:rPr>
      </w:pPr>
      <w:r>
        <w:rPr>
          <w:rFonts w:ascii="Arial" w:cs="Arial" w:eastAsia="Arial" w:hAnsi="Arial"/>
          <w:sz w:val="17"/>
          <w:szCs w:val="17"/>
          <w:color w:val="auto"/>
        </w:rPr>
        <w:t>of maturities of a set number of new vintages in the risk model in</w:t>
      </w:r>
    </w:p>
    <w:p>
      <w:pPr>
        <w:spacing w:after="0"/>
        <w:rPr>
          <w:sz w:val="20"/>
          <w:szCs w:val="20"/>
          <w:color w:val="auto"/>
        </w:rPr>
      </w:pPr>
      <w:r>
        <w:rPr>
          <w:rFonts w:ascii="Arial" w:cs="Arial" w:eastAsia="Arial" w:hAnsi="Arial"/>
          <w:sz w:val="17"/>
          <w:szCs w:val="17"/>
          <w:color w:val="auto"/>
        </w:rPr>
        <w:t>2022, as explained in the QoQ dynamics.</w:t>
      </w:r>
    </w:p>
    <w:p>
      <w:pPr>
        <w:spacing w:after="0" w:line="200" w:lineRule="exact"/>
        <w:rPr>
          <w:sz w:val="20"/>
          <w:szCs w:val="20"/>
          <w:color w:val="auto"/>
        </w:rPr>
      </w:pPr>
    </w:p>
    <w:p>
      <w:pPr>
        <w:sectPr>
          <w:pgSz w:w="11900" w:h="16838" w:orient="portrait"/>
          <w:cols w:equalWidth="0" w:num="2">
            <w:col w:w="100" w:space="260"/>
            <w:col w:w="10880"/>
          </w:cols>
          <w:pgMar w:left="320" w:top="6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Growth in the total provisions expense was partially offset by a drop in the provisions expense in the Wholesale segment, which reflects the fact that expenses in 4Q21 were impacted by a more significant downturn in client behavior than that registered in 4Q22.</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and CoR in the Government Loan Portfolio (PG)</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402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GP Loan Portfolio Provisions</w:t>
            </w:r>
          </w:p>
        </w:tc>
        <w:tc>
          <w:tcPr>
            <w:tcW w:w="980" w:type="dxa"/>
            <w:vAlign w:val="bottom"/>
            <w:tcBorders>
              <w:top w:val="single" w:sz="8" w:color="auto"/>
            </w:tcBorders>
            <w:shd w:val="clear" w:color="auto" w:fill="2AD2C9"/>
          </w:tcPr>
          <w:p>
            <w:pPr>
              <w:spacing w:after="0"/>
              <w:rPr>
                <w:sz w:val="14"/>
                <w:szCs w:val="14"/>
                <w:color w:val="auto"/>
              </w:rPr>
            </w:pPr>
          </w:p>
        </w:tc>
        <w:tc>
          <w:tcPr>
            <w:tcW w:w="940" w:type="dxa"/>
            <w:vAlign w:val="bottom"/>
            <w:tcBorders>
              <w:top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Quarter</w:t>
            </w:r>
          </w:p>
        </w:tc>
        <w:tc>
          <w:tcPr>
            <w:tcW w:w="780" w:type="dxa"/>
            <w:vAlign w:val="bottom"/>
            <w:tcBorders>
              <w:top w:val="single" w:sz="8" w:color="auto"/>
              <w:right w:val="single" w:sz="8" w:color="auto"/>
            </w:tcBorders>
            <w:shd w:val="clear" w:color="auto" w:fill="2AD2C9"/>
          </w:tcPr>
          <w:p>
            <w:pPr>
              <w:spacing w:after="0"/>
              <w:rPr>
                <w:sz w:val="14"/>
                <w:szCs w:val="14"/>
                <w:color w:val="auto"/>
              </w:rPr>
            </w:pPr>
          </w:p>
        </w:tc>
        <w:tc>
          <w:tcPr>
            <w:tcW w:w="1800" w:type="dxa"/>
            <w:vAlign w:val="bottom"/>
            <w:tcBorders>
              <w:top w:val="single" w:sz="8" w:color="auto"/>
              <w:right w:val="single" w:sz="8" w:color="auto"/>
            </w:tcBorders>
            <w:gridSpan w:val="2"/>
            <w:shd w:val="clear" w:color="auto" w:fill="2AD2C9"/>
          </w:tcPr>
          <w:p>
            <w:pPr>
              <w:jc w:val="right"/>
              <w:ind w:right="533"/>
              <w:spacing w:after="0"/>
              <w:rPr>
                <w:sz w:val="20"/>
                <w:szCs w:val="20"/>
                <w:color w:val="auto"/>
              </w:rPr>
            </w:pPr>
            <w:r>
              <w:rPr>
                <w:rFonts w:ascii="Arial" w:cs="Arial" w:eastAsia="Arial" w:hAnsi="Arial"/>
                <w:sz w:val="13"/>
                <w:szCs w:val="13"/>
                <w:b w:val="1"/>
                <w:bCs w:val="1"/>
                <w:color w:val="FFFFFF"/>
              </w:rPr>
              <w:t>% change</w:t>
            </w:r>
          </w:p>
        </w:tc>
        <w:tc>
          <w:tcPr>
            <w:tcW w:w="1120" w:type="dxa"/>
            <w:vAlign w:val="bottom"/>
            <w:tcBorders>
              <w:top w:val="single" w:sz="8" w:color="auto"/>
            </w:tcBorders>
            <w:shd w:val="clear" w:color="auto" w:fill="2AD2C9"/>
          </w:tcPr>
          <w:p>
            <w:pPr>
              <w:jc w:val="right"/>
              <w:ind w:right="13"/>
              <w:spacing w:after="0"/>
              <w:rPr>
                <w:sz w:val="20"/>
                <w:szCs w:val="20"/>
                <w:color w:val="auto"/>
              </w:rPr>
            </w:pPr>
            <w:r>
              <w:rPr>
                <w:rFonts w:ascii="Arial" w:cs="Arial" w:eastAsia="Arial" w:hAnsi="Arial"/>
                <w:sz w:val="13"/>
                <w:szCs w:val="13"/>
                <w:b w:val="1"/>
                <w:bCs w:val="1"/>
                <w:color w:val="FFFFFF"/>
              </w:rPr>
              <w:t>Year</w:t>
            </w:r>
          </w:p>
        </w:tc>
        <w:tc>
          <w:tcPr>
            <w:tcW w:w="720" w:type="dxa"/>
            <w:vAlign w:val="bottom"/>
            <w:tcBorders>
              <w:top w:val="single" w:sz="8" w:color="auto"/>
              <w:right w:val="single" w:sz="8" w:color="auto"/>
            </w:tcBorders>
            <w:shd w:val="clear" w:color="auto" w:fill="2AD2C9"/>
          </w:tcPr>
          <w:p>
            <w:pPr>
              <w:spacing w:after="0"/>
              <w:rPr>
                <w:sz w:val="14"/>
                <w:szCs w:val="14"/>
                <w:color w:val="auto"/>
              </w:rPr>
            </w:pPr>
          </w:p>
        </w:tc>
        <w:tc>
          <w:tcPr>
            <w:tcW w:w="9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51"/>
        </w:trPr>
        <w:tc>
          <w:tcPr>
            <w:tcW w:w="402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000</w:t>
            </w:r>
          </w:p>
        </w:tc>
        <w:tc>
          <w:tcPr>
            <w:tcW w:w="980" w:type="dxa"/>
            <w:vAlign w:val="bottom"/>
            <w:tcBorders>
              <w:bottom w:val="single" w:sz="8" w:color="auto"/>
            </w:tcBorders>
            <w:shd w:val="clear" w:color="auto" w:fill="2AD2C9"/>
          </w:tcPr>
          <w:p>
            <w:pPr>
              <w:jc w:val="right"/>
              <w:ind w:right="313"/>
              <w:spacing w:after="0"/>
              <w:rPr>
                <w:sz w:val="20"/>
                <w:szCs w:val="20"/>
                <w:color w:val="auto"/>
              </w:rPr>
            </w:pPr>
            <w:r>
              <w:rPr>
                <w:rFonts w:ascii="Arial" w:cs="Arial" w:eastAsia="Arial" w:hAnsi="Arial"/>
                <w:sz w:val="13"/>
                <w:szCs w:val="13"/>
                <w:b w:val="1"/>
                <w:bCs w:val="1"/>
                <w:color w:val="FFFFFF"/>
              </w:rPr>
              <w:t>4Q21</w:t>
            </w:r>
          </w:p>
        </w:tc>
        <w:tc>
          <w:tcPr>
            <w:tcW w:w="940" w:type="dxa"/>
            <w:vAlign w:val="bottom"/>
            <w:tcBorders>
              <w:bottom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3Q22</w:t>
            </w:r>
          </w:p>
        </w:tc>
        <w:tc>
          <w:tcPr>
            <w:tcW w:w="780" w:type="dxa"/>
            <w:vAlign w:val="bottom"/>
            <w:tcBorders>
              <w:bottom w:val="single" w:sz="8" w:color="auto"/>
              <w:right w:val="single" w:sz="8" w:color="auto"/>
            </w:tcBorders>
            <w:shd w:val="clear" w:color="auto" w:fill="2AD2C9"/>
          </w:tcPr>
          <w:p>
            <w:pPr>
              <w:jc w:val="right"/>
              <w:ind w:right="233"/>
              <w:spacing w:after="0"/>
              <w:rPr>
                <w:sz w:val="20"/>
                <w:szCs w:val="20"/>
                <w:color w:val="auto"/>
              </w:rPr>
            </w:pPr>
            <w:r>
              <w:rPr>
                <w:rFonts w:ascii="Arial" w:cs="Arial" w:eastAsia="Arial" w:hAnsi="Arial"/>
                <w:sz w:val="13"/>
                <w:szCs w:val="13"/>
                <w:b w:val="1"/>
                <w:bCs w:val="1"/>
                <w:color w:val="FFFFFF"/>
              </w:rPr>
              <w:t>4Q22</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9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YoY</w:t>
            </w:r>
          </w:p>
        </w:tc>
        <w:tc>
          <w:tcPr>
            <w:tcW w:w="1120" w:type="dxa"/>
            <w:vAlign w:val="bottom"/>
            <w:tcBorders>
              <w:bottom w:val="single" w:sz="8" w:color="auto"/>
            </w:tcBorders>
            <w:shd w:val="clear" w:color="auto" w:fill="2AD2C9"/>
          </w:tcPr>
          <w:p>
            <w:pPr>
              <w:jc w:val="right"/>
              <w:ind w:right="453"/>
              <w:spacing w:after="0"/>
              <w:rPr>
                <w:sz w:val="20"/>
                <w:szCs w:val="20"/>
                <w:color w:val="auto"/>
              </w:rPr>
            </w:pPr>
            <w:r>
              <w:rPr>
                <w:rFonts w:ascii="Arial" w:cs="Arial" w:eastAsia="Arial" w:hAnsi="Arial"/>
                <w:sz w:val="13"/>
                <w:szCs w:val="13"/>
                <w:b w:val="1"/>
                <w:bCs w:val="1"/>
                <w:color w:val="FFFFFF"/>
              </w:rPr>
              <w:t>2021</w:t>
            </w:r>
          </w:p>
        </w:tc>
        <w:tc>
          <w:tcPr>
            <w:tcW w:w="720" w:type="dxa"/>
            <w:vAlign w:val="bottom"/>
            <w:tcBorders>
              <w:bottom w:val="single" w:sz="8" w:color="auto"/>
              <w:right w:val="single" w:sz="8" w:color="auto"/>
            </w:tcBorders>
            <w:shd w:val="clear" w:color="auto" w:fill="2AD2C9"/>
          </w:tcPr>
          <w:p>
            <w:pPr>
              <w:jc w:val="right"/>
              <w:ind w:right="253"/>
              <w:spacing w:after="0"/>
              <w:rPr>
                <w:sz w:val="20"/>
                <w:szCs w:val="20"/>
                <w:color w:val="auto"/>
              </w:rPr>
            </w:pPr>
            <w:r>
              <w:rPr>
                <w:rFonts w:ascii="Arial" w:cs="Arial" w:eastAsia="Arial" w:hAnsi="Arial"/>
                <w:sz w:val="13"/>
                <w:szCs w:val="13"/>
                <w:b w:val="1"/>
                <w:bCs w:val="1"/>
                <w:color w:val="FFFFFF"/>
              </w:rPr>
              <w:t>2022</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61"/>
        </w:trPr>
        <w:tc>
          <w:tcPr>
            <w:tcW w:w="4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Gross provision for credit losses on loan portfolio</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54,322</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(39,592)</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(15,725)</w:t>
            </w:r>
          </w:p>
        </w:tc>
        <w:tc>
          <w:tcPr>
            <w:tcW w:w="860" w:type="dxa"/>
            <w:vAlign w:val="bottom"/>
          </w:tcPr>
          <w:p>
            <w:pPr>
              <w:jc w:val="center"/>
              <w:spacing w:after="0"/>
              <w:rPr>
                <w:sz w:val="20"/>
                <w:szCs w:val="20"/>
                <w:color w:val="auto"/>
              </w:rPr>
            </w:pPr>
            <w:r>
              <w:rPr>
                <w:rFonts w:ascii="Arial" w:cs="Arial" w:eastAsia="Arial" w:hAnsi="Arial"/>
                <w:sz w:val="13"/>
                <w:szCs w:val="13"/>
                <w:color w:val="auto"/>
              </w:rPr>
              <w:t>-60.3%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-172.9%</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61,311</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(58,014)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-194.6%</w:t>
            </w:r>
          </w:p>
        </w:tc>
      </w:tr>
      <w:tr>
        <w:trPr>
          <w:trHeight w:val="174"/>
        </w:trPr>
        <w:tc>
          <w:tcPr>
            <w:tcW w:w="4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Recoveries of written-off loans</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auto"/>
            </w:tcBorders>
          </w:tcPr>
          <w:p>
            <w:pPr>
              <w:jc w:val="right"/>
              <w:ind w:right="35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r>
      <w:tr>
        <w:trPr>
          <w:trHeight w:val="161"/>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Provision for credit losses on loan portfolio, net of recoveries</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54,322</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(39,592)</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(15,725)</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-60.3%</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-128.9%</w:t>
            </w: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61,311</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(58,014)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-194.6%</w:t>
            </w:r>
          </w:p>
        </w:tc>
      </w:tr>
      <w:tr>
        <w:trPr>
          <w:trHeight w:val="144"/>
        </w:trPr>
        <w:tc>
          <w:tcPr>
            <w:tcW w:w="402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0"/>
                <w:szCs w:val="10"/>
                <w:color w:val="auto"/>
              </w:rPr>
              <w:t xml:space="preserve">GP Cost of risk </w:t>
            </w:r>
            <w:r>
              <w:rPr>
                <w:rFonts w:ascii="Arial" w:cs="Arial" w:eastAsia="Arial" w:hAnsi="Arial"/>
                <w:sz w:val="16"/>
                <w:szCs w:val="16"/>
                <w:color w:val="auto"/>
                <w:vertAlign w:val="superscript"/>
              </w:rPr>
              <w:t>(1)</w:t>
            </w:r>
          </w:p>
        </w:tc>
        <w:tc>
          <w:tcPr>
            <w:tcW w:w="980" w:type="dxa"/>
            <w:vAlign w:val="bottom"/>
            <w:tcBorders>
              <w:bottom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-1.17%</w:t>
            </w:r>
          </w:p>
        </w:tc>
        <w:tc>
          <w:tcPr>
            <w:tcW w:w="940" w:type="dxa"/>
            <w:vAlign w:val="bottom"/>
            <w:tcBorders>
              <w:bottom w:val="single" w:sz="8" w:color="auto"/>
            </w:tcBorders>
          </w:tcPr>
          <w:p>
            <w:pPr>
              <w:jc w:val="right"/>
              <w:ind w:right="93"/>
              <w:spacing w:after="0" w:line="144" w:lineRule="exact"/>
              <w:rPr>
                <w:sz w:val="20"/>
                <w:szCs w:val="20"/>
                <w:color w:val="auto"/>
              </w:rPr>
            </w:pPr>
            <w:r>
              <w:rPr>
                <w:rFonts w:ascii="Arial" w:cs="Arial" w:eastAsia="Arial" w:hAnsi="Arial"/>
                <w:sz w:val="13"/>
                <w:szCs w:val="13"/>
                <w:color w:val="auto"/>
              </w:rPr>
              <w:t>1.30%</w:t>
            </w:r>
          </w:p>
        </w:tc>
        <w:tc>
          <w:tcPr>
            <w:tcW w:w="78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0.66%</w:t>
            </w:r>
          </w:p>
        </w:tc>
        <w:tc>
          <w:tcPr>
            <w:tcW w:w="86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color w:val="auto"/>
              </w:rPr>
              <w:t>-64 bps</w:t>
            </w:r>
          </w:p>
        </w:tc>
        <w:tc>
          <w:tcPr>
            <w:tcW w:w="94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183 bps</w:t>
            </w:r>
          </w:p>
        </w:tc>
        <w:tc>
          <w:tcPr>
            <w:tcW w:w="1120" w:type="dxa"/>
            <w:vAlign w:val="bottom"/>
            <w:tcBorders>
              <w:bottom w:val="single" w:sz="8" w:color="auto"/>
            </w:tcBorders>
          </w:tcPr>
          <w:p>
            <w:pPr>
              <w:jc w:val="right"/>
              <w:ind w:right="153"/>
              <w:spacing w:after="0" w:line="144" w:lineRule="exact"/>
              <w:rPr>
                <w:sz w:val="20"/>
                <w:szCs w:val="20"/>
                <w:color w:val="auto"/>
              </w:rPr>
            </w:pPr>
            <w:r>
              <w:rPr>
                <w:rFonts w:ascii="Arial" w:cs="Arial" w:eastAsia="Arial" w:hAnsi="Arial"/>
                <w:sz w:val="13"/>
                <w:szCs w:val="13"/>
                <w:color w:val="auto"/>
              </w:rPr>
              <w:t>-0.33%</w:t>
            </w:r>
          </w:p>
        </w:tc>
        <w:tc>
          <w:tcPr>
            <w:tcW w:w="72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0.61%</w:t>
            </w:r>
          </w:p>
        </w:tc>
        <w:tc>
          <w:tcPr>
            <w:tcW w:w="9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94 bps</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2"/>
          <w:szCs w:val="12"/>
          <w:color w:val="auto"/>
        </w:rPr>
        <w:t>(1) The GP Cost of risk includes the Provisions for credit losses on loan portfolio, net of recoveries and Total Loans from the Reactiva Peru and FAE Government Programs.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GP provisions fell significantly </w:t>
      </w:r>
      <w:r>
        <w:rPr>
          <w:rFonts w:ascii="Arial" w:cs="Arial" w:eastAsia="Arial" w:hAnsi="Arial"/>
          <w:sz w:val="17"/>
          <w:szCs w:val="17"/>
          <w:b w:val="1"/>
          <w:bCs w:val="1"/>
          <w:color w:val="auto"/>
        </w:rPr>
        <w:t>QoQ</w:t>
      </w:r>
      <w:r>
        <w:rPr>
          <w:rFonts w:ascii="Arial" w:cs="Arial" w:eastAsia="Arial" w:hAnsi="Arial"/>
          <w:sz w:val="17"/>
          <w:szCs w:val="17"/>
          <w:color w:val="auto"/>
        </w:rPr>
        <w:t xml:space="preserve"> due to an upturn in honoring processes to execute State guarantees. </w:t>
      </w:r>
      <w:r>
        <w:rPr>
          <w:rFonts w:ascii="Arial" w:cs="Arial" w:eastAsia="Arial" w:hAnsi="Arial"/>
          <w:sz w:val="17"/>
          <w:szCs w:val="17"/>
          <w:b w:val="1"/>
          <w:bCs w:val="1"/>
          <w:color w:val="auto"/>
        </w:rPr>
        <w:t>YoY</w:t>
      </w:r>
      <w:r>
        <w:rPr>
          <w:rFonts w:ascii="Arial" w:cs="Arial" w:eastAsia="Arial" w:hAnsi="Arial"/>
          <w:sz w:val="17"/>
          <w:szCs w:val="17"/>
          <w:color w:val="auto"/>
        </w:rPr>
        <w:t>, the growth in provisions reflects a deterioration in payment behavior after grace periods for reprograming expired.</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provisions balance for GP represents 1.8% of the total provisions balance at Credicorp. The GP balance is quite small, which reflects the broad coverage offered by State guarantees, which cover between 80% and 98% of the disbursement amount. For more information, see 1.2 Portfolio Quality-NPL loans in the Government Program Portfolio.</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and CoR of Total Portfolio</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40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Loan Portfolio Provisions</w:t>
            </w:r>
          </w:p>
        </w:tc>
        <w:tc>
          <w:tcPr>
            <w:tcW w:w="980" w:type="dxa"/>
            <w:vAlign w:val="bottom"/>
            <w:tcBorders>
              <w:top w:val="single" w:sz="8" w:color="auto"/>
            </w:tcBorders>
            <w:shd w:val="clear" w:color="auto" w:fill="2AD2C9"/>
          </w:tcPr>
          <w:p>
            <w:pPr>
              <w:spacing w:after="0"/>
              <w:rPr>
                <w:sz w:val="14"/>
                <w:szCs w:val="14"/>
                <w:color w:val="auto"/>
              </w:rPr>
            </w:pPr>
          </w:p>
        </w:tc>
        <w:tc>
          <w:tcPr>
            <w:tcW w:w="940" w:type="dxa"/>
            <w:vAlign w:val="bottom"/>
            <w:tcBorders>
              <w:top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Quarter</w:t>
            </w:r>
          </w:p>
        </w:tc>
        <w:tc>
          <w:tcPr>
            <w:tcW w:w="780" w:type="dxa"/>
            <w:vAlign w:val="bottom"/>
            <w:tcBorders>
              <w:top w:val="single" w:sz="8" w:color="auto"/>
              <w:right w:val="single" w:sz="8" w:color="auto"/>
            </w:tcBorders>
            <w:shd w:val="clear" w:color="auto" w:fill="2AD2C9"/>
          </w:tcPr>
          <w:p>
            <w:pPr>
              <w:spacing w:after="0"/>
              <w:rPr>
                <w:sz w:val="14"/>
                <w:szCs w:val="14"/>
                <w:color w:val="auto"/>
              </w:rPr>
            </w:pPr>
          </w:p>
        </w:tc>
        <w:tc>
          <w:tcPr>
            <w:tcW w:w="180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3"/>
                <w:szCs w:val="13"/>
                <w:b w:val="1"/>
                <w:bCs w:val="1"/>
                <w:color w:val="FFFFFF"/>
              </w:rPr>
              <w:t>% change</w:t>
            </w:r>
          </w:p>
        </w:tc>
        <w:tc>
          <w:tcPr>
            <w:tcW w:w="104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Year</w:t>
            </w:r>
          </w:p>
        </w:tc>
        <w:tc>
          <w:tcPr>
            <w:tcW w:w="740" w:type="dxa"/>
            <w:vAlign w:val="bottom"/>
            <w:tcBorders>
              <w:top w:val="single" w:sz="8" w:color="auto"/>
              <w:right w:val="single" w:sz="8" w:color="auto"/>
            </w:tcBorders>
            <w:shd w:val="clear" w:color="auto" w:fill="2AD2C9"/>
          </w:tcPr>
          <w:p>
            <w:pPr>
              <w:spacing w:after="0"/>
              <w:rPr>
                <w:sz w:val="14"/>
                <w:szCs w:val="14"/>
                <w:color w:val="auto"/>
              </w:rPr>
            </w:pPr>
          </w:p>
        </w:tc>
        <w:tc>
          <w:tcPr>
            <w:tcW w:w="9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64"/>
        </w:trPr>
        <w:tc>
          <w:tcPr>
            <w:tcW w:w="4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000</w:t>
            </w:r>
          </w:p>
        </w:tc>
        <w:tc>
          <w:tcPr>
            <w:tcW w:w="980" w:type="dxa"/>
            <w:vAlign w:val="bottom"/>
            <w:tcBorders>
              <w:bottom w:val="single" w:sz="8" w:color="auto"/>
            </w:tcBorders>
            <w:shd w:val="clear" w:color="auto" w:fill="2AD2C9"/>
          </w:tcPr>
          <w:p>
            <w:pPr>
              <w:jc w:val="right"/>
              <w:ind w:right="313"/>
              <w:spacing w:after="0"/>
              <w:rPr>
                <w:sz w:val="20"/>
                <w:szCs w:val="20"/>
                <w:color w:val="auto"/>
              </w:rPr>
            </w:pPr>
            <w:r>
              <w:rPr>
                <w:rFonts w:ascii="Arial" w:cs="Arial" w:eastAsia="Arial" w:hAnsi="Arial"/>
                <w:sz w:val="13"/>
                <w:szCs w:val="13"/>
                <w:b w:val="1"/>
                <w:bCs w:val="1"/>
                <w:color w:val="FFFFFF"/>
              </w:rPr>
              <w:t>4Q21</w:t>
            </w:r>
          </w:p>
        </w:tc>
        <w:tc>
          <w:tcPr>
            <w:tcW w:w="940" w:type="dxa"/>
            <w:vAlign w:val="bottom"/>
            <w:tcBorders>
              <w:bottom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3Q22</w:t>
            </w:r>
          </w:p>
        </w:tc>
        <w:tc>
          <w:tcPr>
            <w:tcW w:w="780" w:type="dxa"/>
            <w:vAlign w:val="bottom"/>
            <w:tcBorders>
              <w:bottom w:val="single" w:sz="8" w:color="auto"/>
              <w:right w:val="single" w:sz="8" w:color="auto"/>
            </w:tcBorders>
            <w:shd w:val="clear" w:color="auto" w:fill="2AD2C9"/>
          </w:tcPr>
          <w:p>
            <w:pPr>
              <w:jc w:val="right"/>
              <w:ind w:right="233"/>
              <w:spacing w:after="0"/>
              <w:rPr>
                <w:sz w:val="20"/>
                <w:szCs w:val="20"/>
                <w:color w:val="auto"/>
              </w:rPr>
            </w:pPr>
            <w:r>
              <w:rPr>
                <w:rFonts w:ascii="Arial" w:cs="Arial" w:eastAsia="Arial" w:hAnsi="Arial"/>
                <w:sz w:val="13"/>
                <w:szCs w:val="13"/>
                <w:b w:val="1"/>
                <w:bCs w:val="1"/>
                <w:color w:val="FFFFFF"/>
              </w:rPr>
              <w:t>4Q22</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9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YoY</w:t>
            </w:r>
          </w:p>
        </w:tc>
        <w:tc>
          <w:tcPr>
            <w:tcW w:w="1040" w:type="dxa"/>
            <w:vAlign w:val="bottom"/>
            <w:tcBorders>
              <w:bottom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2021</w:t>
            </w:r>
          </w:p>
        </w:tc>
        <w:tc>
          <w:tcPr>
            <w:tcW w:w="740" w:type="dxa"/>
            <w:vAlign w:val="bottom"/>
            <w:tcBorders>
              <w:bottom w:val="single" w:sz="8" w:color="auto"/>
              <w:right w:val="single" w:sz="8" w:color="auto"/>
            </w:tcBorders>
            <w:shd w:val="clear" w:color="auto" w:fill="2AD2C9"/>
          </w:tcPr>
          <w:p>
            <w:pPr>
              <w:jc w:val="right"/>
              <w:ind w:right="253"/>
              <w:spacing w:after="0"/>
              <w:rPr>
                <w:sz w:val="20"/>
                <w:szCs w:val="20"/>
                <w:color w:val="auto"/>
              </w:rPr>
            </w:pPr>
            <w:r>
              <w:rPr>
                <w:rFonts w:ascii="Arial" w:cs="Arial" w:eastAsia="Arial" w:hAnsi="Arial"/>
                <w:sz w:val="13"/>
                <w:szCs w:val="13"/>
                <w:b w:val="1"/>
                <w:bCs w:val="1"/>
                <w:color w:val="FFFFFF"/>
              </w:rPr>
              <w:t>2022</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36"/>
        </w:trPr>
        <w:tc>
          <w:tcPr>
            <w:tcW w:w="408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color w:val="auto"/>
              </w:rPr>
              <w:t>Gross provision for credit losses on loan portfolio</w:t>
            </w:r>
          </w:p>
        </w:tc>
        <w:tc>
          <w:tcPr>
            <w:tcW w:w="9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(229,804)</w:t>
            </w:r>
          </w:p>
        </w:tc>
        <w:tc>
          <w:tcPr>
            <w:tcW w:w="940" w:type="dxa"/>
            <w:vAlign w:val="bottom"/>
          </w:tcPr>
          <w:p>
            <w:pPr>
              <w:jc w:val="right"/>
              <w:ind w:right="73"/>
              <w:spacing w:after="0" w:line="136" w:lineRule="exact"/>
              <w:rPr>
                <w:sz w:val="20"/>
                <w:szCs w:val="20"/>
                <w:color w:val="auto"/>
              </w:rPr>
            </w:pPr>
            <w:r>
              <w:rPr>
                <w:rFonts w:ascii="Arial" w:cs="Arial" w:eastAsia="Arial" w:hAnsi="Arial"/>
                <w:sz w:val="13"/>
                <w:szCs w:val="13"/>
                <w:color w:val="auto"/>
              </w:rPr>
              <w:t>(545,249)</w:t>
            </w:r>
          </w:p>
        </w:tc>
        <w:tc>
          <w:tcPr>
            <w:tcW w:w="78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(815,589)</w:t>
            </w:r>
          </w:p>
        </w:tc>
        <w:tc>
          <w:tcPr>
            <w:tcW w:w="860" w:type="dxa"/>
            <w:vAlign w:val="bottom"/>
          </w:tcPr>
          <w:p>
            <w:pPr>
              <w:jc w:val="center"/>
              <w:spacing w:after="0" w:line="136" w:lineRule="exact"/>
              <w:rPr>
                <w:sz w:val="20"/>
                <w:szCs w:val="20"/>
                <w:color w:val="auto"/>
              </w:rPr>
            </w:pPr>
            <w:r>
              <w:rPr>
                <w:rFonts w:ascii="Arial" w:cs="Arial" w:eastAsia="Arial" w:hAnsi="Arial"/>
                <w:sz w:val="13"/>
                <w:szCs w:val="13"/>
                <w:color w:val="auto"/>
              </w:rPr>
              <w:t>49.6%</w:t>
            </w:r>
          </w:p>
        </w:tc>
        <w:tc>
          <w:tcPr>
            <w:tcW w:w="9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254.9%</w:t>
            </w:r>
          </w:p>
        </w:tc>
        <w:tc>
          <w:tcPr>
            <w:tcW w:w="1040" w:type="dxa"/>
            <w:vAlign w:val="bottom"/>
          </w:tcPr>
          <w:p>
            <w:pPr>
              <w:jc w:val="right"/>
              <w:ind w:right="113"/>
              <w:spacing w:after="0" w:line="136" w:lineRule="exact"/>
              <w:rPr>
                <w:sz w:val="20"/>
                <w:szCs w:val="20"/>
                <w:color w:val="auto"/>
              </w:rPr>
            </w:pPr>
            <w:r>
              <w:rPr>
                <w:rFonts w:ascii="Arial" w:cs="Arial" w:eastAsia="Arial" w:hAnsi="Arial"/>
                <w:sz w:val="13"/>
                <w:szCs w:val="13"/>
                <w:color w:val="auto"/>
              </w:rPr>
              <w:t>(1,558,951)</w:t>
            </w:r>
          </w:p>
        </w:tc>
        <w:tc>
          <w:tcPr>
            <w:tcW w:w="74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(2,158,555)</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38.5%</w:t>
            </w:r>
          </w:p>
        </w:tc>
      </w:tr>
      <w:tr>
        <w:trPr>
          <w:trHeight w:val="149"/>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Recoveries of written-off loans</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103,022</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85,273</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84,908</w:t>
            </w:r>
          </w:p>
        </w:tc>
        <w:tc>
          <w:tcPr>
            <w:tcW w:w="860" w:type="dxa"/>
            <w:vAlign w:val="bottom"/>
          </w:tcPr>
          <w:p>
            <w:pPr>
              <w:jc w:val="center"/>
              <w:spacing w:after="0"/>
              <w:rPr>
                <w:sz w:val="20"/>
                <w:szCs w:val="20"/>
                <w:color w:val="auto"/>
              </w:rPr>
            </w:pPr>
            <w:r>
              <w:rPr>
                <w:rFonts w:ascii="Arial" w:cs="Arial" w:eastAsia="Arial" w:hAnsi="Arial"/>
                <w:sz w:val="13"/>
                <w:szCs w:val="13"/>
                <w:color w:val="auto"/>
              </w:rPr>
              <w:t>-0.4%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-17.6%</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346,728</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347,017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0.1%</w:t>
            </w:r>
          </w:p>
        </w:tc>
      </w:tr>
      <w:tr>
        <w:trPr>
          <w:trHeight w:val="17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Provision for credit losses on loan portfolio, net of recoveries</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(126,782)</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(459,976)</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(730,681)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58.9%</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476.3%</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(1,212,223)</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(1,811,538)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49.4%</w:t>
            </w:r>
          </w:p>
        </w:tc>
      </w:tr>
      <w:tr>
        <w:trPr>
          <w:trHeight w:val="144"/>
        </w:trPr>
        <w:tc>
          <w:tcPr>
            <w:tcW w:w="408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0"/>
                <w:szCs w:val="10"/>
                <w:color w:val="auto"/>
              </w:rPr>
              <w:t xml:space="preserve">Cost of risk </w:t>
            </w:r>
            <w:r>
              <w:rPr>
                <w:rFonts w:ascii="Arial" w:cs="Arial" w:eastAsia="Arial" w:hAnsi="Arial"/>
                <w:sz w:val="16"/>
                <w:szCs w:val="16"/>
                <w:color w:val="auto"/>
                <w:vertAlign w:val="superscript"/>
              </w:rPr>
              <w:t>(1)</w:t>
            </w:r>
          </w:p>
        </w:tc>
        <w:tc>
          <w:tcPr>
            <w:tcW w:w="980" w:type="dxa"/>
            <w:vAlign w:val="bottom"/>
            <w:tcBorders>
              <w:bottom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0.34%</w:t>
            </w:r>
          </w:p>
        </w:tc>
        <w:tc>
          <w:tcPr>
            <w:tcW w:w="940" w:type="dxa"/>
            <w:vAlign w:val="bottom"/>
            <w:tcBorders>
              <w:bottom w:val="single" w:sz="8" w:color="auto"/>
            </w:tcBorders>
          </w:tcPr>
          <w:p>
            <w:pPr>
              <w:jc w:val="right"/>
              <w:ind w:right="73"/>
              <w:spacing w:after="0" w:line="144" w:lineRule="exact"/>
              <w:rPr>
                <w:sz w:val="20"/>
                <w:szCs w:val="20"/>
                <w:color w:val="auto"/>
              </w:rPr>
            </w:pPr>
            <w:r>
              <w:rPr>
                <w:rFonts w:ascii="Arial" w:cs="Arial" w:eastAsia="Arial" w:hAnsi="Arial"/>
                <w:sz w:val="13"/>
                <w:szCs w:val="13"/>
                <w:color w:val="auto"/>
              </w:rPr>
              <w:t>1.22%</w:t>
            </w:r>
          </w:p>
        </w:tc>
        <w:tc>
          <w:tcPr>
            <w:tcW w:w="78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1.97%</w:t>
            </w:r>
          </w:p>
        </w:tc>
        <w:tc>
          <w:tcPr>
            <w:tcW w:w="86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color w:val="auto"/>
              </w:rPr>
              <w:t>75 bps</w:t>
            </w:r>
          </w:p>
        </w:tc>
        <w:tc>
          <w:tcPr>
            <w:tcW w:w="94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9"/>
              </w:rPr>
              <w:t>163 bps</w:t>
            </w:r>
          </w:p>
        </w:tc>
        <w:tc>
          <w:tcPr>
            <w:tcW w:w="1040" w:type="dxa"/>
            <w:vAlign w:val="bottom"/>
            <w:tcBorders>
              <w:bottom w:val="single" w:sz="8" w:color="auto"/>
            </w:tcBorders>
          </w:tcPr>
          <w:p>
            <w:pPr>
              <w:jc w:val="right"/>
              <w:ind w:right="113"/>
              <w:spacing w:after="0" w:line="144" w:lineRule="exact"/>
              <w:rPr>
                <w:sz w:val="20"/>
                <w:szCs w:val="20"/>
                <w:color w:val="auto"/>
              </w:rPr>
            </w:pPr>
            <w:r>
              <w:rPr>
                <w:rFonts w:ascii="Arial" w:cs="Arial" w:eastAsia="Arial" w:hAnsi="Arial"/>
                <w:sz w:val="13"/>
                <w:szCs w:val="13"/>
                <w:color w:val="auto"/>
              </w:rPr>
              <w:t>0.82%</w:t>
            </w:r>
          </w:p>
        </w:tc>
        <w:tc>
          <w:tcPr>
            <w:tcW w:w="74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1.22%</w:t>
            </w:r>
          </w:p>
        </w:tc>
        <w:tc>
          <w:tcPr>
            <w:tcW w:w="9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40 bps</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(1) Annualized Provision for credit losses on loan portfolio, net of recoveries / Total Loans.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CofR of the total portfolio, which is comprised of structural loans and government program loans (GP), reported growth of de 75pbs TaT, 163pbs y 40 AaA for the reasons described above.</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type w:val="continuous"/>
        </w:sectPr>
      </w:pPr>
    </w:p>
    <w:bookmarkStart w:id="31" w:name="page32"/>
    <w:bookmarkEnd w:id="31"/>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194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1845" cy="31940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05. Provisions</w:t>
      </w:r>
    </w:p>
    <w:p>
      <w:pPr>
        <w:spacing w:after="0" w:line="308" w:lineRule="exact"/>
        <w:rPr>
          <w:sz w:val="20"/>
          <w:szCs w:val="20"/>
          <w:color w:val="auto"/>
        </w:rPr>
      </w:pPr>
    </w:p>
    <w:p>
      <w:pPr>
        <w:ind w:left="1420"/>
        <w:spacing w:after="0"/>
        <w:tabs>
          <w:tab w:leader="none" w:pos="7140" w:val="left"/>
        </w:tabs>
        <w:rPr>
          <w:sz w:val="20"/>
          <w:szCs w:val="20"/>
          <w:color w:val="auto"/>
        </w:rPr>
      </w:pPr>
      <w:r>
        <w:rPr>
          <w:rFonts w:ascii="Arial" w:cs="Arial" w:eastAsia="Arial" w:hAnsi="Arial"/>
          <w:sz w:val="17"/>
          <w:szCs w:val="17"/>
          <w:b w:val="1"/>
          <w:bCs w:val="1"/>
          <w:color w:val="auto"/>
        </w:rPr>
        <w:t>QoQ Evolution of the Cost of Risk</w:t>
      </w:r>
      <w:r>
        <w:rPr>
          <w:sz w:val="20"/>
          <w:szCs w:val="20"/>
          <w:color w:val="auto"/>
        </w:rPr>
        <w:tab/>
      </w:r>
      <w:r>
        <w:rPr>
          <w:rFonts w:ascii="Arial" w:cs="Arial" w:eastAsia="Arial" w:hAnsi="Arial"/>
          <w:sz w:val="16"/>
          <w:szCs w:val="16"/>
          <w:b w:val="1"/>
          <w:bCs w:val="1"/>
          <w:color w:val="auto"/>
        </w:rPr>
        <w:t>YoY Evolution of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126365</wp:posOffset>
            </wp:positionV>
            <wp:extent cx="6822440" cy="13658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22440" cy="136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5700" w:val="left"/>
        </w:tabs>
        <w:rPr>
          <w:sz w:val="20"/>
          <w:szCs w:val="20"/>
          <w:color w:val="auto"/>
        </w:rPr>
      </w:pPr>
      <w:r>
        <w:rPr>
          <w:rFonts w:ascii="Arial" w:cs="Arial" w:eastAsia="Arial" w:hAnsi="Arial"/>
          <w:sz w:val="12"/>
          <w:szCs w:val="12"/>
          <w:color w:val="auto"/>
        </w:rPr>
        <w:t>(1) Others include BCP Bolivia, Mibanco Colombia, ASB Bank Corp and eliminations.</w:t>
      </w:r>
      <w:r>
        <w:rPr>
          <w:sz w:val="20"/>
          <w:szCs w:val="20"/>
          <w:color w:val="auto"/>
        </w:rPr>
        <w:tab/>
      </w:r>
      <w:r>
        <w:rPr>
          <w:rFonts w:ascii="Arial" w:cs="Arial" w:eastAsia="Arial" w:hAnsi="Arial"/>
          <w:sz w:val="11"/>
          <w:szCs w:val="11"/>
          <w:color w:val="auto"/>
        </w:rPr>
        <w:t>(1) Others include BCP Bolivia, Mibanco Colombia, ASB Bank Corp and eliminations.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Full Year Evolution of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126365</wp:posOffset>
            </wp:positionV>
            <wp:extent cx="3195320" cy="14300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95320" cy="143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40"/>
        <w:spacing w:after="0"/>
        <w:rPr>
          <w:sz w:val="20"/>
          <w:szCs w:val="20"/>
          <w:color w:val="auto"/>
        </w:rPr>
      </w:pPr>
      <w:r>
        <w:rPr>
          <w:rFonts w:ascii="Arial" w:cs="Arial" w:eastAsia="Arial" w:hAnsi="Arial"/>
          <w:sz w:val="12"/>
          <w:szCs w:val="12"/>
          <w:color w:val="auto"/>
        </w:rPr>
        <w:t>(1) Others include BCP Bolivia, Mibanco Colombia, ASB Bank Corp and eliminations.</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2" w:name="page33"/>
    <w:bookmarkEnd w:id="32"/>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328295</wp:posOffset>
            </wp:positionV>
            <wp:extent cx="7141845" cy="535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0" w:lineRule="exact"/>
        <w:rPr>
          <w:sz w:val="20"/>
          <w:szCs w:val="20"/>
          <w:color w:val="auto"/>
        </w:rPr>
      </w:pP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49"/>
          <w:szCs w:val="49"/>
          <w:b w:val="1"/>
          <w:bCs w:val="1"/>
          <w:color w:val="D52399"/>
        </w:rPr>
        <w:t>06</w:t>
      </w:r>
      <w:r>
        <w:rPr>
          <w:sz w:val="20"/>
          <w:szCs w:val="20"/>
          <w:color w:val="auto"/>
        </w:rPr>
        <w:tab/>
      </w:r>
      <w:r>
        <w:rPr>
          <w:rFonts w:ascii="Arial" w:cs="Arial" w:eastAsia="Arial" w:hAnsi="Arial"/>
          <w:sz w:val="30"/>
          <w:szCs w:val="30"/>
          <w:color w:val="D52399"/>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141845" cy="8070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1845" cy="807085"/>
                    </a:xfrm>
                    <a:prstGeom prst="rect">
                      <a:avLst/>
                    </a:prstGeom>
                    <a:noFill/>
                  </pic:spPr>
                </pic:pic>
              </a:graphicData>
            </a:graphic>
          </wp:anchor>
        </w:drawing>
      </w:r>
    </w:p>
    <w:p>
      <w:pPr>
        <w:spacing w:after="0" w:line="355" w:lineRule="exact"/>
        <w:rPr>
          <w:sz w:val="20"/>
          <w:szCs w:val="20"/>
          <w:color w:val="auto"/>
        </w:rPr>
      </w:pPr>
    </w:p>
    <w:p>
      <w:pPr>
        <w:jc w:val="both"/>
        <w:ind w:left="140" w:right="120"/>
        <w:spacing w:after="0" w:line="239" w:lineRule="auto"/>
        <w:rPr>
          <w:sz w:val="20"/>
          <w:szCs w:val="20"/>
          <w:color w:val="auto"/>
        </w:rPr>
      </w:pPr>
      <w:r>
        <w:rPr>
          <w:rFonts w:ascii="Arial" w:cs="Arial" w:eastAsia="Arial" w:hAnsi="Arial"/>
          <w:sz w:val="17"/>
          <w:szCs w:val="17"/>
          <w:color w:val="FFFFFF"/>
        </w:rPr>
        <w:t>Other core income fell 0.7% QoQ, driven primarily by a drop in Fee Income due to the elimination of fees for inter-city transfers; this was partially offset by an increase in Net gain of FX transactions. During FY22, the upward trend in this income component continued and situated at +7.0%, spurred by an uptick in fee income and gains on FX transactions. Other non-core income rose QoQ and YoY (46.3% and 45.5% respectively) due to positive variations in investment values and improvements in yields on funds at Credicorp and ASB. During FY22 a decrease was registered in gains on speculative derivatives and securities.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Other core income</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3280" w:type="dxa"/>
            <w:vAlign w:val="bottom"/>
            <w:tcBorders>
              <w:top w:val="single" w:sz="8" w:color="auto"/>
              <w:left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3"/>
                <w:szCs w:val="13"/>
                <w:b w:val="1"/>
                <w:bCs w:val="1"/>
                <w:color w:val="FFFFFF"/>
              </w:rPr>
              <w:t>Core Other Income</w:t>
            </w:r>
          </w:p>
        </w:tc>
        <w:tc>
          <w:tcPr>
            <w:tcW w:w="1120" w:type="dxa"/>
            <w:vAlign w:val="bottom"/>
            <w:tcBorders>
              <w:top w:val="single" w:sz="8" w:color="auto"/>
            </w:tcBorders>
            <w:shd w:val="clear" w:color="auto" w:fill="2AD2C9"/>
          </w:tcPr>
          <w:p>
            <w:pPr>
              <w:spacing w:after="0"/>
              <w:rPr>
                <w:sz w:val="15"/>
                <w:szCs w:val="15"/>
                <w:color w:val="auto"/>
              </w:rPr>
            </w:pPr>
          </w:p>
        </w:tc>
        <w:tc>
          <w:tcPr>
            <w:tcW w:w="1060" w:type="dxa"/>
            <w:vAlign w:val="bottom"/>
            <w:tcBorders>
              <w:top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5"/>
                <w:szCs w:val="15"/>
                <w:color w:val="auto"/>
              </w:rPr>
            </w:pPr>
          </w:p>
        </w:tc>
        <w:tc>
          <w:tcPr>
            <w:tcW w:w="1780" w:type="dxa"/>
            <w:vAlign w:val="bottom"/>
            <w:tcBorders>
              <w:top w:val="single" w:sz="8" w:color="auto"/>
              <w:right w:val="single" w:sz="8" w:color="auto"/>
            </w:tcBorders>
            <w:gridSpan w:val="2"/>
            <w:shd w:val="clear" w:color="auto" w:fill="2AD2C9"/>
          </w:tcPr>
          <w:p>
            <w:pPr>
              <w:jc w:val="right"/>
              <w:ind w:right="513"/>
              <w:spacing w:after="0"/>
              <w:rPr>
                <w:sz w:val="20"/>
                <w:szCs w:val="20"/>
                <w:color w:val="auto"/>
              </w:rPr>
            </w:pPr>
            <w:r>
              <w:rPr>
                <w:rFonts w:ascii="Arial" w:cs="Arial" w:eastAsia="Arial" w:hAnsi="Arial"/>
                <w:sz w:val="13"/>
                <w:szCs w:val="13"/>
                <w:b w:val="1"/>
                <w:bCs w:val="1"/>
                <w:color w:val="FFFFFF"/>
              </w:rPr>
              <w:t>% Change</w:t>
            </w:r>
          </w:p>
        </w:tc>
        <w:tc>
          <w:tcPr>
            <w:tcW w:w="122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800" w:type="dxa"/>
            <w:vAlign w:val="bottom"/>
            <w:tcBorders>
              <w:top w:val="single" w:sz="8" w:color="auto"/>
              <w:right w:val="single" w:sz="8" w:color="auto"/>
            </w:tcBorders>
            <w:shd w:val="clear" w:color="auto" w:fill="2AD2C9"/>
          </w:tcPr>
          <w:p>
            <w:pPr>
              <w:spacing w:after="0"/>
              <w:rPr>
                <w:sz w:val="15"/>
                <w:szCs w:val="15"/>
                <w:color w:val="auto"/>
              </w:rPr>
            </w:pPr>
          </w:p>
        </w:tc>
        <w:tc>
          <w:tcPr>
            <w:tcW w:w="1100" w:type="dxa"/>
            <w:vAlign w:val="bottom"/>
            <w:tcBorders>
              <w:top w:val="single" w:sz="8" w:color="auto"/>
              <w:right w:val="single" w:sz="8" w:color="auto"/>
            </w:tcBorders>
            <w:shd w:val="clear" w:color="auto" w:fill="2AD2C9"/>
          </w:tcPr>
          <w:p>
            <w:pPr>
              <w:jc w:val="right"/>
              <w:ind w:right="173"/>
              <w:spacing w:after="0"/>
              <w:rPr>
                <w:sz w:val="20"/>
                <w:szCs w:val="20"/>
                <w:color w:val="auto"/>
              </w:rPr>
            </w:pPr>
            <w:r>
              <w:rPr>
                <w:rFonts w:ascii="Arial" w:cs="Arial" w:eastAsia="Arial" w:hAnsi="Arial"/>
                <w:sz w:val="13"/>
                <w:szCs w:val="13"/>
                <w:b w:val="1"/>
                <w:bCs w:val="1"/>
                <w:color w:val="FFFFFF"/>
              </w:rPr>
              <w:t>% Change</w:t>
            </w:r>
          </w:p>
        </w:tc>
      </w:tr>
      <w:tr>
        <w:trPr>
          <w:trHeight w:val="156"/>
        </w:trPr>
        <w:tc>
          <w:tcPr>
            <w:tcW w:w="328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3"/>
                <w:szCs w:val="13"/>
                <w:b w:val="1"/>
                <w:bCs w:val="1"/>
                <w:color w:val="FFFFFF"/>
              </w:rPr>
              <w:t>(S/ 000)</w:t>
            </w:r>
          </w:p>
        </w:tc>
        <w:tc>
          <w:tcPr>
            <w:tcW w:w="1120" w:type="dxa"/>
            <w:vAlign w:val="bottom"/>
            <w:tcBorders>
              <w:bottom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4Q21</w:t>
            </w:r>
          </w:p>
        </w:tc>
        <w:tc>
          <w:tcPr>
            <w:tcW w:w="1060" w:type="dxa"/>
            <w:vAlign w:val="bottom"/>
            <w:tcBorders>
              <w:bottom w:val="single" w:sz="8" w:color="auto"/>
            </w:tcBorders>
            <w:shd w:val="clear" w:color="auto" w:fill="2AD2C9"/>
          </w:tcPr>
          <w:p>
            <w:pPr>
              <w:jc w:val="right"/>
              <w:ind w:right="433"/>
              <w:spacing w:after="0"/>
              <w:rPr>
                <w:sz w:val="20"/>
                <w:szCs w:val="20"/>
                <w:color w:val="auto"/>
              </w:rPr>
            </w:pPr>
            <w:r>
              <w:rPr>
                <w:rFonts w:ascii="Arial" w:cs="Arial" w:eastAsia="Arial" w:hAnsi="Arial"/>
                <w:sz w:val="13"/>
                <w:szCs w:val="13"/>
                <w:b w:val="1"/>
                <w:bCs w:val="1"/>
                <w:color w:val="FFFFFF"/>
              </w:rPr>
              <w:t>3Q22</w:t>
            </w:r>
          </w:p>
        </w:tc>
        <w:tc>
          <w:tcPr>
            <w:tcW w:w="880" w:type="dxa"/>
            <w:vAlign w:val="bottom"/>
            <w:tcBorders>
              <w:bottom w:val="single" w:sz="8" w:color="auto"/>
              <w:right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4Q22</w:t>
            </w:r>
          </w:p>
        </w:tc>
        <w:tc>
          <w:tcPr>
            <w:tcW w:w="940" w:type="dxa"/>
            <w:vAlign w:val="bottom"/>
            <w:tcBorders>
              <w:bottom w:val="single" w:sz="8" w:color="auto"/>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QoQ</w:t>
            </w:r>
          </w:p>
        </w:tc>
        <w:tc>
          <w:tcPr>
            <w:tcW w:w="840" w:type="dxa"/>
            <w:vAlign w:val="bottom"/>
            <w:tcBorders>
              <w:bottom w:val="single" w:sz="8" w:color="auto"/>
              <w:right w:val="single" w:sz="8" w:color="auto"/>
            </w:tcBorders>
            <w:shd w:val="clear" w:color="auto" w:fill="2AD2C9"/>
          </w:tcPr>
          <w:p>
            <w:pPr>
              <w:jc w:val="right"/>
              <w:ind w:right="253"/>
              <w:spacing w:after="0"/>
              <w:rPr>
                <w:sz w:val="20"/>
                <w:szCs w:val="20"/>
                <w:color w:val="auto"/>
              </w:rPr>
            </w:pPr>
            <w:r>
              <w:rPr>
                <w:rFonts w:ascii="Arial" w:cs="Arial" w:eastAsia="Arial" w:hAnsi="Arial"/>
                <w:sz w:val="13"/>
                <w:szCs w:val="13"/>
                <w:b w:val="1"/>
                <w:bCs w:val="1"/>
                <w:color w:val="FFFFFF"/>
              </w:rPr>
              <w:t>YoY</w:t>
            </w:r>
          </w:p>
        </w:tc>
        <w:tc>
          <w:tcPr>
            <w:tcW w:w="1220" w:type="dxa"/>
            <w:vAlign w:val="bottom"/>
            <w:tcBorders>
              <w:bottom w:val="single" w:sz="8" w:color="auto"/>
            </w:tcBorders>
            <w:shd w:val="clear" w:color="auto" w:fill="2AD2C9"/>
          </w:tcPr>
          <w:p>
            <w:pPr>
              <w:jc w:val="right"/>
              <w:ind w:right="433"/>
              <w:spacing w:after="0"/>
              <w:rPr>
                <w:sz w:val="20"/>
                <w:szCs w:val="20"/>
                <w:color w:val="auto"/>
              </w:rPr>
            </w:pPr>
            <w:r>
              <w:rPr>
                <w:rFonts w:ascii="Arial" w:cs="Arial" w:eastAsia="Arial" w:hAnsi="Arial"/>
                <w:sz w:val="13"/>
                <w:szCs w:val="13"/>
                <w:b w:val="1"/>
                <w:bCs w:val="1"/>
                <w:color w:val="FFFFFF"/>
              </w:rPr>
              <w:t>Dec 21</w:t>
            </w:r>
          </w:p>
        </w:tc>
        <w:tc>
          <w:tcPr>
            <w:tcW w:w="800" w:type="dxa"/>
            <w:vAlign w:val="bottom"/>
            <w:tcBorders>
              <w:bottom w:val="single" w:sz="8" w:color="auto"/>
              <w:right w:val="single" w:sz="8" w:color="auto"/>
            </w:tcBorders>
            <w:shd w:val="clear" w:color="auto" w:fill="2AD2C9"/>
          </w:tcPr>
          <w:p>
            <w:pPr>
              <w:jc w:val="right"/>
              <w:ind w:right="233"/>
              <w:spacing w:after="0"/>
              <w:rPr>
                <w:sz w:val="20"/>
                <w:szCs w:val="20"/>
                <w:color w:val="auto"/>
              </w:rPr>
            </w:pPr>
            <w:r>
              <w:rPr>
                <w:rFonts w:ascii="Arial" w:cs="Arial" w:eastAsia="Arial" w:hAnsi="Arial"/>
                <w:sz w:val="13"/>
                <w:szCs w:val="13"/>
                <w:b w:val="1"/>
                <w:bCs w:val="1"/>
                <w:color w:val="FFFFFF"/>
              </w:rPr>
              <w:t>Dec 22</w:t>
            </w:r>
          </w:p>
        </w:tc>
        <w:tc>
          <w:tcPr>
            <w:tcW w:w="1100" w:type="dxa"/>
            <w:vAlign w:val="bottom"/>
            <w:tcBorders>
              <w:bottom w:val="single" w:sz="8" w:color="auto"/>
              <w:right w:val="single" w:sz="8" w:color="auto"/>
            </w:tcBorders>
            <w:shd w:val="clear" w:color="auto" w:fill="2AD2C9"/>
          </w:tcPr>
          <w:p>
            <w:pPr>
              <w:jc w:val="right"/>
              <w:ind w:right="13"/>
              <w:spacing w:after="0"/>
              <w:rPr>
                <w:sz w:val="20"/>
                <w:szCs w:val="20"/>
                <w:color w:val="auto"/>
              </w:rPr>
            </w:pPr>
            <w:r>
              <w:rPr>
                <w:rFonts w:ascii="Arial" w:cs="Arial" w:eastAsia="Arial" w:hAnsi="Arial"/>
                <w:sz w:val="13"/>
                <w:szCs w:val="13"/>
                <w:b w:val="1"/>
                <w:bCs w:val="1"/>
                <w:color w:val="FFFFFF"/>
              </w:rPr>
              <w:t>Dec 22/ Dec 21</w:t>
            </w:r>
          </w:p>
        </w:tc>
      </w:tr>
      <w:tr>
        <w:trPr>
          <w:trHeight w:val="143"/>
        </w:trPr>
        <w:tc>
          <w:tcPr>
            <w:tcW w:w="3280" w:type="dxa"/>
            <w:vAlign w:val="bottom"/>
            <w:tcBorders>
              <w:left w:val="single" w:sz="8" w:color="auto"/>
              <w:right w:val="single" w:sz="8" w:color="auto"/>
            </w:tcBorders>
          </w:tcPr>
          <w:p>
            <w:pPr>
              <w:ind w:left="60"/>
              <w:spacing w:after="0" w:line="144" w:lineRule="exact"/>
              <w:rPr>
                <w:sz w:val="20"/>
                <w:szCs w:val="20"/>
                <w:color w:val="auto"/>
              </w:rPr>
            </w:pPr>
            <w:r>
              <w:rPr>
                <w:rFonts w:ascii="Arial" w:cs="Arial" w:eastAsia="Arial" w:hAnsi="Arial"/>
                <w:sz w:val="13"/>
                <w:szCs w:val="13"/>
                <w:color w:val="auto"/>
              </w:rPr>
              <w:t>Fee income</w:t>
            </w:r>
          </w:p>
        </w:tc>
        <w:tc>
          <w:tcPr>
            <w:tcW w:w="1120" w:type="dxa"/>
            <w:vAlign w:val="bottom"/>
          </w:tcPr>
          <w:p>
            <w:pPr>
              <w:jc w:val="right"/>
              <w:ind w:right="73"/>
              <w:spacing w:after="0" w:line="144" w:lineRule="exact"/>
              <w:rPr>
                <w:sz w:val="20"/>
                <w:szCs w:val="20"/>
                <w:color w:val="auto"/>
              </w:rPr>
            </w:pPr>
            <w:r>
              <w:rPr>
                <w:rFonts w:ascii="Arial" w:cs="Arial" w:eastAsia="Arial" w:hAnsi="Arial"/>
                <w:sz w:val="13"/>
                <w:szCs w:val="13"/>
                <w:color w:val="auto"/>
              </w:rPr>
              <w:t>924,161</w:t>
            </w:r>
          </w:p>
        </w:tc>
        <w:tc>
          <w:tcPr>
            <w:tcW w:w="1060" w:type="dxa"/>
            <w:vAlign w:val="bottom"/>
          </w:tcPr>
          <w:p>
            <w:pPr>
              <w:jc w:val="right"/>
              <w:ind w:right="113"/>
              <w:spacing w:after="0" w:line="144" w:lineRule="exact"/>
              <w:rPr>
                <w:sz w:val="20"/>
                <w:szCs w:val="20"/>
                <w:color w:val="auto"/>
              </w:rPr>
            </w:pPr>
            <w:r>
              <w:rPr>
                <w:rFonts w:ascii="Arial" w:cs="Arial" w:eastAsia="Arial" w:hAnsi="Arial"/>
                <w:sz w:val="13"/>
                <w:szCs w:val="13"/>
                <w:color w:val="auto"/>
              </w:rPr>
              <w:t>934,244</w:t>
            </w:r>
          </w:p>
        </w:tc>
        <w:tc>
          <w:tcPr>
            <w:tcW w:w="88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894,552</w:t>
            </w:r>
          </w:p>
        </w:tc>
        <w:tc>
          <w:tcPr>
            <w:tcW w:w="940" w:type="dxa"/>
            <w:vAlign w:val="bottom"/>
          </w:tcPr>
          <w:p>
            <w:pPr>
              <w:jc w:val="right"/>
              <w:ind w:right="193"/>
              <w:spacing w:after="0" w:line="144" w:lineRule="exact"/>
              <w:rPr>
                <w:sz w:val="20"/>
                <w:szCs w:val="20"/>
                <w:color w:val="auto"/>
              </w:rPr>
            </w:pPr>
            <w:r>
              <w:rPr>
                <w:rFonts w:ascii="Arial" w:cs="Arial" w:eastAsia="Arial" w:hAnsi="Arial"/>
                <w:sz w:val="13"/>
                <w:szCs w:val="13"/>
                <w:color w:val="auto"/>
              </w:rPr>
              <w:t>-4.2%</w:t>
            </w:r>
          </w:p>
        </w:tc>
        <w:tc>
          <w:tcPr>
            <w:tcW w:w="840" w:type="dxa"/>
            <w:vAlign w:val="bottom"/>
            <w:tcBorders>
              <w:right w:val="single" w:sz="8" w:color="auto"/>
            </w:tcBorders>
          </w:tcPr>
          <w:p>
            <w:pPr>
              <w:jc w:val="right"/>
              <w:ind w:right="153"/>
              <w:spacing w:after="0" w:line="144" w:lineRule="exact"/>
              <w:rPr>
                <w:sz w:val="20"/>
                <w:szCs w:val="20"/>
                <w:color w:val="auto"/>
              </w:rPr>
            </w:pPr>
            <w:r>
              <w:rPr>
                <w:rFonts w:ascii="Arial" w:cs="Arial" w:eastAsia="Arial" w:hAnsi="Arial"/>
                <w:sz w:val="13"/>
                <w:szCs w:val="13"/>
                <w:color w:val="auto"/>
              </w:rPr>
              <w:t>-3.2%</w:t>
            </w:r>
          </w:p>
        </w:tc>
        <w:tc>
          <w:tcPr>
            <w:tcW w:w="1220" w:type="dxa"/>
            <w:vAlign w:val="bottom"/>
          </w:tcPr>
          <w:p>
            <w:pPr>
              <w:jc w:val="right"/>
              <w:ind w:right="193"/>
              <w:spacing w:after="0" w:line="144" w:lineRule="exact"/>
              <w:rPr>
                <w:sz w:val="20"/>
                <w:szCs w:val="20"/>
                <w:color w:val="auto"/>
              </w:rPr>
            </w:pPr>
            <w:r>
              <w:rPr>
                <w:rFonts w:ascii="Arial" w:cs="Arial" w:eastAsia="Arial" w:hAnsi="Arial"/>
                <w:sz w:val="13"/>
                <w:szCs w:val="13"/>
                <w:color w:val="auto"/>
              </w:rPr>
              <w:t>3,493,734</w:t>
            </w:r>
          </w:p>
        </w:tc>
        <w:tc>
          <w:tcPr>
            <w:tcW w:w="80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3,640,319</w:t>
            </w:r>
          </w:p>
        </w:tc>
        <w:tc>
          <w:tcPr>
            <w:tcW w:w="1100" w:type="dxa"/>
            <w:vAlign w:val="bottom"/>
            <w:tcBorders>
              <w:right w:val="single" w:sz="8" w:color="auto"/>
            </w:tcBorders>
          </w:tcPr>
          <w:p>
            <w:pPr>
              <w:jc w:val="right"/>
              <w:ind w:right="253"/>
              <w:spacing w:after="0" w:line="144" w:lineRule="exact"/>
              <w:rPr>
                <w:sz w:val="20"/>
                <w:szCs w:val="20"/>
                <w:color w:val="auto"/>
              </w:rPr>
            </w:pPr>
            <w:r>
              <w:rPr>
                <w:rFonts w:ascii="Arial" w:cs="Arial" w:eastAsia="Arial" w:hAnsi="Arial"/>
                <w:sz w:val="13"/>
                <w:szCs w:val="13"/>
                <w:color w:val="auto"/>
              </w:rPr>
              <w:t>4.2%</w:t>
            </w:r>
          </w:p>
        </w:tc>
      </w:tr>
      <w:tr>
        <w:trPr>
          <w:trHeight w:val="164"/>
        </w:trPr>
        <w:tc>
          <w:tcPr>
            <w:tcW w:w="3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 gain on foreign exchange transactions</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263,017</w:t>
            </w: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262,167</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293,215</w:t>
            </w: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11.8%</w:t>
            </w:r>
          </w:p>
        </w:tc>
        <w:tc>
          <w:tcPr>
            <w:tcW w:w="84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3"/>
                <w:szCs w:val="13"/>
                <w:color w:val="auto"/>
              </w:rPr>
              <w:t>11.5%</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922,917</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1,084,151</w:t>
            </w:r>
          </w:p>
        </w:tc>
        <w:tc>
          <w:tcPr>
            <w:tcW w:w="110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3"/>
                <w:szCs w:val="13"/>
                <w:color w:val="auto"/>
              </w:rPr>
              <w:t>17.5%</w:t>
            </w:r>
          </w:p>
        </w:tc>
      </w:tr>
      <w:tr>
        <w:trPr>
          <w:trHeight w:val="156"/>
        </w:trPr>
        <w:tc>
          <w:tcPr>
            <w:tcW w:w="3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Total other income Core</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1,187,178</w:t>
            </w: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1,196,411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1,187,767</w:t>
            </w: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-0.7%</w:t>
            </w:r>
          </w:p>
        </w:tc>
        <w:tc>
          <w:tcPr>
            <w:tcW w:w="840" w:type="dxa"/>
            <w:vAlign w:val="bottom"/>
            <w:tcBorders>
              <w:bottom w:val="single" w:sz="8" w:color="auto"/>
              <w:right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0.0%</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4,416,651</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4,724,470</w:t>
            </w:r>
          </w:p>
        </w:tc>
        <w:tc>
          <w:tcPr>
            <w:tcW w:w="110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7.0%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QoQ, </w:t>
      </w:r>
      <w:r>
        <w:rPr>
          <w:rFonts w:ascii="Arial" w:cs="Arial" w:eastAsia="Arial" w:hAnsi="Arial"/>
          <w:sz w:val="17"/>
          <w:szCs w:val="17"/>
          <w:color w:val="auto"/>
        </w:rPr>
        <w:t>other core income fell in line with a drop in fee income. This evolution was attributable to:</w:t>
      </w:r>
    </w:p>
    <w:p>
      <w:pPr>
        <w:spacing w:after="0" w:line="182" w:lineRule="exact"/>
        <w:rPr>
          <w:sz w:val="20"/>
          <w:szCs w:val="20"/>
          <w:color w:val="auto"/>
        </w:rPr>
      </w:pPr>
    </w:p>
    <w:p>
      <w:pPr>
        <w:ind w:left="620" w:hanging="28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Universal Banking</w:t>
      </w:r>
      <w:r>
        <w:rPr>
          <w:rFonts w:ascii="Arial" w:cs="Arial" w:eastAsia="Arial" w:hAnsi="Arial"/>
          <w:sz w:val="17"/>
          <w:szCs w:val="17"/>
          <w:color w:val="auto"/>
        </w:rPr>
        <w:t>, whose variations will be explained in the Fee Income in the Banking Business section;</w:t>
      </w:r>
    </w:p>
    <w:p>
      <w:pPr>
        <w:spacing w:after="0" w:line="9" w:lineRule="exact"/>
        <w:rPr>
          <w:rFonts w:ascii="Arial" w:cs="Arial" w:eastAsia="Arial" w:hAnsi="Arial"/>
          <w:sz w:val="17"/>
          <w:szCs w:val="17"/>
          <w:color w:val="auto"/>
        </w:rPr>
      </w:pPr>
    </w:p>
    <w:p>
      <w:pPr>
        <w:ind w:left="620" w:hanging="280"/>
        <w:spacing w:after="0" w:line="231"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Insurance and Pensions</w:t>
      </w:r>
      <w:r>
        <w:rPr>
          <w:rFonts w:ascii="Arial" w:cs="Arial" w:eastAsia="Arial" w:hAnsi="Arial"/>
          <w:sz w:val="17"/>
          <w:szCs w:val="17"/>
          <w:color w:val="auto"/>
        </w:rPr>
        <w:t>, mainly reflecting funds outflows and a reduction in the main driver to the decrease; and</w:t>
      </w:r>
    </w:p>
    <w:p>
      <w:pPr>
        <w:ind w:left="620" w:hanging="280"/>
        <w:spacing w:after="0" w:line="244"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Investment Banking and Wealth Management, </w:t>
      </w:r>
      <w:r>
        <w:rPr>
          <w:rFonts w:ascii="Arial" w:cs="Arial" w:eastAsia="Arial" w:hAnsi="Arial"/>
          <w:sz w:val="17"/>
          <w:szCs w:val="17"/>
          <w:color w:val="auto"/>
        </w:rPr>
        <w:t>which reflects a reduction in fee income in the Asset Management business. This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was impacted by a drop in the capture level of capital for mutual funds in Peru due to market conditions.</w:t>
      </w:r>
    </w:p>
    <w:p>
      <w:pPr>
        <w:spacing w:after="0" w:line="153"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The drop in fee income was partially offset by an uptick in the Net gain on FX transactions after the Group successfully leveraged opportunities in a context marked by higher exchange rate volatility.</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YoY, </w:t>
      </w:r>
      <w:r>
        <w:rPr>
          <w:rFonts w:ascii="Arial" w:cs="Arial" w:eastAsia="Arial" w:hAnsi="Arial"/>
          <w:sz w:val="17"/>
          <w:szCs w:val="17"/>
          <w:color w:val="auto"/>
        </w:rPr>
        <w:t>there was no variation registered, The drop in fee income in Investment Banking and Wealth Management driven by a decrease in the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capture level in Peru’s mutual fund business was offset by an increase in the Net gain on FX transactions at BCP Stand-alone, which reflected exchange rate volatility in 4Q22, and in fee income.</w:t>
      </w:r>
    </w:p>
    <w:p>
      <w:pPr>
        <w:spacing w:after="0" w:line="15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During FY22, </w:t>
      </w:r>
      <w:r>
        <w:rPr>
          <w:rFonts w:ascii="Arial" w:cs="Arial" w:eastAsia="Arial" w:hAnsi="Arial"/>
          <w:sz w:val="17"/>
          <w:szCs w:val="17"/>
          <w:color w:val="auto"/>
        </w:rPr>
        <w:t>Other Core Income rose due to an increase in fee income and in the Net gain on FX transactions at BCP Stand-alone, which reflected an</w:t>
      </w:r>
      <w:r>
        <w:rPr>
          <w:rFonts w:ascii="Arial" w:cs="Arial" w:eastAsia="Arial" w:hAnsi="Arial"/>
          <w:sz w:val="17"/>
          <w:szCs w:val="17"/>
          <w:b w:val="1"/>
          <w:bCs w:val="1"/>
          <w:color w:val="auto"/>
        </w:rPr>
        <w:t xml:space="preserve"> </w:t>
      </w:r>
      <w:r>
        <w:rPr>
          <w:rFonts w:ascii="Arial" w:cs="Arial" w:eastAsia="Arial" w:hAnsi="Arial"/>
          <w:sz w:val="17"/>
          <w:szCs w:val="17"/>
          <w:color w:val="auto"/>
        </w:rPr>
        <w:t>uptick in transactions and in exchange rate volatility respectively. The aforementioned growth was partially offset by a drop in fee income in Investment Banking and Wealth Management, which was associated with the fact that extraordinary fees were charged for trading and up-fronts for third-party funds through international platforms during a particularly tumultuous electoral cycle.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income by banking business</w:t>
      </w:r>
    </w:p>
    <w:p>
      <w:pPr>
        <w:spacing w:after="0" w:line="188"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Composition of fee income by banking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6350</wp:posOffset>
            </wp:positionV>
            <wp:extent cx="6782435" cy="131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82435" cy="1310005"/>
                    </a:xfrm>
                    <a:prstGeom prst="rect">
                      <a:avLst/>
                    </a:prstGeom>
                    <a:noFill/>
                  </pic:spPr>
                </pic:pic>
              </a:graphicData>
            </a:graphic>
          </wp:anchor>
        </w:drawing>
      </w:r>
    </w:p>
    <w:p>
      <w:pPr>
        <w:spacing w:after="0" w:line="17"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20" w:type="dxa"/>
            <w:vAlign w:val="bottom"/>
            <w:shd w:val="clear" w:color="auto" w:fill="2AD2C9"/>
          </w:tcPr>
          <w:p>
            <w:pPr>
              <w:ind w:left="40"/>
              <w:spacing w:after="0"/>
              <w:rPr>
                <w:sz w:val="20"/>
                <w:szCs w:val="20"/>
                <w:color w:val="auto"/>
              </w:rPr>
            </w:pPr>
            <w:r>
              <w:rPr>
                <w:rFonts w:ascii="Arial" w:cs="Arial" w:eastAsia="Arial" w:hAnsi="Arial"/>
                <w:sz w:val="13"/>
                <w:szCs w:val="13"/>
                <w:b w:val="1"/>
                <w:bCs w:val="1"/>
                <w:color w:val="FFFFFF"/>
              </w:rPr>
              <w:t>Banking Business Fees</w:t>
            </w:r>
          </w:p>
        </w:tc>
        <w:tc>
          <w:tcPr>
            <w:tcW w:w="960" w:type="dxa"/>
            <w:vAlign w:val="bottom"/>
            <w:shd w:val="clear" w:color="auto" w:fill="2AD2C9"/>
          </w:tcPr>
          <w:p>
            <w:pPr>
              <w:spacing w:after="0"/>
              <w:rPr>
                <w:sz w:val="12"/>
                <w:szCs w:val="12"/>
                <w:color w:val="auto"/>
              </w:rPr>
            </w:pPr>
          </w:p>
        </w:tc>
        <w:tc>
          <w:tcPr>
            <w:tcW w:w="920" w:type="dxa"/>
            <w:vAlign w:val="bottom"/>
            <w:shd w:val="clear" w:color="auto" w:fill="2AD2C9"/>
          </w:tcPr>
          <w:p>
            <w:pPr>
              <w:jc w:val="right"/>
              <w:ind w:right="253"/>
              <w:spacing w:after="0"/>
              <w:rPr>
                <w:sz w:val="20"/>
                <w:szCs w:val="20"/>
                <w:color w:val="auto"/>
              </w:rPr>
            </w:pPr>
            <w:r>
              <w:rPr>
                <w:rFonts w:ascii="Arial" w:cs="Arial" w:eastAsia="Arial" w:hAnsi="Arial"/>
                <w:sz w:val="13"/>
                <w:szCs w:val="13"/>
                <w:b w:val="1"/>
                <w:bCs w:val="1"/>
                <w:color w:val="FFFFFF"/>
              </w:rPr>
              <w:t>Quarter</w:t>
            </w:r>
          </w:p>
        </w:tc>
        <w:tc>
          <w:tcPr>
            <w:tcW w:w="880" w:type="dxa"/>
            <w:vAlign w:val="bottom"/>
            <w:shd w:val="clear" w:color="auto" w:fill="2AD2C9"/>
          </w:tcPr>
          <w:p>
            <w:pPr>
              <w:spacing w:after="0"/>
              <w:rPr>
                <w:sz w:val="12"/>
                <w:szCs w:val="12"/>
                <w:color w:val="auto"/>
              </w:rPr>
            </w:pPr>
          </w:p>
        </w:tc>
        <w:tc>
          <w:tcPr>
            <w:tcW w:w="1860" w:type="dxa"/>
            <w:vAlign w:val="bottom"/>
            <w:gridSpan w:val="2"/>
            <w:shd w:val="clear" w:color="auto" w:fill="2AD2C9"/>
          </w:tcPr>
          <w:p>
            <w:pPr>
              <w:jc w:val="right"/>
              <w:ind w:right="653"/>
              <w:spacing w:after="0"/>
              <w:rPr>
                <w:sz w:val="20"/>
                <w:szCs w:val="20"/>
                <w:color w:val="auto"/>
              </w:rPr>
            </w:pPr>
            <w:r>
              <w:rPr>
                <w:rFonts w:ascii="Arial" w:cs="Arial" w:eastAsia="Arial" w:hAnsi="Arial"/>
                <w:sz w:val="13"/>
                <w:szCs w:val="13"/>
                <w:b w:val="1"/>
                <w:bCs w:val="1"/>
                <w:color w:val="FFFFFF"/>
              </w:rPr>
              <w:t>% Change</w:t>
            </w:r>
          </w:p>
        </w:tc>
        <w:tc>
          <w:tcPr>
            <w:tcW w:w="980" w:type="dxa"/>
            <w:vAlign w:val="bottom"/>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720" w:type="dxa"/>
            <w:vAlign w:val="bottom"/>
            <w:shd w:val="clear" w:color="auto" w:fill="2AD2C9"/>
          </w:tcPr>
          <w:p>
            <w:pPr>
              <w:spacing w:after="0"/>
              <w:rPr>
                <w:sz w:val="12"/>
                <w:szCs w:val="12"/>
                <w:color w:val="auto"/>
              </w:rPr>
            </w:pPr>
          </w:p>
        </w:tc>
        <w:tc>
          <w:tcPr>
            <w:tcW w:w="1120" w:type="dxa"/>
            <w:vAlign w:val="bottom"/>
            <w:shd w:val="clear" w:color="auto" w:fill="2AD2C9"/>
          </w:tcPr>
          <w:p>
            <w:pPr>
              <w:jc w:val="right"/>
              <w:ind w:right="193"/>
              <w:spacing w:after="0"/>
              <w:rPr>
                <w:sz w:val="20"/>
                <w:szCs w:val="20"/>
                <w:color w:val="auto"/>
              </w:rPr>
            </w:pPr>
            <w:r>
              <w:rPr>
                <w:rFonts w:ascii="Arial" w:cs="Arial" w:eastAsia="Arial" w:hAnsi="Arial"/>
                <w:sz w:val="13"/>
                <w:szCs w:val="13"/>
                <w:b w:val="1"/>
                <w:bCs w:val="1"/>
                <w:color w:val="FFFFFF"/>
              </w:rPr>
              <w:t>% Change</w:t>
            </w:r>
          </w:p>
        </w:tc>
        <w:tc>
          <w:tcPr>
            <w:tcW w:w="20" w:type="dxa"/>
            <w:vAlign w:val="bottom"/>
          </w:tcPr>
          <w:p>
            <w:pPr>
              <w:spacing w:after="0"/>
              <w:rPr>
                <w:sz w:val="12"/>
                <w:szCs w:val="12"/>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S/ 000</w:t>
            </w:r>
          </w:p>
        </w:tc>
        <w:tc>
          <w:tcPr>
            <w:tcW w:w="960" w:type="dxa"/>
            <w:vAlign w:val="bottom"/>
            <w:tcBorders>
              <w:bottom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4Q21</w:t>
            </w:r>
          </w:p>
        </w:tc>
        <w:tc>
          <w:tcPr>
            <w:tcW w:w="920" w:type="dxa"/>
            <w:vAlign w:val="bottom"/>
            <w:tcBorders>
              <w:bottom w:val="single" w:sz="8" w:color="auto"/>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3Q22</w:t>
            </w:r>
          </w:p>
        </w:tc>
        <w:tc>
          <w:tcPr>
            <w:tcW w:w="880" w:type="dxa"/>
            <w:vAlign w:val="bottom"/>
            <w:tcBorders>
              <w:bottom w:val="single" w:sz="8" w:color="auto"/>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4Q22</w:t>
            </w:r>
          </w:p>
        </w:tc>
        <w:tc>
          <w:tcPr>
            <w:tcW w:w="920" w:type="dxa"/>
            <w:vAlign w:val="bottom"/>
            <w:tcBorders>
              <w:bottom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QaQ</w:t>
            </w:r>
          </w:p>
        </w:tc>
        <w:tc>
          <w:tcPr>
            <w:tcW w:w="940" w:type="dxa"/>
            <w:vAlign w:val="bottom"/>
            <w:tcBorders>
              <w:bottom w:val="single" w:sz="8" w:color="auto"/>
            </w:tcBorders>
            <w:shd w:val="clear" w:color="auto" w:fill="2AD2C9"/>
          </w:tcPr>
          <w:p>
            <w:pPr>
              <w:jc w:val="right"/>
              <w:ind w:right="413"/>
              <w:spacing w:after="0"/>
              <w:rPr>
                <w:sz w:val="20"/>
                <w:szCs w:val="20"/>
                <w:color w:val="auto"/>
              </w:rPr>
            </w:pPr>
            <w:r>
              <w:rPr>
                <w:rFonts w:ascii="Arial" w:cs="Arial" w:eastAsia="Arial" w:hAnsi="Arial"/>
                <w:sz w:val="13"/>
                <w:szCs w:val="13"/>
                <w:b w:val="1"/>
                <w:bCs w:val="1"/>
                <w:color w:val="FFFFFF"/>
              </w:rPr>
              <w:t>YoY</w:t>
            </w:r>
          </w:p>
        </w:tc>
        <w:tc>
          <w:tcPr>
            <w:tcW w:w="980" w:type="dxa"/>
            <w:vAlign w:val="bottom"/>
            <w:tcBorders>
              <w:bottom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Dec 21</w:t>
            </w:r>
          </w:p>
        </w:tc>
        <w:tc>
          <w:tcPr>
            <w:tcW w:w="720" w:type="dxa"/>
            <w:vAlign w:val="bottom"/>
            <w:tcBorders>
              <w:bottom w:val="single" w:sz="8" w:color="auto"/>
            </w:tcBorders>
            <w:shd w:val="clear" w:color="auto" w:fill="2AD2C9"/>
          </w:tcPr>
          <w:p>
            <w:pPr>
              <w:jc w:val="right"/>
              <w:ind w:right="193"/>
              <w:spacing w:after="0"/>
              <w:rPr>
                <w:sz w:val="20"/>
                <w:szCs w:val="20"/>
                <w:color w:val="auto"/>
              </w:rPr>
            </w:pPr>
            <w:r>
              <w:rPr>
                <w:rFonts w:ascii="Arial" w:cs="Arial" w:eastAsia="Arial" w:hAnsi="Arial"/>
                <w:sz w:val="13"/>
                <w:szCs w:val="13"/>
                <w:b w:val="1"/>
                <w:bCs w:val="1"/>
                <w:color w:val="FFFFFF"/>
              </w:rPr>
              <w:t>Dec 22</w:t>
            </w:r>
          </w:p>
        </w:tc>
        <w:tc>
          <w:tcPr>
            <w:tcW w:w="1120" w:type="dxa"/>
            <w:vAlign w:val="bottom"/>
            <w:tcBorders>
              <w:bottom w:val="single" w:sz="8" w:color="auto"/>
            </w:tcBorders>
            <w:shd w:val="clear" w:color="auto" w:fill="2AD2C9"/>
          </w:tcPr>
          <w:p>
            <w:pPr>
              <w:jc w:val="right"/>
              <w:ind w:right="13"/>
              <w:spacing w:after="0"/>
              <w:rPr>
                <w:sz w:val="20"/>
                <w:szCs w:val="20"/>
                <w:color w:val="auto"/>
              </w:rPr>
            </w:pPr>
            <w:r>
              <w:rPr>
                <w:rFonts w:ascii="Arial" w:cs="Arial" w:eastAsia="Arial" w:hAnsi="Arial"/>
                <w:sz w:val="13"/>
                <w:szCs w:val="13"/>
                <w:b w:val="1"/>
                <w:bCs w:val="1"/>
                <w:color w:val="FFFFFF"/>
              </w:rPr>
              <w:t>Dec 22 / Dec 21</w:t>
            </w:r>
          </w:p>
        </w:tc>
        <w:tc>
          <w:tcPr>
            <w:tcW w:w="20" w:type="dxa"/>
            <w:vAlign w:val="bottom"/>
            <w:tcBorders>
              <w:bottom w:val="single" w:sz="8" w:color="auto"/>
            </w:tcBorders>
          </w:tcPr>
          <w:p>
            <w:pPr>
              <w:spacing w:after="0"/>
              <w:rPr>
                <w:sz w:val="13"/>
                <w:szCs w:val="13"/>
                <w:color w:val="auto"/>
              </w:rPr>
            </w:pPr>
          </w:p>
        </w:tc>
      </w:tr>
      <w:tr>
        <w:trPr>
          <w:trHeight w:val="128"/>
        </w:trPr>
        <w:tc>
          <w:tcPr>
            <w:tcW w:w="20" w:type="dxa"/>
            <w:vAlign w:val="bottom"/>
          </w:tcPr>
          <w:p>
            <w:pPr>
              <w:spacing w:after="0"/>
              <w:rPr>
                <w:sz w:val="11"/>
                <w:szCs w:val="11"/>
                <w:color w:val="auto"/>
              </w:rPr>
            </w:pPr>
          </w:p>
        </w:tc>
        <w:tc>
          <w:tcPr>
            <w:tcW w:w="3220" w:type="dxa"/>
            <w:vAlign w:val="bottom"/>
          </w:tcPr>
          <w:p>
            <w:pPr>
              <w:ind w:left="40"/>
              <w:spacing w:after="0" w:line="128" w:lineRule="exact"/>
              <w:rPr>
                <w:sz w:val="20"/>
                <w:szCs w:val="20"/>
                <w:color w:val="auto"/>
              </w:rPr>
            </w:pPr>
            <w:r>
              <w:rPr>
                <w:rFonts w:ascii="Arial" w:cs="Arial" w:eastAsia="Arial" w:hAnsi="Arial"/>
                <w:sz w:val="9"/>
                <w:szCs w:val="9"/>
                <w:color w:val="auto"/>
              </w:rPr>
              <w:t xml:space="preserve">Payments and transactionals </w:t>
            </w:r>
            <w:r>
              <w:rPr>
                <w:rFonts w:ascii="Arial" w:cs="Arial" w:eastAsia="Arial" w:hAnsi="Arial"/>
                <w:sz w:val="14"/>
                <w:szCs w:val="14"/>
                <w:color w:val="auto"/>
                <w:vertAlign w:val="superscript"/>
              </w:rPr>
              <w:t>(1)</w:t>
            </w:r>
          </w:p>
        </w:tc>
        <w:tc>
          <w:tcPr>
            <w:tcW w:w="960" w:type="dxa"/>
            <w:vAlign w:val="bottom"/>
          </w:tcPr>
          <w:p>
            <w:pPr>
              <w:jc w:val="right"/>
              <w:ind w:right="53"/>
              <w:spacing w:after="0" w:line="128" w:lineRule="exact"/>
              <w:rPr>
                <w:sz w:val="20"/>
                <w:szCs w:val="20"/>
                <w:color w:val="auto"/>
              </w:rPr>
            </w:pPr>
            <w:r>
              <w:rPr>
                <w:rFonts w:ascii="Arial" w:cs="Arial" w:eastAsia="Arial" w:hAnsi="Arial"/>
                <w:sz w:val="13"/>
                <w:szCs w:val="13"/>
                <w:color w:val="auto"/>
              </w:rPr>
              <w:t>293,356</w:t>
            </w:r>
          </w:p>
        </w:tc>
        <w:tc>
          <w:tcPr>
            <w:tcW w:w="920" w:type="dxa"/>
            <w:vAlign w:val="bottom"/>
          </w:tcPr>
          <w:p>
            <w:pPr>
              <w:jc w:val="right"/>
              <w:ind w:right="93"/>
              <w:spacing w:after="0" w:line="128" w:lineRule="exact"/>
              <w:rPr>
                <w:sz w:val="20"/>
                <w:szCs w:val="20"/>
                <w:color w:val="auto"/>
              </w:rPr>
            </w:pPr>
            <w:r>
              <w:rPr>
                <w:rFonts w:ascii="Arial" w:cs="Arial" w:eastAsia="Arial" w:hAnsi="Arial"/>
                <w:sz w:val="13"/>
                <w:szCs w:val="13"/>
                <w:color w:val="auto"/>
              </w:rPr>
              <w:t>328,202</w:t>
            </w:r>
          </w:p>
        </w:tc>
        <w:tc>
          <w:tcPr>
            <w:tcW w:w="880" w:type="dxa"/>
            <w:vAlign w:val="bottom"/>
          </w:tcPr>
          <w:p>
            <w:pPr>
              <w:jc w:val="right"/>
              <w:ind w:right="93"/>
              <w:spacing w:after="0" w:line="128" w:lineRule="exact"/>
              <w:rPr>
                <w:sz w:val="20"/>
                <w:szCs w:val="20"/>
                <w:color w:val="auto"/>
              </w:rPr>
            </w:pPr>
            <w:r>
              <w:rPr>
                <w:rFonts w:ascii="Arial" w:cs="Arial" w:eastAsia="Arial" w:hAnsi="Arial"/>
                <w:sz w:val="13"/>
                <w:szCs w:val="13"/>
                <w:color w:val="auto"/>
              </w:rPr>
              <w:t>333,779</w:t>
            </w:r>
          </w:p>
        </w:tc>
        <w:tc>
          <w:tcPr>
            <w:tcW w:w="920" w:type="dxa"/>
            <w:vAlign w:val="bottom"/>
          </w:tcPr>
          <w:p>
            <w:pPr>
              <w:jc w:val="right"/>
              <w:ind w:right="133"/>
              <w:spacing w:after="0" w:line="128" w:lineRule="exact"/>
              <w:rPr>
                <w:sz w:val="20"/>
                <w:szCs w:val="20"/>
                <w:color w:val="auto"/>
              </w:rPr>
            </w:pPr>
            <w:r>
              <w:rPr>
                <w:rFonts w:ascii="Arial" w:cs="Arial" w:eastAsia="Arial" w:hAnsi="Arial"/>
                <w:sz w:val="13"/>
                <w:szCs w:val="13"/>
                <w:color w:val="auto"/>
              </w:rPr>
              <w:t>1.70%</w:t>
            </w:r>
          </w:p>
        </w:tc>
        <w:tc>
          <w:tcPr>
            <w:tcW w:w="940" w:type="dxa"/>
            <w:vAlign w:val="bottom"/>
          </w:tcPr>
          <w:p>
            <w:pPr>
              <w:jc w:val="right"/>
              <w:ind w:right="73"/>
              <w:spacing w:after="0" w:line="128" w:lineRule="exact"/>
              <w:rPr>
                <w:sz w:val="20"/>
                <w:szCs w:val="20"/>
                <w:color w:val="auto"/>
              </w:rPr>
            </w:pPr>
            <w:r>
              <w:rPr>
                <w:rFonts w:ascii="Arial" w:cs="Arial" w:eastAsia="Arial" w:hAnsi="Arial"/>
                <w:sz w:val="13"/>
                <w:szCs w:val="13"/>
                <w:color w:val="auto"/>
              </w:rPr>
              <w:t>13.78%</w:t>
            </w:r>
          </w:p>
        </w:tc>
        <w:tc>
          <w:tcPr>
            <w:tcW w:w="980" w:type="dxa"/>
            <w:vAlign w:val="bottom"/>
          </w:tcPr>
          <w:p>
            <w:pPr>
              <w:jc w:val="right"/>
              <w:ind w:right="153"/>
              <w:spacing w:after="0" w:line="128" w:lineRule="exact"/>
              <w:rPr>
                <w:sz w:val="20"/>
                <w:szCs w:val="20"/>
                <w:color w:val="auto"/>
              </w:rPr>
            </w:pPr>
            <w:r>
              <w:rPr>
                <w:rFonts w:ascii="Arial" w:cs="Arial" w:eastAsia="Arial" w:hAnsi="Arial"/>
                <w:sz w:val="13"/>
                <w:szCs w:val="13"/>
                <w:color w:val="auto"/>
              </w:rPr>
              <w:t>1,012,151</w:t>
            </w:r>
          </w:p>
        </w:tc>
        <w:tc>
          <w:tcPr>
            <w:tcW w:w="720" w:type="dxa"/>
            <w:vAlign w:val="bottom"/>
          </w:tcPr>
          <w:p>
            <w:pPr>
              <w:jc w:val="right"/>
              <w:spacing w:after="0" w:line="128" w:lineRule="exact"/>
              <w:rPr>
                <w:sz w:val="20"/>
                <w:szCs w:val="20"/>
                <w:color w:val="auto"/>
              </w:rPr>
            </w:pPr>
            <w:r>
              <w:rPr>
                <w:rFonts w:ascii="Arial" w:cs="Arial" w:eastAsia="Arial" w:hAnsi="Arial"/>
                <w:sz w:val="13"/>
                <w:szCs w:val="13"/>
                <w:color w:val="auto"/>
              </w:rPr>
              <w:t>1,258,273</w:t>
            </w:r>
          </w:p>
        </w:tc>
        <w:tc>
          <w:tcPr>
            <w:tcW w:w="1120" w:type="dxa"/>
            <w:vAlign w:val="bottom"/>
          </w:tcPr>
          <w:p>
            <w:pPr>
              <w:jc w:val="right"/>
              <w:spacing w:after="0" w:line="128" w:lineRule="exact"/>
              <w:rPr>
                <w:sz w:val="20"/>
                <w:szCs w:val="20"/>
                <w:color w:val="auto"/>
              </w:rPr>
            </w:pPr>
            <w:r>
              <w:rPr>
                <w:rFonts w:ascii="Arial" w:cs="Arial" w:eastAsia="Arial" w:hAnsi="Arial"/>
                <w:sz w:val="13"/>
                <w:szCs w:val="13"/>
                <w:color w:val="auto"/>
              </w:rPr>
              <w:t>24.32%</w:t>
            </w:r>
          </w:p>
        </w:tc>
        <w:tc>
          <w:tcPr>
            <w:tcW w:w="20" w:type="dxa"/>
            <w:vAlign w:val="bottom"/>
          </w:tcPr>
          <w:p>
            <w:pPr>
              <w:spacing w:after="0"/>
              <w:rPr>
                <w:sz w:val="11"/>
                <w:szCs w:val="11"/>
                <w:color w:val="auto"/>
              </w:rPr>
            </w:pPr>
          </w:p>
        </w:tc>
      </w:tr>
      <w:tr>
        <w:trPr>
          <w:trHeight w:val="151"/>
        </w:trPr>
        <w:tc>
          <w:tcPr>
            <w:tcW w:w="20" w:type="dxa"/>
            <w:vAlign w:val="bottom"/>
          </w:tcPr>
          <w:p>
            <w:pPr>
              <w:spacing w:after="0"/>
              <w:rPr>
                <w:sz w:val="13"/>
                <w:szCs w:val="13"/>
                <w:color w:val="auto"/>
              </w:rPr>
            </w:pPr>
          </w:p>
        </w:tc>
        <w:tc>
          <w:tcPr>
            <w:tcW w:w="3220" w:type="dxa"/>
            <w:vAlign w:val="bottom"/>
          </w:tcPr>
          <w:p>
            <w:pPr>
              <w:ind w:left="40"/>
              <w:spacing w:after="0" w:line="151" w:lineRule="exact"/>
              <w:rPr>
                <w:sz w:val="20"/>
                <w:szCs w:val="20"/>
                <w:color w:val="auto"/>
              </w:rPr>
            </w:pPr>
            <w:r>
              <w:rPr>
                <w:rFonts w:ascii="Arial" w:cs="Arial" w:eastAsia="Arial" w:hAnsi="Arial"/>
                <w:sz w:val="11"/>
                <w:szCs w:val="11"/>
                <w:color w:val="auto"/>
              </w:rPr>
              <w:t xml:space="preserve">Liability accounts </w:t>
            </w:r>
            <w:r>
              <w:rPr>
                <w:rFonts w:ascii="Arial" w:cs="Arial" w:eastAsia="Arial" w:hAnsi="Arial"/>
                <w:sz w:val="17"/>
                <w:szCs w:val="17"/>
                <w:color w:val="auto"/>
                <w:vertAlign w:val="superscript"/>
              </w:rPr>
              <w:t>(2)</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223,859</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237,873</w:t>
            </w: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226,496</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-4.78%</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1.18%</w:t>
            </w:r>
          </w:p>
        </w:tc>
        <w:tc>
          <w:tcPr>
            <w:tcW w:w="980" w:type="dxa"/>
            <w:vAlign w:val="bottom"/>
          </w:tcPr>
          <w:p>
            <w:pPr>
              <w:jc w:val="right"/>
              <w:ind w:right="153"/>
              <w:spacing w:after="0"/>
              <w:rPr>
                <w:sz w:val="20"/>
                <w:szCs w:val="20"/>
                <w:color w:val="auto"/>
              </w:rPr>
            </w:pPr>
            <w:r>
              <w:rPr>
                <w:rFonts w:ascii="Arial" w:cs="Arial" w:eastAsia="Arial" w:hAnsi="Arial"/>
                <w:sz w:val="13"/>
                <w:szCs w:val="13"/>
                <w:color w:val="auto"/>
              </w:rPr>
              <w:t>1,310,947</w:t>
            </w:r>
          </w:p>
        </w:tc>
        <w:tc>
          <w:tcPr>
            <w:tcW w:w="720" w:type="dxa"/>
            <w:vAlign w:val="bottom"/>
          </w:tcPr>
          <w:p>
            <w:pPr>
              <w:jc w:val="right"/>
              <w:spacing w:after="0"/>
              <w:rPr>
                <w:sz w:val="20"/>
                <w:szCs w:val="20"/>
                <w:color w:val="auto"/>
              </w:rPr>
            </w:pPr>
            <w:r>
              <w:rPr>
                <w:rFonts w:ascii="Arial" w:cs="Arial" w:eastAsia="Arial" w:hAnsi="Arial"/>
                <w:sz w:val="13"/>
                <w:szCs w:val="13"/>
                <w:color w:val="auto"/>
              </w:rPr>
              <w:t>1,427,262</w:t>
            </w:r>
          </w:p>
        </w:tc>
        <w:tc>
          <w:tcPr>
            <w:tcW w:w="1120" w:type="dxa"/>
            <w:vAlign w:val="bottom"/>
          </w:tcPr>
          <w:p>
            <w:pPr>
              <w:jc w:val="right"/>
              <w:spacing w:after="0"/>
              <w:rPr>
                <w:sz w:val="20"/>
                <w:szCs w:val="20"/>
                <w:color w:val="auto"/>
              </w:rPr>
            </w:pPr>
            <w:r>
              <w:rPr>
                <w:rFonts w:ascii="Arial" w:cs="Arial" w:eastAsia="Arial" w:hAnsi="Arial"/>
                <w:sz w:val="13"/>
                <w:szCs w:val="13"/>
                <w:color w:val="auto"/>
              </w:rPr>
              <w:t>8.87%</w:t>
            </w:r>
          </w:p>
        </w:tc>
        <w:tc>
          <w:tcPr>
            <w:tcW w:w="2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3220" w:type="dxa"/>
            <w:vAlign w:val="bottom"/>
          </w:tcPr>
          <w:p>
            <w:pPr>
              <w:ind w:left="40"/>
              <w:spacing w:after="0" w:line="166" w:lineRule="exact"/>
              <w:rPr>
                <w:sz w:val="20"/>
                <w:szCs w:val="20"/>
                <w:color w:val="auto"/>
              </w:rPr>
            </w:pPr>
            <w:r>
              <w:rPr>
                <w:rFonts w:ascii="Arial" w:cs="Arial" w:eastAsia="Arial" w:hAnsi="Arial"/>
                <w:sz w:val="12"/>
                <w:szCs w:val="12"/>
                <w:color w:val="auto"/>
              </w:rPr>
              <w:t xml:space="preserve">Loan Disbursement </w:t>
            </w:r>
            <w:r>
              <w:rPr>
                <w:rFonts w:ascii="Arial" w:cs="Arial" w:eastAsia="Arial" w:hAnsi="Arial"/>
                <w:sz w:val="19"/>
                <w:szCs w:val="19"/>
                <w:color w:val="auto"/>
                <w:vertAlign w:val="superscript"/>
              </w:rPr>
              <w:t>(3)</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89,067</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100,721</w:t>
            </w: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97,336</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-3.36%</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9.28%</w:t>
            </w:r>
          </w:p>
        </w:tc>
        <w:tc>
          <w:tcPr>
            <w:tcW w:w="980" w:type="dxa"/>
            <w:vAlign w:val="bottom"/>
          </w:tcPr>
          <w:p>
            <w:pPr>
              <w:jc w:val="right"/>
              <w:ind w:right="153"/>
              <w:spacing w:after="0"/>
              <w:rPr>
                <w:sz w:val="20"/>
                <w:szCs w:val="20"/>
                <w:color w:val="auto"/>
              </w:rPr>
            </w:pPr>
            <w:r>
              <w:rPr>
                <w:rFonts w:ascii="Arial" w:cs="Arial" w:eastAsia="Arial" w:hAnsi="Arial"/>
                <w:sz w:val="13"/>
                <w:szCs w:val="13"/>
                <w:color w:val="auto"/>
              </w:rPr>
              <w:t>1,181,798</w:t>
            </w:r>
          </w:p>
        </w:tc>
        <w:tc>
          <w:tcPr>
            <w:tcW w:w="720" w:type="dxa"/>
            <w:vAlign w:val="bottom"/>
          </w:tcPr>
          <w:p>
            <w:pPr>
              <w:jc w:val="right"/>
              <w:spacing w:after="0"/>
              <w:rPr>
                <w:sz w:val="20"/>
                <w:szCs w:val="20"/>
                <w:color w:val="auto"/>
              </w:rPr>
            </w:pPr>
            <w:r>
              <w:rPr>
                <w:rFonts w:ascii="Arial" w:cs="Arial" w:eastAsia="Arial" w:hAnsi="Arial"/>
                <w:sz w:val="13"/>
                <w:szCs w:val="13"/>
                <w:color w:val="auto"/>
              </w:rPr>
              <w:t>1,296,936</w:t>
            </w:r>
          </w:p>
        </w:tc>
        <w:tc>
          <w:tcPr>
            <w:tcW w:w="1120" w:type="dxa"/>
            <w:vAlign w:val="bottom"/>
          </w:tcPr>
          <w:p>
            <w:pPr>
              <w:jc w:val="right"/>
              <w:spacing w:after="0"/>
              <w:rPr>
                <w:sz w:val="20"/>
                <w:szCs w:val="20"/>
                <w:color w:val="auto"/>
              </w:rPr>
            </w:pPr>
            <w:r>
              <w:rPr>
                <w:rFonts w:ascii="Arial" w:cs="Arial" w:eastAsia="Arial" w:hAnsi="Arial"/>
                <w:sz w:val="13"/>
                <w:szCs w:val="13"/>
                <w:color w:val="auto"/>
              </w:rPr>
              <w:t>9.74%</w:t>
            </w: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3220" w:type="dxa"/>
            <w:vAlign w:val="bottom"/>
          </w:tcPr>
          <w:p>
            <w:pPr>
              <w:ind w:left="40"/>
              <w:spacing w:after="0"/>
              <w:rPr>
                <w:sz w:val="20"/>
                <w:szCs w:val="20"/>
                <w:color w:val="auto"/>
              </w:rPr>
            </w:pPr>
            <w:r>
              <w:rPr>
                <w:rFonts w:ascii="Arial" w:cs="Arial" w:eastAsia="Arial" w:hAnsi="Arial"/>
                <w:sz w:val="13"/>
                <w:szCs w:val="13"/>
                <w:color w:val="auto"/>
              </w:rPr>
              <w:t>Off-balance sheet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62,521</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60,283</w:t>
            </w: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63,247</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4.92%</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1.16%</w:t>
            </w:r>
          </w:p>
        </w:tc>
        <w:tc>
          <w:tcPr>
            <w:tcW w:w="980" w:type="dxa"/>
            <w:vAlign w:val="bottom"/>
          </w:tcPr>
          <w:p>
            <w:pPr>
              <w:jc w:val="right"/>
              <w:ind w:right="153"/>
              <w:spacing w:after="0"/>
              <w:rPr>
                <w:sz w:val="20"/>
                <w:szCs w:val="20"/>
                <w:color w:val="auto"/>
              </w:rPr>
            </w:pPr>
            <w:r>
              <w:rPr>
                <w:rFonts w:ascii="Arial" w:cs="Arial" w:eastAsia="Arial" w:hAnsi="Arial"/>
                <w:sz w:val="13"/>
                <w:szCs w:val="13"/>
                <w:color w:val="auto"/>
              </w:rPr>
              <w:t>571,232</w:t>
            </w:r>
          </w:p>
        </w:tc>
        <w:tc>
          <w:tcPr>
            <w:tcW w:w="720" w:type="dxa"/>
            <w:vAlign w:val="bottom"/>
          </w:tcPr>
          <w:p>
            <w:pPr>
              <w:jc w:val="right"/>
              <w:spacing w:after="0"/>
              <w:rPr>
                <w:sz w:val="20"/>
                <w:szCs w:val="20"/>
                <w:color w:val="auto"/>
              </w:rPr>
            </w:pPr>
            <w:r>
              <w:rPr>
                <w:rFonts w:ascii="Arial" w:cs="Arial" w:eastAsia="Arial" w:hAnsi="Arial"/>
                <w:sz w:val="13"/>
                <w:szCs w:val="13"/>
                <w:color w:val="auto"/>
              </w:rPr>
              <w:t>623,777</w:t>
            </w:r>
          </w:p>
        </w:tc>
        <w:tc>
          <w:tcPr>
            <w:tcW w:w="1120" w:type="dxa"/>
            <w:vAlign w:val="bottom"/>
          </w:tcPr>
          <w:p>
            <w:pPr>
              <w:jc w:val="right"/>
              <w:spacing w:after="0"/>
              <w:rPr>
                <w:sz w:val="20"/>
                <w:szCs w:val="20"/>
                <w:color w:val="auto"/>
              </w:rPr>
            </w:pPr>
            <w:r>
              <w:rPr>
                <w:rFonts w:ascii="Arial" w:cs="Arial" w:eastAsia="Arial" w:hAnsi="Arial"/>
                <w:sz w:val="13"/>
                <w:szCs w:val="13"/>
                <w:color w:val="auto"/>
              </w:rPr>
              <w:t>9.20%</w:t>
            </w:r>
          </w:p>
        </w:tc>
        <w:tc>
          <w:tcPr>
            <w:tcW w:w="2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3220" w:type="dxa"/>
            <w:vAlign w:val="bottom"/>
          </w:tcPr>
          <w:p>
            <w:pPr>
              <w:ind w:left="40"/>
              <w:spacing w:after="0"/>
              <w:rPr>
                <w:sz w:val="20"/>
                <w:szCs w:val="20"/>
                <w:color w:val="auto"/>
              </w:rPr>
            </w:pPr>
            <w:r>
              <w:rPr>
                <w:rFonts w:ascii="Arial" w:cs="Arial" w:eastAsia="Arial" w:hAnsi="Arial"/>
                <w:sz w:val="13"/>
                <w:szCs w:val="13"/>
                <w:color w:val="auto"/>
              </w:rPr>
              <w:t>Mibanco (Peru and Colombia)</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37,818</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32,258</w:t>
            </w: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34,164</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5.91%</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-9.66%</w:t>
            </w:r>
          </w:p>
        </w:tc>
        <w:tc>
          <w:tcPr>
            <w:tcW w:w="980" w:type="dxa"/>
            <w:vAlign w:val="bottom"/>
          </w:tcPr>
          <w:p>
            <w:pPr>
              <w:jc w:val="right"/>
              <w:ind w:right="153"/>
              <w:spacing w:after="0"/>
              <w:rPr>
                <w:sz w:val="20"/>
                <w:szCs w:val="20"/>
                <w:color w:val="auto"/>
              </w:rPr>
            </w:pPr>
            <w:r>
              <w:rPr>
                <w:rFonts w:ascii="Arial" w:cs="Arial" w:eastAsia="Arial" w:hAnsi="Arial"/>
                <w:sz w:val="13"/>
                <w:szCs w:val="13"/>
                <w:color w:val="auto"/>
              </w:rPr>
              <w:t>352,556</w:t>
            </w:r>
          </w:p>
        </w:tc>
        <w:tc>
          <w:tcPr>
            <w:tcW w:w="720" w:type="dxa"/>
            <w:vAlign w:val="bottom"/>
          </w:tcPr>
          <w:p>
            <w:pPr>
              <w:jc w:val="right"/>
              <w:spacing w:after="0"/>
              <w:rPr>
                <w:sz w:val="20"/>
                <w:szCs w:val="20"/>
                <w:color w:val="auto"/>
              </w:rPr>
            </w:pPr>
            <w:r>
              <w:rPr>
                <w:rFonts w:ascii="Arial" w:cs="Arial" w:eastAsia="Arial" w:hAnsi="Arial"/>
                <w:sz w:val="13"/>
                <w:szCs w:val="13"/>
                <w:color w:val="auto"/>
              </w:rPr>
              <w:t>378,092</w:t>
            </w:r>
          </w:p>
        </w:tc>
        <w:tc>
          <w:tcPr>
            <w:tcW w:w="1120" w:type="dxa"/>
            <w:vAlign w:val="bottom"/>
          </w:tcPr>
          <w:p>
            <w:pPr>
              <w:jc w:val="right"/>
              <w:spacing w:after="0"/>
              <w:rPr>
                <w:sz w:val="20"/>
                <w:szCs w:val="20"/>
                <w:color w:val="auto"/>
              </w:rPr>
            </w:pPr>
            <w:r>
              <w:rPr>
                <w:rFonts w:ascii="Arial" w:cs="Arial" w:eastAsia="Arial" w:hAnsi="Arial"/>
                <w:sz w:val="13"/>
                <w:szCs w:val="13"/>
                <w:color w:val="auto"/>
              </w:rPr>
              <w:t>7.24%</w:t>
            </w:r>
          </w:p>
        </w:tc>
        <w:tc>
          <w:tcPr>
            <w:tcW w:w="2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3220" w:type="dxa"/>
            <w:vAlign w:val="bottom"/>
          </w:tcPr>
          <w:p>
            <w:pPr>
              <w:ind w:left="40"/>
              <w:spacing w:after="0"/>
              <w:rPr>
                <w:sz w:val="20"/>
                <w:szCs w:val="20"/>
                <w:color w:val="auto"/>
              </w:rPr>
            </w:pPr>
            <w:r>
              <w:rPr>
                <w:rFonts w:ascii="Arial" w:cs="Arial" w:eastAsia="Arial" w:hAnsi="Arial"/>
                <w:sz w:val="13"/>
                <w:szCs w:val="13"/>
                <w:color w:val="auto"/>
              </w:rPr>
              <w:t>Insurances</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28,551</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31,382</w:t>
            </w: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28,617</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-8.81%</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0.23%</w:t>
            </w:r>
          </w:p>
        </w:tc>
        <w:tc>
          <w:tcPr>
            <w:tcW w:w="980" w:type="dxa"/>
            <w:vAlign w:val="bottom"/>
          </w:tcPr>
          <w:p>
            <w:pPr>
              <w:jc w:val="right"/>
              <w:ind w:right="153"/>
              <w:spacing w:after="0"/>
              <w:rPr>
                <w:sz w:val="20"/>
                <w:szCs w:val="20"/>
                <w:color w:val="auto"/>
              </w:rPr>
            </w:pPr>
            <w:r>
              <w:rPr>
                <w:rFonts w:ascii="Arial" w:cs="Arial" w:eastAsia="Arial" w:hAnsi="Arial"/>
                <w:sz w:val="13"/>
                <w:szCs w:val="13"/>
                <w:color w:val="auto"/>
              </w:rPr>
              <w:t>215,010</w:t>
            </w:r>
          </w:p>
        </w:tc>
        <w:tc>
          <w:tcPr>
            <w:tcW w:w="720" w:type="dxa"/>
            <w:vAlign w:val="bottom"/>
          </w:tcPr>
          <w:p>
            <w:pPr>
              <w:jc w:val="right"/>
              <w:spacing w:after="0"/>
              <w:rPr>
                <w:sz w:val="20"/>
                <w:szCs w:val="20"/>
                <w:color w:val="auto"/>
              </w:rPr>
            </w:pPr>
            <w:r>
              <w:rPr>
                <w:rFonts w:ascii="Arial" w:cs="Arial" w:eastAsia="Arial" w:hAnsi="Arial"/>
                <w:sz w:val="13"/>
                <w:szCs w:val="13"/>
                <w:color w:val="auto"/>
              </w:rPr>
              <w:t>254,014</w:t>
            </w:r>
          </w:p>
        </w:tc>
        <w:tc>
          <w:tcPr>
            <w:tcW w:w="1120" w:type="dxa"/>
            <w:vAlign w:val="bottom"/>
          </w:tcPr>
          <w:p>
            <w:pPr>
              <w:jc w:val="right"/>
              <w:spacing w:after="0"/>
              <w:rPr>
                <w:sz w:val="20"/>
                <w:szCs w:val="20"/>
                <w:color w:val="auto"/>
              </w:rPr>
            </w:pPr>
            <w:r>
              <w:rPr>
                <w:rFonts w:ascii="Arial" w:cs="Arial" w:eastAsia="Arial" w:hAnsi="Arial"/>
                <w:sz w:val="13"/>
                <w:szCs w:val="13"/>
                <w:color w:val="auto"/>
              </w:rPr>
              <w:t>18.14%</w:t>
            </w:r>
          </w:p>
        </w:tc>
        <w:tc>
          <w:tcPr>
            <w:tcW w:w="2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3220" w:type="dxa"/>
            <w:vAlign w:val="bottom"/>
          </w:tcPr>
          <w:p>
            <w:pPr>
              <w:ind w:left="40"/>
              <w:spacing w:after="0"/>
              <w:rPr>
                <w:sz w:val="20"/>
                <w:szCs w:val="20"/>
                <w:color w:val="auto"/>
              </w:rPr>
            </w:pPr>
            <w:r>
              <w:rPr>
                <w:rFonts w:ascii="Arial" w:cs="Arial" w:eastAsia="Arial" w:hAnsi="Arial"/>
                <w:sz w:val="13"/>
                <w:szCs w:val="13"/>
                <w:color w:val="auto"/>
              </w:rPr>
              <w:t>BCP Bolivia</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26,852</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26,296</w:t>
            </w: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24,479</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-6.91%</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-8.84%</w:t>
            </w:r>
          </w:p>
        </w:tc>
        <w:tc>
          <w:tcPr>
            <w:tcW w:w="980" w:type="dxa"/>
            <w:vAlign w:val="bottom"/>
          </w:tcPr>
          <w:p>
            <w:pPr>
              <w:jc w:val="right"/>
              <w:ind w:right="153"/>
              <w:spacing w:after="0"/>
              <w:rPr>
                <w:sz w:val="20"/>
                <w:szCs w:val="20"/>
                <w:color w:val="auto"/>
              </w:rPr>
            </w:pPr>
            <w:r>
              <w:rPr>
                <w:rFonts w:ascii="Arial" w:cs="Arial" w:eastAsia="Arial" w:hAnsi="Arial"/>
                <w:sz w:val="13"/>
                <w:szCs w:val="13"/>
                <w:color w:val="auto"/>
              </w:rPr>
              <w:t>233,787</w:t>
            </w:r>
          </w:p>
        </w:tc>
        <w:tc>
          <w:tcPr>
            <w:tcW w:w="720" w:type="dxa"/>
            <w:vAlign w:val="bottom"/>
          </w:tcPr>
          <w:p>
            <w:pPr>
              <w:jc w:val="right"/>
              <w:spacing w:after="0"/>
              <w:rPr>
                <w:sz w:val="20"/>
                <w:szCs w:val="20"/>
                <w:color w:val="auto"/>
              </w:rPr>
            </w:pPr>
            <w:r>
              <w:rPr>
                <w:rFonts w:ascii="Arial" w:cs="Arial" w:eastAsia="Arial" w:hAnsi="Arial"/>
                <w:sz w:val="13"/>
                <w:szCs w:val="13"/>
                <w:color w:val="auto"/>
              </w:rPr>
              <w:t>222,771</w:t>
            </w:r>
          </w:p>
        </w:tc>
        <w:tc>
          <w:tcPr>
            <w:tcW w:w="1120" w:type="dxa"/>
            <w:vAlign w:val="bottom"/>
          </w:tcPr>
          <w:p>
            <w:pPr>
              <w:jc w:val="right"/>
              <w:spacing w:after="0"/>
              <w:rPr>
                <w:sz w:val="20"/>
                <w:szCs w:val="20"/>
                <w:color w:val="auto"/>
              </w:rPr>
            </w:pPr>
            <w:r>
              <w:rPr>
                <w:rFonts w:ascii="Arial" w:cs="Arial" w:eastAsia="Arial" w:hAnsi="Arial"/>
                <w:sz w:val="13"/>
                <w:szCs w:val="13"/>
                <w:color w:val="auto"/>
              </w:rPr>
              <w:t>-4.71%</w:t>
            </w:r>
          </w:p>
        </w:tc>
        <w:tc>
          <w:tcPr>
            <w:tcW w:w="2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3220" w:type="dxa"/>
            <w:vAlign w:val="bottom"/>
          </w:tcPr>
          <w:p>
            <w:pPr>
              <w:ind w:left="40"/>
              <w:spacing w:after="0"/>
              <w:rPr>
                <w:sz w:val="20"/>
                <w:szCs w:val="20"/>
                <w:color w:val="auto"/>
              </w:rPr>
            </w:pPr>
            <w:r>
              <w:rPr>
                <w:rFonts w:ascii="Arial" w:cs="Arial" w:eastAsia="Arial" w:hAnsi="Arial"/>
                <w:sz w:val="13"/>
                <w:szCs w:val="13"/>
                <w:color w:val="auto"/>
              </w:rPr>
              <w:t>Wealth Management and Corporate Finance</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27,643</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15,593</w:t>
            </w:r>
          </w:p>
        </w:tc>
        <w:tc>
          <w:tcPr>
            <w:tcW w:w="880" w:type="dxa"/>
            <w:vAlign w:val="bottom"/>
          </w:tcPr>
          <w:p>
            <w:pPr>
              <w:jc w:val="right"/>
              <w:ind w:right="93"/>
              <w:spacing w:after="0"/>
              <w:rPr>
                <w:sz w:val="20"/>
                <w:szCs w:val="20"/>
                <w:color w:val="auto"/>
              </w:rPr>
            </w:pPr>
            <w:r>
              <w:rPr>
                <w:rFonts w:ascii="Arial" w:cs="Arial" w:eastAsia="Arial" w:hAnsi="Arial"/>
                <w:sz w:val="13"/>
                <w:szCs w:val="13"/>
                <w:color w:val="auto"/>
              </w:rPr>
              <w:t>12,880</w:t>
            </w:r>
          </w:p>
        </w:tc>
        <w:tc>
          <w:tcPr>
            <w:tcW w:w="920" w:type="dxa"/>
            <w:vAlign w:val="bottom"/>
          </w:tcPr>
          <w:p>
            <w:pPr>
              <w:jc w:val="right"/>
              <w:ind w:right="133"/>
              <w:spacing w:after="0"/>
              <w:rPr>
                <w:sz w:val="20"/>
                <w:szCs w:val="20"/>
                <w:color w:val="auto"/>
              </w:rPr>
            </w:pPr>
            <w:r>
              <w:rPr>
                <w:rFonts w:ascii="Arial" w:cs="Arial" w:eastAsia="Arial" w:hAnsi="Arial"/>
                <w:sz w:val="13"/>
                <w:szCs w:val="13"/>
                <w:color w:val="auto"/>
              </w:rPr>
              <w:t>-17.40%</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-53.41%</w:t>
            </w:r>
          </w:p>
        </w:tc>
        <w:tc>
          <w:tcPr>
            <w:tcW w:w="980" w:type="dxa"/>
            <w:vAlign w:val="bottom"/>
          </w:tcPr>
          <w:p>
            <w:pPr>
              <w:jc w:val="right"/>
              <w:ind w:right="153"/>
              <w:spacing w:after="0"/>
              <w:rPr>
                <w:sz w:val="20"/>
                <w:szCs w:val="20"/>
                <w:color w:val="auto"/>
              </w:rPr>
            </w:pPr>
            <w:r>
              <w:rPr>
                <w:rFonts w:ascii="Arial" w:cs="Arial" w:eastAsia="Arial" w:hAnsi="Arial"/>
                <w:sz w:val="13"/>
                <w:szCs w:val="13"/>
                <w:color w:val="auto"/>
              </w:rPr>
              <w:t>180,429</w:t>
            </w:r>
          </w:p>
        </w:tc>
        <w:tc>
          <w:tcPr>
            <w:tcW w:w="720" w:type="dxa"/>
            <w:vAlign w:val="bottom"/>
          </w:tcPr>
          <w:p>
            <w:pPr>
              <w:jc w:val="right"/>
              <w:spacing w:after="0"/>
              <w:rPr>
                <w:sz w:val="20"/>
                <w:szCs w:val="20"/>
                <w:color w:val="auto"/>
              </w:rPr>
            </w:pPr>
            <w:r>
              <w:rPr>
                <w:rFonts w:ascii="Arial" w:cs="Arial" w:eastAsia="Arial" w:hAnsi="Arial"/>
                <w:sz w:val="13"/>
                <w:szCs w:val="13"/>
                <w:color w:val="auto"/>
              </w:rPr>
              <w:t>156,149</w:t>
            </w:r>
          </w:p>
        </w:tc>
        <w:tc>
          <w:tcPr>
            <w:tcW w:w="1120" w:type="dxa"/>
            <w:vAlign w:val="bottom"/>
          </w:tcPr>
          <w:p>
            <w:pPr>
              <w:jc w:val="right"/>
              <w:spacing w:after="0"/>
              <w:rPr>
                <w:sz w:val="20"/>
                <w:szCs w:val="20"/>
                <w:color w:val="auto"/>
              </w:rPr>
            </w:pPr>
            <w:r>
              <w:rPr>
                <w:rFonts w:ascii="Arial" w:cs="Arial" w:eastAsia="Arial" w:hAnsi="Arial"/>
                <w:sz w:val="13"/>
                <w:szCs w:val="13"/>
                <w:color w:val="auto"/>
              </w:rPr>
              <w:t>-13.46%</w:t>
            </w:r>
          </w:p>
        </w:tc>
        <w:tc>
          <w:tcPr>
            <w:tcW w:w="2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220" w:type="dxa"/>
            <w:vAlign w:val="bottom"/>
          </w:tcPr>
          <w:p>
            <w:pPr>
              <w:ind w:left="40"/>
              <w:spacing w:after="0" w:line="136" w:lineRule="exact"/>
              <w:rPr>
                <w:sz w:val="20"/>
                <w:szCs w:val="20"/>
                <w:color w:val="auto"/>
              </w:rPr>
            </w:pPr>
            <w:r>
              <w:rPr>
                <w:rFonts w:ascii="Arial" w:cs="Arial" w:eastAsia="Arial" w:hAnsi="Arial"/>
                <w:sz w:val="13"/>
                <w:szCs w:val="13"/>
                <w:color w:val="auto"/>
              </w:rPr>
              <w:t>ASB</w:t>
            </w:r>
          </w:p>
        </w:tc>
        <w:tc>
          <w:tcPr>
            <w:tcW w:w="960" w:type="dxa"/>
            <w:vAlign w:val="bottom"/>
          </w:tcPr>
          <w:p>
            <w:pPr>
              <w:jc w:val="right"/>
              <w:ind w:right="53"/>
              <w:spacing w:after="0" w:line="136" w:lineRule="exact"/>
              <w:rPr>
                <w:sz w:val="20"/>
                <w:szCs w:val="20"/>
                <w:color w:val="auto"/>
              </w:rPr>
            </w:pPr>
            <w:r>
              <w:rPr>
                <w:rFonts w:ascii="Arial" w:cs="Arial" w:eastAsia="Arial" w:hAnsi="Arial"/>
                <w:sz w:val="13"/>
                <w:szCs w:val="13"/>
                <w:color w:val="auto"/>
              </w:rPr>
              <w:t>9,810</w:t>
            </w:r>
          </w:p>
        </w:tc>
        <w:tc>
          <w:tcPr>
            <w:tcW w:w="920" w:type="dxa"/>
            <w:vAlign w:val="bottom"/>
          </w:tcPr>
          <w:p>
            <w:pPr>
              <w:jc w:val="right"/>
              <w:ind w:right="93"/>
              <w:spacing w:after="0" w:line="136" w:lineRule="exact"/>
              <w:rPr>
                <w:sz w:val="20"/>
                <w:szCs w:val="20"/>
                <w:color w:val="auto"/>
              </w:rPr>
            </w:pPr>
            <w:r>
              <w:rPr>
                <w:rFonts w:ascii="Arial" w:cs="Arial" w:eastAsia="Arial" w:hAnsi="Arial"/>
                <w:sz w:val="13"/>
                <w:szCs w:val="13"/>
                <w:color w:val="auto"/>
              </w:rPr>
              <w:t>10,422</w:t>
            </w:r>
          </w:p>
        </w:tc>
        <w:tc>
          <w:tcPr>
            <w:tcW w:w="880" w:type="dxa"/>
            <w:vAlign w:val="bottom"/>
          </w:tcPr>
          <w:p>
            <w:pPr>
              <w:jc w:val="right"/>
              <w:ind w:right="93"/>
              <w:spacing w:after="0" w:line="136" w:lineRule="exact"/>
              <w:rPr>
                <w:sz w:val="20"/>
                <w:szCs w:val="20"/>
                <w:color w:val="auto"/>
              </w:rPr>
            </w:pPr>
            <w:r>
              <w:rPr>
                <w:rFonts w:ascii="Arial" w:cs="Arial" w:eastAsia="Arial" w:hAnsi="Arial"/>
                <w:sz w:val="13"/>
                <w:szCs w:val="13"/>
                <w:color w:val="auto"/>
              </w:rPr>
              <w:t>11,040</w:t>
            </w:r>
          </w:p>
        </w:tc>
        <w:tc>
          <w:tcPr>
            <w:tcW w:w="92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5.93%</w:t>
            </w:r>
          </w:p>
        </w:tc>
        <w:tc>
          <w:tcPr>
            <w:tcW w:w="940" w:type="dxa"/>
            <w:vAlign w:val="bottom"/>
          </w:tcPr>
          <w:p>
            <w:pPr>
              <w:jc w:val="right"/>
              <w:ind w:right="73"/>
              <w:spacing w:after="0" w:line="136" w:lineRule="exact"/>
              <w:rPr>
                <w:sz w:val="20"/>
                <w:szCs w:val="20"/>
                <w:color w:val="auto"/>
              </w:rPr>
            </w:pPr>
            <w:r>
              <w:rPr>
                <w:rFonts w:ascii="Arial" w:cs="Arial" w:eastAsia="Arial" w:hAnsi="Arial"/>
                <w:sz w:val="13"/>
                <w:szCs w:val="13"/>
                <w:color w:val="auto"/>
              </w:rPr>
              <w:t>12.54%</w:t>
            </w:r>
          </w:p>
        </w:tc>
        <w:tc>
          <w:tcPr>
            <w:tcW w:w="980" w:type="dxa"/>
            <w:vAlign w:val="bottom"/>
          </w:tcPr>
          <w:p>
            <w:pPr>
              <w:jc w:val="right"/>
              <w:ind w:right="153"/>
              <w:spacing w:after="0" w:line="136" w:lineRule="exact"/>
              <w:rPr>
                <w:sz w:val="20"/>
                <w:szCs w:val="20"/>
                <w:color w:val="auto"/>
              </w:rPr>
            </w:pPr>
            <w:r>
              <w:rPr>
                <w:rFonts w:ascii="Arial" w:cs="Arial" w:eastAsia="Arial" w:hAnsi="Arial"/>
                <w:sz w:val="13"/>
                <w:szCs w:val="13"/>
                <w:color w:val="auto"/>
              </w:rPr>
              <w:t>99,523</w:t>
            </w: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95,729</w:t>
            </w:r>
          </w:p>
        </w:tc>
        <w:tc>
          <w:tcPr>
            <w:tcW w:w="1120" w:type="dxa"/>
            <w:vAlign w:val="bottom"/>
          </w:tcPr>
          <w:p>
            <w:pPr>
              <w:jc w:val="right"/>
              <w:spacing w:after="0" w:line="136" w:lineRule="exact"/>
              <w:rPr>
                <w:sz w:val="20"/>
                <w:szCs w:val="20"/>
                <w:color w:val="auto"/>
              </w:rPr>
            </w:pPr>
            <w:r>
              <w:rPr>
                <w:rFonts w:ascii="Arial" w:cs="Arial" w:eastAsia="Arial" w:hAnsi="Arial"/>
                <w:sz w:val="13"/>
                <w:szCs w:val="13"/>
                <w:color w:val="auto"/>
              </w:rPr>
              <w:t>-3.81%</w:t>
            </w:r>
          </w:p>
        </w:tc>
        <w:tc>
          <w:tcPr>
            <w:tcW w:w="20" w:type="dxa"/>
            <w:vAlign w:val="bottom"/>
          </w:tcPr>
          <w:p>
            <w:pPr>
              <w:spacing w:after="0"/>
              <w:rPr>
                <w:sz w:val="11"/>
                <w:szCs w:val="11"/>
                <w:color w:val="auto"/>
              </w:rPr>
            </w:pPr>
          </w:p>
        </w:tc>
      </w:tr>
      <w:tr>
        <w:trPr>
          <w:trHeight w:val="179"/>
        </w:trPr>
        <w:tc>
          <w:tcPr>
            <w:tcW w:w="2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ind w:left="40"/>
              <w:spacing w:after="0" w:line="174" w:lineRule="exact"/>
              <w:rPr>
                <w:sz w:val="20"/>
                <w:szCs w:val="20"/>
                <w:color w:val="auto"/>
              </w:rPr>
            </w:pPr>
            <w:r>
              <w:rPr>
                <w:rFonts w:ascii="Arial" w:cs="Arial" w:eastAsia="Arial" w:hAnsi="Arial"/>
                <w:sz w:val="12"/>
                <w:szCs w:val="12"/>
                <w:color w:val="auto"/>
              </w:rPr>
              <w:t xml:space="preserve">Others </w:t>
            </w:r>
            <w:r>
              <w:rPr>
                <w:rFonts w:ascii="Arial" w:cs="Arial" w:eastAsia="Arial" w:hAnsi="Arial"/>
                <w:sz w:val="20"/>
                <w:szCs w:val="20"/>
                <w:color w:val="auto"/>
                <w:vertAlign w:val="superscript"/>
              </w:rPr>
              <w:t>(4)</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12,318</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-4,922</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-16,494</w:t>
            </w: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n.a</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-233.90%</w:t>
            </w: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87,209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25,261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-71.03%</w:t>
            </w:r>
          </w:p>
        </w:tc>
        <w:tc>
          <w:tcPr>
            <w:tcW w:w="20" w:type="dxa"/>
            <w:vAlign w:val="bottom"/>
            <w:tcBorders>
              <w:bottom w:val="single" w:sz="8" w:color="auto"/>
            </w:tcBorders>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220" w:type="dxa"/>
            <w:vAlign w:val="bottom"/>
          </w:tcPr>
          <w:p>
            <w:pPr>
              <w:ind w:left="40"/>
              <w:spacing w:after="0"/>
              <w:rPr>
                <w:sz w:val="20"/>
                <w:szCs w:val="20"/>
                <w:color w:val="auto"/>
              </w:rPr>
            </w:pPr>
            <w:r>
              <w:rPr>
                <w:rFonts w:ascii="Arial" w:cs="Arial" w:eastAsia="Arial" w:hAnsi="Arial"/>
                <w:sz w:val="13"/>
                <w:szCs w:val="13"/>
                <w:b w:val="1"/>
                <w:bCs w:val="1"/>
                <w:color w:val="auto"/>
              </w:rPr>
              <w:t>Total</w:t>
            </w: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811,795</w:t>
            </w:r>
          </w:p>
        </w:tc>
        <w:tc>
          <w:tcPr>
            <w:tcW w:w="920" w:type="dxa"/>
            <w:vAlign w:val="bottom"/>
          </w:tcPr>
          <w:p>
            <w:pPr>
              <w:jc w:val="right"/>
              <w:ind w:right="93"/>
              <w:spacing w:after="0"/>
              <w:rPr>
                <w:sz w:val="20"/>
                <w:szCs w:val="20"/>
                <w:color w:val="auto"/>
              </w:rPr>
            </w:pPr>
            <w:r>
              <w:rPr>
                <w:rFonts w:ascii="Arial" w:cs="Arial" w:eastAsia="Arial" w:hAnsi="Arial"/>
                <w:sz w:val="13"/>
                <w:szCs w:val="13"/>
                <w:b w:val="1"/>
                <w:bCs w:val="1"/>
                <w:color w:val="auto"/>
              </w:rPr>
              <w:t>838,108</w:t>
            </w:r>
          </w:p>
        </w:tc>
        <w:tc>
          <w:tcPr>
            <w:tcW w:w="880" w:type="dxa"/>
            <w:vAlign w:val="bottom"/>
          </w:tcPr>
          <w:p>
            <w:pPr>
              <w:jc w:val="right"/>
              <w:ind w:right="93"/>
              <w:spacing w:after="0"/>
              <w:rPr>
                <w:sz w:val="20"/>
                <w:szCs w:val="20"/>
                <w:color w:val="auto"/>
              </w:rPr>
            </w:pPr>
            <w:r>
              <w:rPr>
                <w:rFonts w:ascii="Arial" w:cs="Arial" w:eastAsia="Arial" w:hAnsi="Arial"/>
                <w:sz w:val="13"/>
                <w:szCs w:val="13"/>
                <w:b w:val="1"/>
                <w:bCs w:val="1"/>
                <w:color w:val="auto"/>
              </w:rPr>
              <w:t>815,544</w:t>
            </w:r>
          </w:p>
        </w:tc>
        <w:tc>
          <w:tcPr>
            <w:tcW w:w="920" w:type="dxa"/>
            <w:vAlign w:val="bottom"/>
          </w:tcPr>
          <w:p>
            <w:pPr>
              <w:jc w:val="right"/>
              <w:ind w:right="133"/>
              <w:spacing w:after="0"/>
              <w:rPr>
                <w:sz w:val="20"/>
                <w:szCs w:val="20"/>
                <w:color w:val="auto"/>
              </w:rPr>
            </w:pPr>
            <w:r>
              <w:rPr>
                <w:rFonts w:ascii="Arial" w:cs="Arial" w:eastAsia="Arial" w:hAnsi="Arial"/>
                <w:sz w:val="13"/>
                <w:szCs w:val="13"/>
                <w:b w:val="1"/>
                <w:bCs w:val="1"/>
                <w:color w:val="auto"/>
              </w:rPr>
              <w:t>-2.69%</w:t>
            </w:r>
          </w:p>
        </w:tc>
        <w:tc>
          <w:tcPr>
            <w:tcW w:w="940" w:type="dxa"/>
            <w:vAlign w:val="bottom"/>
          </w:tcPr>
          <w:p>
            <w:pPr>
              <w:jc w:val="right"/>
              <w:ind w:right="73"/>
              <w:spacing w:after="0"/>
              <w:rPr>
                <w:sz w:val="20"/>
                <w:szCs w:val="20"/>
                <w:color w:val="auto"/>
              </w:rPr>
            </w:pPr>
            <w:r>
              <w:rPr>
                <w:rFonts w:ascii="Arial" w:cs="Arial" w:eastAsia="Arial" w:hAnsi="Arial"/>
                <w:sz w:val="13"/>
                <w:szCs w:val="13"/>
                <w:b w:val="1"/>
                <w:bCs w:val="1"/>
                <w:color w:val="auto"/>
              </w:rPr>
              <w:t>0.46%</w:t>
            </w:r>
          </w:p>
        </w:tc>
        <w:tc>
          <w:tcPr>
            <w:tcW w:w="980" w:type="dxa"/>
            <w:vAlign w:val="bottom"/>
          </w:tcPr>
          <w:p>
            <w:pPr>
              <w:jc w:val="right"/>
              <w:ind w:right="153"/>
              <w:spacing w:after="0"/>
              <w:rPr>
                <w:sz w:val="20"/>
                <w:szCs w:val="20"/>
                <w:color w:val="auto"/>
              </w:rPr>
            </w:pPr>
            <w:r>
              <w:rPr>
                <w:rFonts w:ascii="Arial" w:cs="Arial" w:eastAsia="Arial" w:hAnsi="Arial"/>
                <w:sz w:val="13"/>
                <w:szCs w:val="13"/>
                <w:b w:val="1"/>
                <w:bCs w:val="1"/>
                <w:color w:val="auto"/>
              </w:rPr>
              <w:t>5,244,642</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5,738,263</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9.41%</w:t>
            </w:r>
          </w:p>
        </w:tc>
        <w:tc>
          <w:tcPr>
            <w:tcW w:w="20" w:type="dxa"/>
            <w:vAlign w:val="bottom"/>
          </w:tcPr>
          <w:p>
            <w:pPr>
              <w:spacing w:after="0"/>
              <w:rPr>
                <w:sz w:val="14"/>
                <w:szCs w:val="14"/>
                <w:color w:val="auto"/>
              </w:rPr>
            </w:pPr>
          </w:p>
        </w:tc>
      </w:tr>
    </w:tbl>
    <w:p>
      <w:pPr>
        <w:ind w:left="460" w:hanging="176"/>
        <w:spacing w:after="0" w:line="218" w:lineRule="auto"/>
        <w:tabs>
          <w:tab w:leader="none" w:pos="4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Corresponds to fees from: credit and debit cards; payments and collections.</w:t>
      </w:r>
    </w:p>
    <w:p>
      <w:pPr>
        <w:ind w:left="460" w:hanging="176"/>
        <w:spacing w:after="0" w:line="218" w:lineRule="auto"/>
        <w:tabs>
          <w:tab w:leader="none" w:pos="4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Corresponds to fees from: Account maintenance, interbank transfers, national money orders y international transfers.</w:t>
      </w:r>
    </w:p>
    <w:p>
      <w:pPr>
        <w:ind w:left="460" w:hanging="176"/>
        <w:spacing w:after="0" w:line="218" w:lineRule="auto"/>
        <w:tabs>
          <w:tab w:leader="none" w:pos="4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Corresponds to fees from retail and wholesale loan disbursements.</w:t>
      </w:r>
    </w:p>
    <w:p>
      <w:pPr>
        <w:ind w:left="460" w:hanging="176"/>
        <w:spacing w:after="0"/>
        <w:tabs>
          <w:tab w:leader="none" w:pos="4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Use of third-party network, other services to third parties and Commissions in foreign branches.</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3" w:name="page34"/>
    <w:bookmarkEnd w:id="33"/>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88900</wp:posOffset>
            </wp:positionV>
            <wp:extent cx="7141845" cy="535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2393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1845" cy="239395"/>
                    </a:xfrm>
                    <a:prstGeom prst="rect">
                      <a:avLst/>
                    </a:prstGeom>
                    <a:noFill/>
                  </pic:spPr>
                </pic:pic>
              </a:graphicData>
            </a:graphic>
          </wp:anchor>
        </w:drawing>
      </w:r>
    </w:p>
    <w:p>
      <w:pPr>
        <w:spacing w:after="0" w:line="372"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06. Other Income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Fee income for banking services fell QoQ due to:</w:t>
      </w:r>
    </w:p>
    <w:p>
      <w:pPr>
        <w:spacing w:after="0" w:line="182" w:lineRule="exact"/>
        <w:rPr>
          <w:sz w:val="20"/>
          <w:szCs w:val="20"/>
          <w:color w:val="auto"/>
        </w:rPr>
      </w:pPr>
    </w:p>
    <w:p>
      <w:pPr>
        <w:ind w:left="1000" w:hanging="660"/>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drop in Liabilities Accounts due to the elimination of fees for inter-city transfers in 4Q22 in certain channels; and</w:t>
      </w:r>
    </w:p>
    <w:p>
      <w:pPr>
        <w:spacing w:after="0" w:line="9" w:lineRule="exact"/>
        <w:rPr>
          <w:rFonts w:ascii="Arial" w:cs="Arial" w:eastAsia="Arial" w:hAnsi="Arial"/>
          <w:sz w:val="17"/>
          <w:szCs w:val="17"/>
          <w:color w:val="auto"/>
        </w:rPr>
      </w:pPr>
    </w:p>
    <w:p>
      <w:pPr>
        <w:ind w:left="1000" w:hanging="660"/>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Others</w:t>
      </w:r>
      <w:r>
        <w:rPr>
          <w:rFonts w:ascii="Arial" w:cs="Arial" w:eastAsia="Arial" w:hAnsi="Arial"/>
          <w:sz w:val="17"/>
          <w:szCs w:val="17"/>
          <w:color w:val="auto"/>
        </w:rPr>
        <w:t>, which was mainly driven by higher fees paid to third parties due to higher transactional volumes.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YoY and FY, fee income for banking services followed an upward trend due to growth in:</w:t>
      </w:r>
    </w:p>
    <w:p>
      <w:pPr>
        <w:spacing w:after="0" w:line="182" w:lineRule="exact"/>
        <w:rPr>
          <w:sz w:val="20"/>
          <w:szCs w:val="20"/>
          <w:color w:val="auto"/>
        </w:rPr>
      </w:pPr>
    </w:p>
    <w:p>
      <w:pPr>
        <w:jc w:val="both"/>
        <w:ind w:left="1000" w:hanging="660"/>
        <w:spacing w:after="0" w:line="238"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Payment methods and Services, </w:t>
      </w:r>
      <w:r>
        <w:rPr>
          <w:rFonts w:ascii="Arial" w:cs="Arial" w:eastAsia="Arial" w:hAnsi="Arial"/>
          <w:sz w:val="17"/>
          <w:szCs w:val="17"/>
          <w:color w:val="auto"/>
        </w:rPr>
        <w:t>which was associated with an increase in transactions and ongoing migration to digital channels and</w:t>
      </w:r>
      <w:r>
        <w:rPr>
          <w:rFonts w:ascii="Arial" w:cs="Arial" w:eastAsia="Arial" w:hAnsi="Arial"/>
          <w:sz w:val="17"/>
          <w:szCs w:val="17"/>
          <w:b w:val="1"/>
          <w:bCs w:val="1"/>
          <w:color w:val="auto"/>
        </w:rPr>
        <w:t xml:space="preserve"> </w:t>
      </w:r>
      <w:r>
        <w:rPr>
          <w:rFonts w:ascii="Arial" w:cs="Arial" w:eastAsia="Arial" w:hAnsi="Arial"/>
          <w:sz w:val="17"/>
          <w:szCs w:val="17"/>
          <w:color w:val="auto"/>
        </w:rPr>
        <w:t>POS, which, unlike cash, generate fee income. The consumption volume with debt cards rose 17% YoY and 29% FY, while credit card consumption was up 27% YoY and 36% FY.</w:t>
      </w:r>
    </w:p>
    <w:p>
      <w:pPr>
        <w:ind w:left="1000" w:hanging="660"/>
        <w:spacing w:after="0" w:line="231"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Fee income from Credit Disbursements, which was driven mainly by Personal Loans, where fees were up 27%.</w:t>
      </w:r>
    </w:p>
    <w:p>
      <w:pPr>
        <w:ind w:left="1000" w:hanging="660"/>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Passive and transactional accounts</w:t>
      </w:r>
      <w:r>
        <w:rPr>
          <w:rFonts w:ascii="Arial" w:cs="Arial" w:eastAsia="Arial" w:hAnsi="Arial"/>
          <w:sz w:val="17"/>
          <w:szCs w:val="17"/>
          <w:color w:val="auto"/>
        </w:rPr>
        <w:t>, which rose 9% FY after interbank transactions were made available the whole 2022.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6.2 Other non-core income</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2740" w:type="dxa"/>
            <w:vAlign w:val="bottom"/>
            <w:tcBorders>
              <w:top w:val="single" w:sz="8" w:color="auto"/>
              <w:left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3"/>
                <w:szCs w:val="13"/>
                <w:b w:val="1"/>
                <w:bCs w:val="1"/>
                <w:color w:val="FFFFFF"/>
              </w:rPr>
              <w:t>Non-core Other income</w:t>
            </w:r>
          </w:p>
        </w:tc>
        <w:tc>
          <w:tcPr>
            <w:tcW w:w="1000" w:type="dxa"/>
            <w:vAlign w:val="bottom"/>
            <w:tcBorders>
              <w:top w:val="single" w:sz="8" w:color="auto"/>
              <w:right w:val="single" w:sz="8" w:color="2AD2C9"/>
            </w:tcBorders>
            <w:shd w:val="clear" w:color="auto" w:fill="2AD2C9"/>
          </w:tcPr>
          <w:p>
            <w:pPr>
              <w:spacing w:after="0"/>
              <w:rPr>
                <w:sz w:val="15"/>
                <w:szCs w:val="15"/>
                <w:color w:val="auto"/>
              </w:rPr>
            </w:pPr>
          </w:p>
        </w:tc>
        <w:tc>
          <w:tcPr>
            <w:tcW w:w="1020" w:type="dxa"/>
            <w:vAlign w:val="bottom"/>
            <w:tcBorders>
              <w:top w:val="single" w:sz="8" w:color="auto"/>
              <w:right w:val="single" w:sz="8" w:color="2AD2C9"/>
            </w:tcBorders>
            <w:shd w:val="clear" w:color="auto" w:fill="2AD2C9"/>
          </w:tcPr>
          <w:p>
            <w:pPr>
              <w:jc w:val="right"/>
              <w:ind w:right="213"/>
              <w:spacing w:after="0"/>
              <w:rPr>
                <w:sz w:val="20"/>
                <w:szCs w:val="20"/>
                <w:color w:val="auto"/>
              </w:rPr>
            </w:pPr>
            <w:r>
              <w:rPr>
                <w:rFonts w:ascii="Arial" w:cs="Arial" w:eastAsia="Arial" w:hAnsi="Arial"/>
                <w:sz w:val="13"/>
                <w:szCs w:val="13"/>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15"/>
                <w:szCs w:val="15"/>
                <w:color w:val="auto"/>
              </w:rPr>
            </w:pPr>
          </w:p>
        </w:tc>
        <w:tc>
          <w:tcPr>
            <w:tcW w:w="2040" w:type="dxa"/>
            <w:vAlign w:val="bottom"/>
            <w:tcBorders>
              <w:top w:val="single" w:sz="8" w:color="auto"/>
              <w:right w:val="single" w:sz="8" w:color="auto"/>
            </w:tcBorders>
            <w:gridSpan w:val="2"/>
            <w:shd w:val="clear" w:color="auto" w:fill="2AD2C9"/>
          </w:tcPr>
          <w:p>
            <w:pPr>
              <w:ind w:left="700"/>
              <w:spacing w:after="0"/>
              <w:rPr>
                <w:sz w:val="20"/>
                <w:szCs w:val="20"/>
                <w:color w:val="auto"/>
              </w:rPr>
            </w:pPr>
            <w:r>
              <w:rPr>
                <w:rFonts w:ascii="Arial" w:cs="Arial" w:eastAsia="Arial" w:hAnsi="Arial"/>
                <w:sz w:val="13"/>
                <w:szCs w:val="13"/>
                <w:b w:val="1"/>
                <w:bCs w:val="1"/>
                <w:color w:val="FFFFFF"/>
              </w:rPr>
              <w:t>% Change</w:t>
            </w:r>
          </w:p>
        </w:tc>
        <w:tc>
          <w:tcPr>
            <w:tcW w:w="1160" w:type="dxa"/>
            <w:vAlign w:val="bottom"/>
            <w:tcBorders>
              <w:top w:val="single" w:sz="8" w:color="auto"/>
            </w:tcBorders>
            <w:gridSpan w:val="2"/>
            <w:shd w:val="clear" w:color="auto" w:fill="2AD2C9"/>
          </w:tcPr>
          <w:p>
            <w:pPr>
              <w:ind w:left="760"/>
              <w:spacing w:after="0"/>
              <w:rPr>
                <w:sz w:val="20"/>
                <w:szCs w:val="20"/>
                <w:color w:val="auto"/>
              </w:rPr>
            </w:pPr>
            <w:r>
              <w:rPr>
                <w:rFonts w:ascii="Arial" w:cs="Arial" w:eastAsia="Arial" w:hAnsi="Arial"/>
                <w:sz w:val="13"/>
                <w:szCs w:val="13"/>
                <w:b w:val="1"/>
                <w:bCs w:val="1"/>
                <w:color w:val="FFFFFF"/>
              </w:rPr>
              <w:t>As of</w:t>
            </w:r>
          </w:p>
        </w:tc>
        <w:tc>
          <w:tcPr>
            <w:tcW w:w="720" w:type="dxa"/>
            <w:vAlign w:val="bottom"/>
            <w:tcBorders>
              <w:top w:val="single" w:sz="8" w:color="auto"/>
              <w:right w:val="single" w:sz="8" w:color="auto"/>
            </w:tcBorders>
            <w:shd w:val="clear" w:color="auto" w:fill="2AD2C9"/>
          </w:tcPr>
          <w:p>
            <w:pPr>
              <w:spacing w:after="0"/>
              <w:rPr>
                <w:sz w:val="15"/>
                <w:szCs w:val="15"/>
                <w:color w:val="auto"/>
              </w:rPr>
            </w:pPr>
          </w:p>
        </w:tc>
        <w:tc>
          <w:tcPr>
            <w:tcW w:w="154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51"/>
        </w:trPr>
        <w:tc>
          <w:tcPr>
            <w:tcW w:w="274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3"/>
                <w:szCs w:val="13"/>
                <w:b w:val="1"/>
                <w:bCs w:val="1"/>
                <w:color w:val="FFFFFF"/>
              </w:rPr>
              <w:t>(S/ 000)</w:t>
            </w:r>
          </w:p>
        </w:tc>
        <w:tc>
          <w:tcPr>
            <w:tcW w:w="1000" w:type="dxa"/>
            <w:vAlign w:val="bottom"/>
            <w:tcBorders>
              <w:bottom w:val="single" w:sz="8" w:color="auto"/>
              <w:right w:val="single" w:sz="8" w:color="2AD2C9"/>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4Q21</w:t>
            </w:r>
          </w:p>
        </w:tc>
        <w:tc>
          <w:tcPr>
            <w:tcW w:w="1020" w:type="dxa"/>
            <w:vAlign w:val="bottom"/>
            <w:tcBorders>
              <w:bottom w:val="single" w:sz="8" w:color="auto"/>
              <w:right w:val="single" w:sz="8" w:color="2AD2C9"/>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3Q22</w:t>
            </w:r>
          </w:p>
        </w:tc>
        <w:tc>
          <w:tcPr>
            <w:tcW w:w="1020" w:type="dxa"/>
            <w:vAlign w:val="bottom"/>
            <w:tcBorders>
              <w:bottom w:val="single" w:sz="8" w:color="auto"/>
              <w:right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4Q22</w:t>
            </w:r>
          </w:p>
        </w:tc>
        <w:tc>
          <w:tcPr>
            <w:tcW w:w="1020" w:type="dxa"/>
            <w:vAlign w:val="bottom"/>
            <w:tcBorders>
              <w:bottom w:val="single" w:sz="8" w:color="auto"/>
              <w:right w:val="single" w:sz="8" w:color="2AD2C9"/>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10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YoY</w:t>
            </w:r>
          </w:p>
        </w:tc>
        <w:tc>
          <w:tcPr>
            <w:tcW w:w="1160" w:type="dxa"/>
            <w:vAlign w:val="bottom"/>
            <w:tcBorders>
              <w:bottom w:val="single" w:sz="8" w:color="auto"/>
            </w:tcBorders>
            <w:gridSpan w:val="2"/>
            <w:shd w:val="clear" w:color="auto" w:fill="2AD2C9"/>
          </w:tcPr>
          <w:p>
            <w:pPr>
              <w:ind w:left="280"/>
              <w:spacing w:after="0"/>
              <w:rPr>
                <w:sz w:val="20"/>
                <w:szCs w:val="20"/>
                <w:color w:val="auto"/>
              </w:rPr>
            </w:pPr>
            <w:r>
              <w:rPr>
                <w:rFonts w:ascii="Arial" w:cs="Arial" w:eastAsia="Arial" w:hAnsi="Arial"/>
                <w:sz w:val="13"/>
                <w:szCs w:val="13"/>
                <w:b w:val="1"/>
                <w:bCs w:val="1"/>
                <w:color w:val="FFFFFF"/>
              </w:rPr>
              <w:t>Dec 21</w:t>
            </w:r>
          </w:p>
        </w:tc>
        <w:tc>
          <w:tcPr>
            <w:tcW w:w="720" w:type="dxa"/>
            <w:vAlign w:val="bottom"/>
            <w:tcBorders>
              <w:bottom w:val="single" w:sz="8" w:color="auto"/>
              <w:right w:val="single" w:sz="8" w:color="auto"/>
            </w:tcBorders>
            <w:shd w:val="clear" w:color="auto" w:fill="2AD2C9"/>
          </w:tcPr>
          <w:p>
            <w:pPr>
              <w:jc w:val="right"/>
              <w:ind w:right="173"/>
              <w:spacing w:after="0"/>
              <w:rPr>
                <w:sz w:val="20"/>
                <w:szCs w:val="20"/>
                <w:color w:val="auto"/>
              </w:rPr>
            </w:pPr>
            <w:r>
              <w:rPr>
                <w:rFonts w:ascii="Arial" w:cs="Arial" w:eastAsia="Arial" w:hAnsi="Arial"/>
                <w:sz w:val="13"/>
                <w:szCs w:val="13"/>
                <w:b w:val="1"/>
                <w:bCs w:val="1"/>
                <w:color w:val="FFFFFF"/>
              </w:rPr>
              <w:t>Dec 22</w:t>
            </w:r>
          </w:p>
        </w:tc>
        <w:tc>
          <w:tcPr>
            <w:tcW w:w="15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Dec 22/ Dec 21</w:t>
            </w:r>
          </w:p>
        </w:tc>
      </w:tr>
      <w:tr>
        <w:trPr>
          <w:trHeight w:val="121"/>
        </w:trPr>
        <w:tc>
          <w:tcPr>
            <w:tcW w:w="2740" w:type="dxa"/>
            <w:vAlign w:val="bottom"/>
            <w:tcBorders>
              <w:left w:val="single" w:sz="8" w:color="auto"/>
              <w:right w:val="single" w:sz="8" w:color="auto"/>
            </w:tcBorders>
          </w:tcPr>
          <w:p>
            <w:pPr>
              <w:ind w:left="60"/>
              <w:spacing w:after="0" w:line="121" w:lineRule="exact"/>
              <w:rPr>
                <w:sz w:val="20"/>
                <w:szCs w:val="20"/>
                <w:color w:val="auto"/>
              </w:rPr>
            </w:pPr>
            <w:r>
              <w:rPr>
                <w:rFonts w:ascii="Arial" w:cs="Arial" w:eastAsia="Arial" w:hAnsi="Arial"/>
                <w:sz w:val="13"/>
                <w:szCs w:val="13"/>
                <w:color w:val="auto"/>
              </w:rPr>
              <w:t>Net gain on securities</w:t>
            </w:r>
          </w:p>
        </w:tc>
        <w:tc>
          <w:tcPr>
            <w:tcW w:w="1000" w:type="dxa"/>
            <w:vAlign w:val="bottom"/>
            <w:tcBorders>
              <w:right w:val="single" w:sz="8" w:color="auto"/>
            </w:tcBorders>
          </w:tcPr>
          <w:p>
            <w:pPr>
              <w:jc w:val="right"/>
              <w:ind w:right="53"/>
              <w:spacing w:after="0" w:line="121" w:lineRule="exact"/>
              <w:rPr>
                <w:sz w:val="20"/>
                <w:szCs w:val="20"/>
                <w:color w:val="auto"/>
              </w:rPr>
            </w:pPr>
            <w:r>
              <w:rPr>
                <w:rFonts w:ascii="Arial" w:cs="Arial" w:eastAsia="Arial" w:hAnsi="Arial"/>
                <w:sz w:val="13"/>
                <w:szCs w:val="13"/>
                <w:color w:val="auto"/>
              </w:rPr>
              <w:t>2,550</w:t>
            </w:r>
          </w:p>
        </w:tc>
        <w:tc>
          <w:tcPr>
            <w:tcW w:w="1020" w:type="dxa"/>
            <w:vAlign w:val="bottom"/>
            <w:tcBorders>
              <w:right w:val="single" w:sz="8" w:color="auto"/>
            </w:tcBorders>
          </w:tcPr>
          <w:p>
            <w:pPr>
              <w:jc w:val="right"/>
              <w:ind w:right="13"/>
              <w:spacing w:after="0" w:line="121" w:lineRule="exact"/>
              <w:rPr>
                <w:sz w:val="20"/>
                <w:szCs w:val="20"/>
                <w:color w:val="auto"/>
              </w:rPr>
            </w:pPr>
            <w:r>
              <w:rPr>
                <w:rFonts w:ascii="Arial" w:cs="Arial" w:eastAsia="Arial" w:hAnsi="Arial"/>
                <w:sz w:val="13"/>
                <w:szCs w:val="13"/>
                <w:color w:val="auto"/>
              </w:rPr>
              <w:t>(25,459)</w:t>
            </w:r>
          </w:p>
        </w:tc>
        <w:tc>
          <w:tcPr>
            <w:tcW w:w="1020" w:type="dxa"/>
            <w:vAlign w:val="bottom"/>
            <w:tcBorders>
              <w:right w:val="single" w:sz="8" w:color="auto"/>
            </w:tcBorders>
          </w:tcPr>
          <w:p>
            <w:pPr>
              <w:jc w:val="right"/>
              <w:ind w:right="53"/>
              <w:spacing w:after="0" w:line="121" w:lineRule="exact"/>
              <w:rPr>
                <w:sz w:val="20"/>
                <w:szCs w:val="20"/>
                <w:color w:val="auto"/>
              </w:rPr>
            </w:pPr>
            <w:r>
              <w:rPr>
                <w:rFonts w:ascii="Arial" w:cs="Arial" w:eastAsia="Arial" w:hAnsi="Arial"/>
                <w:sz w:val="13"/>
                <w:szCs w:val="13"/>
                <w:color w:val="auto"/>
              </w:rPr>
              <w:t>77,512</w:t>
            </w:r>
          </w:p>
        </w:tc>
        <w:tc>
          <w:tcPr>
            <w:tcW w:w="10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w w:val="99"/>
              </w:rPr>
              <w:t>n.a</w:t>
            </w:r>
          </w:p>
        </w:tc>
        <w:tc>
          <w:tcPr>
            <w:tcW w:w="10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rPr>
              <w:t>2939.7%</w:t>
            </w:r>
          </w:p>
        </w:tc>
        <w:tc>
          <w:tcPr>
            <w:tcW w:w="1020" w:type="dxa"/>
            <w:vAlign w:val="bottom"/>
            <w:tcBorders>
              <w:right w:val="single" w:sz="8" w:color="auto"/>
            </w:tcBorders>
          </w:tcPr>
          <w:p>
            <w:pPr>
              <w:jc w:val="right"/>
              <w:ind w:right="13"/>
              <w:spacing w:after="0" w:line="121" w:lineRule="exact"/>
              <w:rPr>
                <w:sz w:val="20"/>
                <w:szCs w:val="20"/>
                <w:color w:val="auto"/>
              </w:rPr>
            </w:pPr>
            <w:r>
              <w:rPr>
                <w:rFonts w:ascii="Arial" w:cs="Arial" w:eastAsia="Arial" w:hAnsi="Arial"/>
                <w:sz w:val="13"/>
                <w:szCs w:val="13"/>
                <w:color w:val="auto"/>
              </w:rPr>
              <w:t>(45,371)</w:t>
            </w:r>
          </w:p>
        </w:tc>
        <w:tc>
          <w:tcPr>
            <w:tcW w:w="140" w:type="dxa"/>
            <w:vAlign w:val="bottom"/>
          </w:tcPr>
          <w:p>
            <w:pPr>
              <w:spacing w:after="0"/>
              <w:rPr>
                <w:sz w:val="10"/>
                <w:szCs w:val="10"/>
                <w:color w:val="auto"/>
              </w:rPr>
            </w:pPr>
          </w:p>
        </w:tc>
        <w:tc>
          <w:tcPr>
            <w:tcW w:w="720" w:type="dxa"/>
            <w:vAlign w:val="bottom"/>
            <w:tcBorders>
              <w:right w:val="single" w:sz="8" w:color="auto"/>
            </w:tcBorders>
          </w:tcPr>
          <w:p>
            <w:pPr>
              <w:jc w:val="right"/>
              <w:spacing w:after="0" w:line="121" w:lineRule="exact"/>
              <w:rPr>
                <w:sz w:val="20"/>
                <w:szCs w:val="20"/>
                <w:color w:val="auto"/>
              </w:rPr>
            </w:pPr>
            <w:r>
              <w:rPr>
                <w:rFonts w:ascii="Arial" w:cs="Arial" w:eastAsia="Arial" w:hAnsi="Arial"/>
                <w:sz w:val="13"/>
                <w:szCs w:val="13"/>
                <w:color w:val="auto"/>
              </w:rPr>
              <w:t>(98,993)</w:t>
            </w:r>
          </w:p>
        </w:tc>
        <w:tc>
          <w:tcPr>
            <w:tcW w:w="154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rPr>
              <w:t>n.a.</w:t>
            </w:r>
          </w:p>
        </w:tc>
      </w:tr>
      <w:tr>
        <w:trPr>
          <w:trHeight w:val="166"/>
        </w:trPr>
        <w:tc>
          <w:tcPr>
            <w:tcW w:w="2740" w:type="dxa"/>
            <w:vAlign w:val="bottom"/>
            <w:tcBorders>
              <w:left w:val="single" w:sz="8" w:color="auto"/>
              <w:right w:val="single" w:sz="8" w:color="auto"/>
            </w:tcBorders>
          </w:tcPr>
          <w:p>
            <w:pPr>
              <w:ind w:left="60"/>
              <w:spacing w:after="0" w:line="166" w:lineRule="exact"/>
              <w:rPr>
                <w:sz w:val="20"/>
                <w:szCs w:val="20"/>
                <w:color w:val="auto"/>
              </w:rPr>
            </w:pPr>
            <w:r>
              <w:rPr>
                <w:rFonts w:ascii="Arial" w:cs="Arial" w:eastAsia="Arial" w:hAnsi="Arial"/>
                <w:sz w:val="12"/>
                <w:szCs w:val="12"/>
                <w:color w:val="auto"/>
              </w:rPr>
              <w:t xml:space="preserve">Net gain from associates </w:t>
            </w:r>
            <w:r>
              <w:rPr>
                <w:rFonts w:ascii="Arial" w:cs="Arial" w:eastAsia="Arial" w:hAnsi="Arial"/>
                <w:sz w:val="19"/>
                <w:szCs w:val="19"/>
                <w:color w:val="auto"/>
                <w:vertAlign w:val="superscript"/>
              </w:rPr>
              <w:t>(1)</w:t>
            </w:r>
          </w:p>
        </w:tc>
        <w:tc>
          <w:tcPr>
            <w:tcW w:w="10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13,224</w:t>
            </w:r>
          </w:p>
        </w:tc>
        <w:tc>
          <w:tcPr>
            <w:tcW w:w="10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25,806</w:t>
            </w:r>
          </w:p>
        </w:tc>
        <w:tc>
          <w:tcPr>
            <w:tcW w:w="10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25,422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92.2%</w:t>
            </w:r>
          </w:p>
        </w:tc>
        <w:tc>
          <w:tcPr>
            <w:tcW w:w="10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74,021</w:t>
            </w:r>
          </w:p>
        </w:tc>
        <w:tc>
          <w:tcPr>
            <w:tcW w:w="140" w:type="dxa"/>
            <w:vAlign w:val="bottom"/>
          </w:tcPr>
          <w:p>
            <w:pPr>
              <w:spacing w:after="0"/>
              <w:rPr>
                <w:sz w:val="14"/>
                <w:szCs w:val="14"/>
                <w:color w:val="auto"/>
              </w:rPr>
            </w:pPr>
          </w:p>
        </w:tc>
        <w:tc>
          <w:tcPr>
            <w:tcW w:w="7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104,461</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41.1%</w:t>
            </w:r>
          </w:p>
        </w:tc>
      </w:tr>
      <w:tr>
        <w:trPr>
          <w:trHeight w:val="151"/>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 gain on derivatives held for trading</w:t>
            </w:r>
          </w:p>
        </w:tc>
        <w:tc>
          <w:tcPr>
            <w:tcW w:w="10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46,546</w:t>
            </w:r>
          </w:p>
        </w:tc>
        <w:tc>
          <w:tcPr>
            <w:tcW w:w="10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53,008</w:t>
            </w:r>
          </w:p>
        </w:tc>
        <w:tc>
          <w:tcPr>
            <w:tcW w:w="10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5,857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-89.0%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-87.4%</w:t>
            </w:r>
          </w:p>
        </w:tc>
        <w:tc>
          <w:tcPr>
            <w:tcW w:w="10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221,064</w:t>
            </w:r>
          </w:p>
        </w:tc>
        <w:tc>
          <w:tcPr>
            <w:tcW w:w="140" w:type="dxa"/>
            <w:vAlign w:val="bottom"/>
          </w:tcPr>
          <w:p>
            <w:pPr>
              <w:spacing w:after="0"/>
              <w:rPr>
                <w:sz w:val="13"/>
                <w:szCs w:val="13"/>
                <w:color w:val="auto"/>
              </w:rPr>
            </w:pPr>
          </w:p>
        </w:tc>
        <w:tc>
          <w:tcPr>
            <w:tcW w:w="7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65,187</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-70.5%</w:t>
            </w:r>
          </w:p>
        </w:tc>
      </w:tr>
      <w:tr>
        <w:trPr>
          <w:trHeight w:val="151"/>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 gain from exchange differences</w:t>
            </w: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(22,083)</w:t>
            </w:r>
          </w:p>
        </w:tc>
        <w:tc>
          <w:tcPr>
            <w:tcW w:w="10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(4,071)</w:t>
            </w:r>
          </w:p>
        </w:tc>
        <w:tc>
          <w:tcPr>
            <w:tcW w:w="10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22,039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n.a</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n.a</w:t>
            </w:r>
          </w:p>
        </w:tc>
        <w:tc>
          <w:tcPr>
            <w:tcW w:w="10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(3,215)</w:t>
            </w:r>
          </w:p>
        </w:tc>
        <w:tc>
          <w:tcPr>
            <w:tcW w:w="140" w:type="dxa"/>
            <w:vAlign w:val="bottom"/>
          </w:tcPr>
          <w:p>
            <w:pPr>
              <w:spacing w:after="0"/>
              <w:rPr>
                <w:sz w:val="13"/>
                <w:szCs w:val="13"/>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(16,158)</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402.6%</w:t>
            </w:r>
          </w:p>
        </w:tc>
      </w:tr>
      <w:tr>
        <w:trPr>
          <w:trHeight w:val="164"/>
        </w:trPr>
        <w:tc>
          <w:tcPr>
            <w:tcW w:w="2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Other non-financial income</w:t>
            </w:r>
          </w:p>
        </w:tc>
        <w:tc>
          <w:tcPr>
            <w:tcW w:w="10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76,748</w:t>
            </w:r>
          </w:p>
        </w:tc>
        <w:tc>
          <w:tcPr>
            <w:tcW w:w="10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64,491</w:t>
            </w:r>
          </w:p>
        </w:tc>
        <w:tc>
          <w:tcPr>
            <w:tcW w:w="10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32,064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-50.3%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-58.2%</w:t>
            </w:r>
          </w:p>
        </w:tc>
        <w:tc>
          <w:tcPr>
            <w:tcW w:w="10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266,567</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329,382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23.6%</w:t>
            </w:r>
          </w:p>
        </w:tc>
      </w:tr>
      <w:tr>
        <w:trPr>
          <w:trHeight w:val="156"/>
        </w:trPr>
        <w:tc>
          <w:tcPr>
            <w:tcW w:w="2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Total other income Non-Core</w:t>
            </w:r>
          </w:p>
        </w:tc>
        <w:tc>
          <w:tcPr>
            <w:tcW w:w="100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116,985</w:t>
            </w:r>
          </w:p>
        </w:tc>
        <w:tc>
          <w:tcPr>
            <w:tcW w:w="10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113,775</w:t>
            </w:r>
          </w:p>
        </w:tc>
        <w:tc>
          <w:tcPr>
            <w:tcW w:w="10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162,894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43.2%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39.2%</w:t>
            </w:r>
          </w:p>
        </w:tc>
        <w:tc>
          <w:tcPr>
            <w:tcW w:w="10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513,066</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383,879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-25.2%</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(1) Includes gains on other investments, which are mainly attributable to the Banmedica result.</w:t>
      </w:r>
    </w:p>
    <w:p>
      <w:pPr>
        <w:sectPr>
          <w:pgSz w:w="11900" w:h="16838" w:orient="portrait"/>
          <w:cols w:equalWidth="0" w:num="1">
            <w:col w:w="11240"/>
          </w:cols>
          <w:pgMar w:left="320" w:top="433" w:right="339" w:bottom="1440" w:gutter="0" w:footer="0" w:header="0"/>
        </w:sectPr>
      </w:pPr>
    </w:p>
    <w:p>
      <w:pPr>
        <w:spacing w:after="0" w:line="175" w:lineRule="exact"/>
        <w:rPr>
          <w:sz w:val="20"/>
          <w:szCs w:val="20"/>
          <w:color w:val="auto"/>
        </w:rPr>
      </w:pPr>
    </w:p>
    <w:p>
      <w:pPr>
        <w:jc w:val="center"/>
        <w:ind w:right="800"/>
        <w:spacing w:after="0"/>
        <w:rPr>
          <w:sz w:val="20"/>
          <w:szCs w:val="20"/>
          <w:color w:val="auto"/>
        </w:rPr>
      </w:pPr>
      <w:r>
        <w:rPr>
          <w:rFonts w:ascii="Arial" w:cs="Arial" w:eastAsia="Arial" w:hAnsi="Arial"/>
          <w:sz w:val="16"/>
          <w:szCs w:val="16"/>
          <w:b w:val="1"/>
          <w:bCs w:val="1"/>
          <w:color w:val="auto"/>
        </w:rPr>
        <w:t>YoY evolution of non-core income</w:t>
      </w:r>
    </w:p>
    <w:p>
      <w:pPr>
        <w:spacing w:after="0" w:line="21"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(millions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116205</wp:posOffset>
            </wp:positionV>
            <wp:extent cx="2396490" cy="22529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96490" cy="2252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520"/>
        <w:spacing w:after="0"/>
        <w:rPr>
          <w:sz w:val="20"/>
          <w:szCs w:val="20"/>
          <w:color w:val="auto"/>
        </w:rPr>
      </w:pPr>
      <w:r>
        <w:rPr>
          <w:rFonts w:ascii="Arial" w:cs="Arial" w:eastAsia="Arial" w:hAnsi="Arial"/>
          <w:sz w:val="16"/>
          <w:szCs w:val="16"/>
          <w:b w:val="1"/>
          <w:bCs w:val="1"/>
          <w:color w:val="auto"/>
        </w:rPr>
        <w:t>FY evolution of non-core income</w:t>
      </w:r>
    </w:p>
    <w:p>
      <w:pPr>
        <w:spacing w:after="0" w:line="21"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(millions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196215</wp:posOffset>
            </wp:positionV>
            <wp:extent cx="2396490" cy="2172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96490" cy="2172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40"/>
          </w:cols>
          <w:pgMar w:left="320" w:top="4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 Others includes Grupo Credito, Credicorp Individual, eliminations and others.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Other non-core income rose QoQ and YoY, driven primarily by:</w:t>
      </w:r>
    </w:p>
    <w:p>
      <w:pPr>
        <w:spacing w:after="0" w:line="182" w:lineRule="exact"/>
        <w:rPr>
          <w:sz w:val="20"/>
          <w:szCs w:val="20"/>
          <w:color w:val="auto"/>
        </w:rPr>
      </w:pPr>
    </w:p>
    <w:p>
      <w:pPr>
        <w:ind w:left="620" w:hanging="28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A increase in the Net gain on securities at </w:t>
      </w:r>
      <w:r>
        <w:rPr>
          <w:rFonts w:ascii="Arial" w:cs="Arial" w:eastAsia="Arial" w:hAnsi="Arial"/>
          <w:sz w:val="17"/>
          <w:szCs w:val="17"/>
          <w:b w:val="1"/>
          <w:bCs w:val="1"/>
          <w:color w:val="auto"/>
        </w:rPr>
        <w:t>Credicorp Stand-alone</w:t>
      </w:r>
      <w:r>
        <w:rPr>
          <w:rFonts w:ascii="Arial" w:cs="Arial" w:eastAsia="Arial" w:hAnsi="Arial"/>
          <w:sz w:val="17"/>
          <w:szCs w:val="17"/>
          <w:color w:val="auto"/>
        </w:rPr>
        <w:t xml:space="preserve"> due to positive fluctuations in the fixed income portfolio.</w:t>
      </w:r>
    </w:p>
    <w:p>
      <w:pPr>
        <w:spacing w:after="0" w:line="9" w:lineRule="exact"/>
        <w:rPr>
          <w:rFonts w:ascii="Arial" w:cs="Arial" w:eastAsia="Arial" w:hAnsi="Arial"/>
          <w:sz w:val="17"/>
          <w:szCs w:val="17"/>
          <w:color w:val="auto"/>
        </w:rPr>
      </w:pPr>
    </w:p>
    <w:p>
      <w:pPr>
        <w:ind w:left="620" w:hanging="280"/>
        <w:spacing w:after="0" w:line="244"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Investment Banking and Wealth Management, </w:t>
      </w:r>
      <w:r>
        <w:rPr>
          <w:rFonts w:ascii="Arial" w:cs="Arial" w:eastAsia="Arial" w:hAnsi="Arial"/>
          <w:sz w:val="17"/>
          <w:szCs w:val="17"/>
          <w:color w:val="auto"/>
        </w:rPr>
        <w:t>due to the positive results generated by trading strategies at Credicorp Capital Colombia and</w:t>
      </w:r>
      <w:r>
        <w:rPr>
          <w:rFonts w:ascii="Arial" w:cs="Arial" w:eastAsia="Arial" w:hAnsi="Arial"/>
          <w:sz w:val="17"/>
          <w:szCs w:val="17"/>
          <w:b w:val="1"/>
          <w:bCs w:val="1"/>
          <w:color w:val="auto"/>
        </w:rPr>
        <w:t xml:space="preserve"> </w:t>
      </w:r>
      <w:r>
        <w:rPr>
          <w:rFonts w:ascii="Arial" w:cs="Arial" w:eastAsia="Arial" w:hAnsi="Arial"/>
          <w:sz w:val="17"/>
          <w:szCs w:val="17"/>
          <w:color w:val="auto"/>
        </w:rPr>
        <w:t>ASB.</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FY, </w:t>
      </w:r>
      <w:r>
        <w:rPr>
          <w:rFonts w:ascii="Arial" w:cs="Arial" w:eastAsia="Arial" w:hAnsi="Arial"/>
          <w:sz w:val="17"/>
          <w:szCs w:val="17"/>
          <w:color w:val="auto"/>
        </w:rPr>
        <w:t>other non-core income fell due to:</w:t>
      </w:r>
    </w:p>
    <w:p>
      <w:pPr>
        <w:spacing w:after="0" w:line="182" w:lineRule="exact"/>
        <w:rPr>
          <w:sz w:val="20"/>
          <w:szCs w:val="20"/>
          <w:color w:val="auto"/>
        </w:rPr>
      </w:pPr>
    </w:p>
    <w:p>
      <w:pPr>
        <w:ind w:left="900" w:hanging="28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drop in the Net gain on Speculative Derivatives due to:</w:t>
      </w:r>
    </w:p>
    <w:p>
      <w:pPr>
        <w:spacing w:after="0" w:line="9" w:lineRule="exact"/>
        <w:rPr>
          <w:rFonts w:ascii="Arial" w:cs="Arial" w:eastAsia="Arial" w:hAnsi="Arial"/>
          <w:sz w:val="17"/>
          <w:szCs w:val="17"/>
          <w:color w:val="auto"/>
        </w:rPr>
      </w:pPr>
    </w:p>
    <w:p>
      <w:pPr>
        <w:ind w:left="1620" w:hanging="286"/>
        <w:spacing w:after="0" w:line="231" w:lineRule="auto"/>
        <w:tabs>
          <w:tab w:leader="none" w:pos="1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Losses generated by the trading portfolio at BCP Stand-alone. These losses were offset by growth in interest income on fixed income investments in LC</w:t>
      </w:r>
    </w:p>
    <w:p>
      <w:pPr>
        <w:spacing w:after="0" w:line="1" w:lineRule="exact"/>
        <w:rPr>
          <w:rFonts w:ascii="Arial" w:cs="Arial" w:eastAsia="Arial" w:hAnsi="Arial"/>
          <w:sz w:val="17"/>
          <w:szCs w:val="17"/>
          <w:color w:val="auto"/>
        </w:rPr>
      </w:pPr>
    </w:p>
    <w:p>
      <w:pPr>
        <w:ind w:left="1620" w:hanging="286"/>
        <w:spacing w:after="0" w:line="231" w:lineRule="auto"/>
        <w:tabs>
          <w:tab w:leader="none" w:pos="1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Losses generated by the trading portfolio at Credicorp Capital Colombia, where lower gains on derivatives were offset by higher gains on securities.</w:t>
      </w:r>
    </w:p>
    <w:p>
      <w:pPr>
        <w:spacing w:after="0" w:line="1" w:lineRule="exact"/>
        <w:rPr>
          <w:rFonts w:ascii="Arial" w:cs="Arial" w:eastAsia="Arial" w:hAnsi="Arial"/>
          <w:sz w:val="17"/>
          <w:szCs w:val="17"/>
          <w:color w:val="auto"/>
        </w:rPr>
      </w:pPr>
    </w:p>
    <w:p>
      <w:pPr>
        <w:ind w:left="900" w:hanging="28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Net loss on securities, given that fixed income investments were impacted by rate hikes in 2022.</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type w:val="continuous"/>
        </w:sectPr>
      </w:pPr>
    </w:p>
    <w:bookmarkStart w:id="34" w:name="page35"/>
    <w:bookmarkEnd w:id="34"/>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88900</wp:posOffset>
            </wp:positionV>
            <wp:extent cx="7141845" cy="535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0" w:lineRule="exact"/>
        <w:rPr>
          <w:sz w:val="20"/>
          <w:szCs w:val="20"/>
          <w:color w:val="auto"/>
        </w:rPr>
      </w:pP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49"/>
          <w:szCs w:val="49"/>
          <w:b w:val="1"/>
          <w:bCs w:val="1"/>
          <w:color w:val="D52399"/>
        </w:rPr>
        <w:t>07</w:t>
      </w:r>
      <w:r>
        <w:rPr>
          <w:sz w:val="20"/>
          <w:szCs w:val="20"/>
          <w:color w:val="auto"/>
        </w:rPr>
        <w:tab/>
      </w:r>
      <w:r>
        <w:rPr>
          <w:rFonts w:ascii="Arial" w:cs="Arial" w:eastAsia="Arial" w:hAnsi="Arial"/>
          <w:sz w:val="30"/>
          <w:szCs w:val="30"/>
          <w:color w:val="D52399"/>
        </w:rPr>
        <w:t>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141845" cy="1046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1845" cy="1046480"/>
                    </a:xfrm>
                    <a:prstGeom prst="rect">
                      <a:avLst/>
                    </a:prstGeom>
                    <a:noFill/>
                  </pic:spPr>
                </pic:pic>
              </a:graphicData>
            </a:graphic>
          </wp:anchor>
        </w:drawing>
      </w:r>
    </w:p>
    <w:p>
      <w:pPr>
        <w:spacing w:after="0" w:line="355" w:lineRule="exact"/>
        <w:rPr>
          <w:sz w:val="20"/>
          <w:szCs w:val="20"/>
          <w:color w:val="auto"/>
        </w:rPr>
      </w:pPr>
    </w:p>
    <w:p>
      <w:pPr>
        <w:jc w:val="both"/>
        <w:ind w:left="140" w:right="140"/>
        <w:spacing w:after="0" w:line="247" w:lineRule="auto"/>
        <w:rPr>
          <w:sz w:val="20"/>
          <w:szCs w:val="20"/>
          <w:color w:val="auto"/>
        </w:rPr>
      </w:pPr>
      <w:r>
        <w:rPr>
          <w:rFonts w:ascii="Arial" w:cs="Arial" w:eastAsia="Arial" w:hAnsi="Arial"/>
          <w:sz w:val="17"/>
          <w:szCs w:val="17"/>
          <w:color w:val="FFFFFF"/>
        </w:rPr>
        <w:t>The insurance underwriting result fell 7.4% QoQ. This evolution was driven primarily by the Life Business, which reported a drop in premiums across businesses (primarily through Group Life and Credit Life), and secondarily by P &amp; C, which registered an increase in claims through Commercial Lines, Cars and Personal Lines.</w:t>
      </w:r>
    </w:p>
    <w:p>
      <w:pPr>
        <w:spacing w:after="0" w:line="151" w:lineRule="exact"/>
        <w:rPr>
          <w:sz w:val="20"/>
          <w:szCs w:val="20"/>
          <w:color w:val="auto"/>
        </w:rPr>
      </w:pPr>
    </w:p>
    <w:p>
      <w:pPr>
        <w:jc w:val="both"/>
        <w:ind w:left="140" w:right="140"/>
        <w:spacing w:after="0" w:line="247" w:lineRule="auto"/>
        <w:rPr>
          <w:sz w:val="20"/>
          <w:szCs w:val="20"/>
          <w:color w:val="auto"/>
        </w:rPr>
      </w:pPr>
      <w:r>
        <w:rPr>
          <w:rFonts w:ascii="Arial" w:cs="Arial" w:eastAsia="Arial" w:hAnsi="Arial"/>
          <w:sz w:val="17"/>
          <w:szCs w:val="17"/>
          <w:color w:val="FFFFFF"/>
        </w:rPr>
        <w:t>In the YoY and FY analysis, the insurance underwriting result rose due to a drop in claims in the Life Business and to growth in net earned premiums in both businesses due to higher sales and price adjustments, in line with economic reactivation. The aforementioned was partially attenuated by FY growth in claims in P &amp; C.</w:t>
      </w: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3860" w:type="dxa"/>
            <w:vAlign w:val="bottom"/>
            <w:tcBorders>
              <w:top w:val="single" w:sz="8" w:color="auto"/>
              <w:left w:val="single" w:sz="8" w:color="auto"/>
              <w:right w:val="single" w:sz="8" w:color="auto"/>
            </w:tcBorders>
            <w:gridSpan w:val="2"/>
            <w:shd w:val="clear" w:color="auto" w:fill="2AD2C9"/>
          </w:tcPr>
          <w:p>
            <w:pPr>
              <w:ind w:left="20"/>
              <w:spacing w:after="0" w:line="176" w:lineRule="exact"/>
              <w:rPr>
                <w:sz w:val="20"/>
                <w:szCs w:val="20"/>
                <w:color w:val="auto"/>
              </w:rPr>
            </w:pPr>
            <w:r>
              <w:rPr>
                <w:rFonts w:ascii="Arial" w:cs="Arial" w:eastAsia="Arial" w:hAnsi="Arial"/>
                <w:sz w:val="12"/>
                <w:szCs w:val="12"/>
                <w:b w:val="1"/>
                <w:bCs w:val="1"/>
                <w:color w:val="FFFFFF"/>
              </w:rPr>
              <w:t xml:space="preserve">Insurance underwriting result </w:t>
            </w:r>
            <w:r>
              <w:rPr>
                <w:rFonts w:ascii="Arial" w:cs="Arial" w:eastAsia="Arial" w:hAnsi="Arial"/>
                <w:sz w:val="20"/>
                <w:szCs w:val="20"/>
                <w:b w:val="1"/>
                <w:bCs w:val="1"/>
                <w:color w:val="FFFFFF"/>
                <w:vertAlign w:val="superscript"/>
              </w:rPr>
              <w:t>(1)</w:t>
            </w:r>
          </w:p>
        </w:tc>
        <w:tc>
          <w:tcPr>
            <w:tcW w:w="900" w:type="dxa"/>
            <w:vAlign w:val="bottom"/>
            <w:tcBorders>
              <w:top w:val="single" w:sz="8" w:color="auto"/>
              <w:right w:val="single" w:sz="8" w:color="2AD2C9"/>
            </w:tcBorders>
            <w:shd w:val="clear" w:color="auto" w:fill="2AD2C9"/>
          </w:tcPr>
          <w:p>
            <w:pPr>
              <w:spacing w:after="0"/>
              <w:rPr>
                <w:sz w:val="15"/>
                <w:szCs w:val="15"/>
                <w:color w:val="auto"/>
              </w:rPr>
            </w:pPr>
          </w:p>
        </w:tc>
        <w:tc>
          <w:tcPr>
            <w:tcW w:w="900" w:type="dxa"/>
            <w:vAlign w:val="bottom"/>
            <w:tcBorders>
              <w:top w:val="single" w:sz="8" w:color="auto"/>
              <w:right w:val="single" w:sz="8" w:color="2AD2C9"/>
            </w:tcBorders>
            <w:shd w:val="clear" w:color="auto" w:fill="2AD2C9"/>
          </w:tcPr>
          <w:p>
            <w:pPr>
              <w:jc w:val="right"/>
              <w:ind w:right="153"/>
              <w:spacing w:after="0"/>
              <w:rPr>
                <w:sz w:val="20"/>
                <w:szCs w:val="20"/>
                <w:color w:val="auto"/>
              </w:rPr>
            </w:pPr>
            <w:r>
              <w:rPr>
                <w:rFonts w:ascii="Arial" w:cs="Arial" w:eastAsia="Arial" w:hAnsi="Arial"/>
                <w:sz w:val="13"/>
                <w:szCs w:val="13"/>
                <w:b w:val="1"/>
                <w:bCs w:val="1"/>
                <w:color w:val="FFFFFF"/>
              </w:rPr>
              <w:t>Quarter</w:t>
            </w:r>
          </w:p>
        </w:tc>
        <w:tc>
          <w:tcPr>
            <w:tcW w:w="900" w:type="dxa"/>
            <w:vAlign w:val="bottom"/>
            <w:tcBorders>
              <w:top w:val="single" w:sz="8" w:color="auto"/>
              <w:right w:val="single" w:sz="8" w:color="auto"/>
            </w:tcBorders>
            <w:shd w:val="clear" w:color="auto" w:fill="2AD2C9"/>
          </w:tcPr>
          <w:p>
            <w:pPr>
              <w:spacing w:after="0"/>
              <w:rPr>
                <w:sz w:val="15"/>
                <w:szCs w:val="15"/>
                <w:color w:val="auto"/>
              </w:rPr>
            </w:pPr>
          </w:p>
        </w:tc>
        <w:tc>
          <w:tcPr>
            <w:tcW w:w="1660" w:type="dxa"/>
            <w:vAlign w:val="bottom"/>
            <w:tcBorders>
              <w:top w:val="single" w:sz="8" w:color="auto"/>
              <w:right w:val="single" w:sz="8" w:color="auto"/>
            </w:tcBorders>
            <w:gridSpan w:val="2"/>
            <w:shd w:val="clear" w:color="auto" w:fill="2AD2C9"/>
          </w:tcPr>
          <w:p>
            <w:pPr>
              <w:ind w:left="500"/>
              <w:spacing w:after="0"/>
              <w:rPr>
                <w:sz w:val="20"/>
                <w:szCs w:val="20"/>
                <w:color w:val="auto"/>
              </w:rPr>
            </w:pPr>
            <w:r>
              <w:rPr>
                <w:rFonts w:ascii="Arial" w:cs="Arial" w:eastAsia="Arial" w:hAnsi="Arial"/>
                <w:sz w:val="13"/>
                <w:szCs w:val="13"/>
                <w:b w:val="1"/>
                <w:bCs w:val="1"/>
                <w:color w:val="FFFFFF"/>
              </w:rPr>
              <w:t>% change</w:t>
            </w:r>
          </w:p>
        </w:tc>
        <w:tc>
          <w:tcPr>
            <w:tcW w:w="1200" w:type="dxa"/>
            <w:vAlign w:val="bottom"/>
            <w:tcBorders>
              <w:top w:val="single" w:sz="8" w:color="auto"/>
            </w:tcBorders>
            <w:gridSpan w:val="2"/>
            <w:shd w:val="clear" w:color="auto" w:fill="2AD2C9"/>
          </w:tcPr>
          <w:p>
            <w:pPr>
              <w:ind w:left="840"/>
              <w:spacing w:after="0"/>
              <w:rPr>
                <w:sz w:val="20"/>
                <w:szCs w:val="20"/>
                <w:color w:val="auto"/>
              </w:rPr>
            </w:pPr>
            <w:r>
              <w:rPr>
                <w:rFonts w:ascii="Arial" w:cs="Arial" w:eastAsia="Arial" w:hAnsi="Arial"/>
                <w:sz w:val="13"/>
                <w:szCs w:val="13"/>
                <w:b w:val="1"/>
                <w:bCs w:val="1"/>
                <w:color w:val="FFFFFF"/>
              </w:rPr>
              <w:t>As of</w:t>
            </w:r>
          </w:p>
        </w:tc>
        <w:tc>
          <w:tcPr>
            <w:tcW w:w="820" w:type="dxa"/>
            <w:vAlign w:val="bottom"/>
            <w:tcBorders>
              <w:top w:val="single" w:sz="8" w:color="auto"/>
              <w:right w:val="single" w:sz="8" w:color="auto"/>
            </w:tcBorders>
            <w:shd w:val="clear" w:color="auto" w:fill="2AD2C9"/>
          </w:tcPr>
          <w:p>
            <w:pPr>
              <w:spacing w:after="0"/>
              <w:rPr>
                <w:sz w:val="15"/>
                <w:szCs w:val="15"/>
                <w:color w:val="auto"/>
              </w:rPr>
            </w:pPr>
          </w:p>
        </w:tc>
        <w:tc>
          <w:tcPr>
            <w:tcW w:w="10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56"/>
        </w:trPr>
        <w:tc>
          <w:tcPr>
            <w:tcW w:w="1040" w:type="dxa"/>
            <w:vAlign w:val="bottom"/>
            <w:tcBorders>
              <w:left w:val="single" w:sz="8" w:color="auto"/>
              <w:bottom w:val="single" w:sz="8" w:color="auto"/>
              <w:right w:val="single" w:sz="8" w:color="2AD2C9"/>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000</w:t>
            </w:r>
          </w:p>
        </w:tc>
        <w:tc>
          <w:tcPr>
            <w:tcW w:w="2820" w:type="dxa"/>
            <w:vAlign w:val="bottom"/>
            <w:tcBorders>
              <w:bottom w:val="single" w:sz="8" w:color="auto"/>
              <w:right w:val="single" w:sz="8" w:color="auto"/>
            </w:tcBorders>
            <w:shd w:val="clear" w:color="auto" w:fill="2AD2C9"/>
          </w:tcPr>
          <w:p>
            <w:pPr>
              <w:spacing w:after="0"/>
              <w:rPr>
                <w:sz w:val="13"/>
                <w:szCs w:val="13"/>
                <w:color w:val="auto"/>
              </w:rPr>
            </w:pPr>
          </w:p>
        </w:tc>
        <w:tc>
          <w:tcPr>
            <w:tcW w:w="900" w:type="dxa"/>
            <w:vAlign w:val="bottom"/>
            <w:tcBorders>
              <w:bottom w:val="single" w:sz="8" w:color="auto"/>
              <w:right w:val="single" w:sz="8" w:color="2AD2C9"/>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4Q21</w:t>
            </w:r>
          </w:p>
        </w:tc>
        <w:tc>
          <w:tcPr>
            <w:tcW w:w="900" w:type="dxa"/>
            <w:vAlign w:val="bottom"/>
            <w:tcBorders>
              <w:bottom w:val="single" w:sz="8" w:color="auto"/>
              <w:right w:val="single" w:sz="8" w:color="2AD2C9"/>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3Q22</w:t>
            </w:r>
          </w:p>
        </w:tc>
        <w:tc>
          <w:tcPr>
            <w:tcW w:w="900" w:type="dxa"/>
            <w:vAlign w:val="bottom"/>
            <w:tcBorders>
              <w:bottom w:val="single" w:sz="8" w:color="auto"/>
              <w:right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4Q22</w:t>
            </w:r>
          </w:p>
        </w:tc>
        <w:tc>
          <w:tcPr>
            <w:tcW w:w="780" w:type="dxa"/>
            <w:vAlign w:val="bottom"/>
            <w:tcBorders>
              <w:bottom w:val="single" w:sz="8" w:color="auto"/>
              <w:right w:val="single" w:sz="8" w:color="2AD2C9"/>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8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YoY</w:t>
            </w:r>
          </w:p>
        </w:tc>
        <w:tc>
          <w:tcPr>
            <w:tcW w:w="1200" w:type="dxa"/>
            <w:vAlign w:val="bottom"/>
            <w:tcBorders>
              <w:bottom w:val="single" w:sz="8" w:color="auto"/>
            </w:tcBorders>
            <w:gridSpan w:val="2"/>
            <w:shd w:val="clear" w:color="auto" w:fill="2AD2C9"/>
          </w:tcPr>
          <w:p>
            <w:pPr>
              <w:ind w:left="240"/>
              <w:spacing w:after="0"/>
              <w:rPr>
                <w:sz w:val="20"/>
                <w:szCs w:val="20"/>
                <w:color w:val="auto"/>
              </w:rPr>
            </w:pPr>
            <w:r>
              <w:rPr>
                <w:rFonts w:ascii="Arial" w:cs="Arial" w:eastAsia="Arial" w:hAnsi="Arial"/>
                <w:sz w:val="13"/>
                <w:szCs w:val="13"/>
                <w:b w:val="1"/>
                <w:bCs w:val="1"/>
                <w:color w:val="FFFFFF"/>
              </w:rPr>
              <w:t>Dec 21</w:t>
            </w:r>
          </w:p>
        </w:tc>
        <w:tc>
          <w:tcPr>
            <w:tcW w:w="820" w:type="dxa"/>
            <w:vAlign w:val="bottom"/>
            <w:tcBorders>
              <w:bottom w:val="single" w:sz="8" w:color="auto"/>
              <w:right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Dec 22</w:t>
            </w:r>
          </w:p>
        </w:tc>
        <w:tc>
          <w:tcPr>
            <w:tcW w:w="10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c>
          <w:tcPr>
            <w:tcW w:w="0" w:type="dxa"/>
            <w:vAlign w:val="bottom"/>
          </w:tcPr>
          <w:p>
            <w:pPr>
              <w:spacing w:after="0"/>
              <w:rPr>
                <w:sz w:val="1"/>
                <w:szCs w:val="1"/>
                <w:color w:val="auto"/>
              </w:rPr>
            </w:pPr>
          </w:p>
        </w:tc>
      </w:tr>
      <w:tr>
        <w:trPr>
          <w:trHeight w:val="143"/>
        </w:trPr>
        <w:tc>
          <w:tcPr>
            <w:tcW w:w="1040" w:type="dxa"/>
            <w:vAlign w:val="bottom"/>
            <w:tcBorders>
              <w:left w:val="single" w:sz="8" w:color="auto"/>
              <w:right w:val="single" w:sz="8" w:color="auto"/>
            </w:tcBorders>
          </w:tcPr>
          <w:p>
            <w:pPr>
              <w:spacing w:after="0"/>
              <w:rPr>
                <w:sz w:val="12"/>
                <w:szCs w:val="12"/>
                <w:color w:val="auto"/>
              </w:rPr>
            </w:pPr>
          </w:p>
        </w:tc>
        <w:tc>
          <w:tcPr>
            <w:tcW w:w="2820" w:type="dxa"/>
            <w:vAlign w:val="bottom"/>
            <w:tcBorders>
              <w:right w:val="single" w:sz="8" w:color="auto"/>
            </w:tcBorders>
          </w:tcPr>
          <w:p>
            <w:pPr>
              <w:ind w:left="40"/>
              <w:spacing w:after="0" w:line="144" w:lineRule="exact"/>
              <w:rPr>
                <w:sz w:val="20"/>
                <w:szCs w:val="20"/>
                <w:color w:val="auto"/>
              </w:rPr>
            </w:pPr>
            <w:r>
              <w:rPr>
                <w:rFonts w:ascii="Arial" w:cs="Arial" w:eastAsia="Arial" w:hAnsi="Arial"/>
                <w:sz w:val="13"/>
                <w:szCs w:val="13"/>
                <w:color w:val="auto"/>
              </w:rPr>
              <w:t>Net earned premiums</w:t>
            </w:r>
          </w:p>
        </w:tc>
        <w:tc>
          <w:tcPr>
            <w:tcW w:w="900" w:type="dxa"/>
            <w:vAlign w:val="bottom"/>
            <w:tcBorders>
              <w:right w:val="single" w:sz="8" w:color="auto"/>
            </w:tcBorders>
          </w:tcPr>
          <w:p>
            <w:pPr>
              <w:jc w:val="right"/>
              <w:ind w:right="73"/>
              <w:spacing w:after="0" w:line="144" w:lineRule="exact"/>
              <w:rPr>
                <w:sz w:val="20"/>
                <w:szCs w:val="20"/>
                <w:color w:val="auto"/>
              </w:rPr>
            </w:pPr>
            <w:r>
              <w:rPr>
                <w:rFonts w:ascii="Arial" w:cs="Arial" w:eastAsia="Arial" w:hAnsi="Arial"/>
                <w:sz w:val="13"/>
                <w:szCs w:val="13"/>
                <w:color w:val="auto"/>
              </w:rPr>
              <w:t>712,087</w:t>
            </w:r>
          </w:p>
        </w:tc>
        <w:tc>
          <w:tcPr>
            <w:tcW w:w="900" w:type="dxa"/>
            <w:vAlign w:val="bottom"/>
            <w:tcBorders>
              <w:right w:val="single" w:sz="8" w:color="auto"/>
            </w:tcBorders>
          </w:tcPr>
          <w:p>
            <w:pPr>
              <w:jc w:val="right"/>
              <w:ind w:right="93"/>
              <w:spacing w:after="0" w:line="144" w:lineRule="exact"/>
              <w:rPr>
                <w:sz w:val="20"/>
                <w:szCs w:val="20"/>
                <w:color w:val="auto"/>
              </w:rPr>
            </w:pPr>
            <w:r>
              <w:rPr>
                <w:rFonts w:ascii="Arial" w:cs="Arial" w:eastAsia="Arial" w:hAnsi="Arial"/>
                <w:sz w:val="13"/>
                <w:szCs w:val="13"/>
                <w:color w:val="auto"/>
              </w:rPr>
              <w:t>751,936</w:t>
            </w:r>
          </w:p>
        </w:tc>
        <w:tc>
          <w:tcPr>
            <w:tcW w:w="900" w:type="dxa"/>
            <w:vAlign w:val="bottom"/>
            <w:tcBorders>
              <w:right w:val="single" w:sz="8" w:color="auto"/>
            </w:tcBorders>
          </w:tcPr>
          <w:p>
            <w:pPr>
              <w:jc w:val="right"/>
              <w:ind w:right="93"/>
              <w:spacing w:after="0" w:line="144" w:lineRule="exact"/>
              <w:rPr>
                <w:sz w:val="20"/>
                <w:szCs w:val="20"/>
                <w:color w:val="auto"/>
              </w:rPr>
            </w:pPr>
            <w:r>
              <w:rPr>
                <w:rFonts w:ascii="Arial" w:cs="Arial" w:eastAsia="Arial" w:hAnsi="Arial"/>
                <w:sz w:val="13"/>
                <w:szCs w:val="13"/>
                <w:color w:val="auto"/>
              </w:rPr>
              <w:t>735,276</w:t>
            </w:r>
          </w:p>
        </w:tc>
        <w:tc>
          <w:tcPr>
            <w:tcW w:w="7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9"/>
              </w:rPr>
              <w:t>-2.2%</w:t>
            </w: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3.3%</w:t>
            </w:r>
          </w:p>
        </w:tc>
        <w:tc>
          <w:tcPr>
            <w:tcW w:w="1020" w:type="dxa"/>
            <w:vAlign w:val="bottom"/>
            <w:tcBorders>
              <w:right w:val="single" w:sz="8" w:color="auto"/>
            </w:tcBorders>
          </w:tcPr>
          <w:p>
            <w:pPr>
              <w:jc w:val="right"/>
              <w:ind w:right="93"/>
              <w:spacing w:after="0" w:line="144" w:lineRule="exact"/>
              <w:rPr>
                <w:sz w:val="20"/>
                <w:szCs w:val="20"/>
                <w:color w:val="auto"/>
              </w:rPr>
            </w:pPr>
            <w:r>
              <w:rPr>
                <w:rFonts w:ascii="Arial" w:cs="Arial" w:eastAsia="Arial" w:hAnsi="Arial"/>
                <w:sz w:val="13"/>
                <w:szCs w:val="13"/>
                <w:color w:val="auto"/>
              </w:rPr>
              <w:t>2,671,530</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ind w:right="93"/>
              <w:spacing w:after="0" w:line="144" w:lineRule="exact"/>
              <w:rPr>
                <w:sz w:val="20"/>
                <w:szCs w:val="20"/>
                <w:color w:val="auto"/>
              </w:rPr>
            </w:pPr>
            <w:r>
              <w:rPr>
                <w:rFonts w:ascii="Arial" w:cs="Arial" w:eastAsia="Arial" w:hAnsi="Arial"/>
                <w:sz w:val="13"/>
                <w:szCs w:val="13"/>
                <w:color w:val="auto"/>
              </w:rPr>
              <w:t>2,873,295</w:t>
            </w: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2820" w:type="dxa"/>
            <w:vAlign w:val="bottom"/>
            <w:tcBorders>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Net claims</w:t>
            </w:r>
          </w:p>
        </w:tc>
        <w:tc>
          <w:tcPr>
            <w:tcW w:w="90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(509,278)</w:t>
            </w:r>
          </w:p>
        </w:tc>
        <w:tc>
          <w:tcPr>
            <w:tcW w:w="90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(478,039)</w:t>
            </w:r>
          </w:p>
        </w:tc>
        <w:tc>
          <w:tcPr>
            <w:tcW w:w="90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(481,087)</w:t>
            </w:r>
          </w:p>
        </w:tc>
        <w:tc>
          <w:tcPr>
            <w:tcW w:w="7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0.6%</w:t>
            </w:r>
          </w:p>
        </w:tc>
        <w:tc>
          <w:tcPr>
            <w:tcW w:w="8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9"/>
              </w:rPr>
              <w:t>-5.5%</w:t>
            </w:r>
          </w:p>
        </w:tc>
        <w:tc>
          <w:tcPr>
            <w:tcW w:w="102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(2,341,917)</w:t>
            </w:r>
          </w:p>
        </w:tc>
        <w:tc>
          <w:tcPr>
            <w:tcW w:w="180" w:type="dxa"/>
            <w:vAlign w:val="bottom"/>
          </w:tcPr>
          <w:p>
            <w:pPr>
              <w:spacing w:after="0"/>
              <w:rPr>
                <w:sz w:val="11"/>
                <w:szCs w:val="11"/>
                <w:color w:val="auto"/>
              </w:rPr>
            </w:pPr>
          </w:p>
        </w:tc>
        <w:tc>
          <w:tcPr>
            <w:tcW w:w="82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(1,929,890)</w:t>
            </w:r>
          </w:p>
        </w:tc>
        <w:tc>
          <w:tcPr>
            <w:tcW w:w="10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64"/>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w:t>
            </w:r>
          </w:p>
        </w:tc>
        <w:tc>
          <w:tcPr>
            <w:tcW w:w="2820" w:type="dxa"/>
            <w:vAlign w:val="bottom"/>
            <w:tcBorders>
              <w:right w:val="single" w:sz="8" w:color="auto"/>
            </w:tcBorders>
          </w:tcPr>
          <w:p>
            <w:pPr>
              <w:ind w:left="40"/>
              <w:spacing w:after="0" w:line="164" w:lineRule="exact"/>
              <w:rPr>
                <w:sz w:val="20"/>
                <w:szCs w:val="20"/>
                <w:color w:val="auto"/>
              </w:rPr>
            </w:pPr>
            <w:r>
              <w:rPr>
                <w:rFonts w:ascii="Arial" w:cs="Arial" w:eastAsia="Arial" w:hAnsi="Arial"/>
                <w:sz w:val="12"/>
                <w:szCs w:val="12"/>
                <w:color w:val="auto"/>
              </w:rPr>
              <w:t xml:space="preserve">Acquisition cost </w:t>
            </w:r>
            <w:r>
              <w:rPr>
                <w:rFonts w:ascii="Arial" w:cs="Arial" w:eastAsia="Arial" w:hAnsi="Arial"/>
                <w:sz w:val="19"/>
                <w:szCs w:val="19"/>
                <w:color w:val="auto"/>
                <w:vertAlign w:val="superscript"/>
              </w:rPr>
              <w:t>(2)</w:t>
            </w:r>
          </w:p>
        </w:tc>
        <w:tc>
          <w:tcPr>
            <w:tcW w:w="9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(75,152)</w:t>
            </w:r>
          </w:p>
        </w:tc>
        <w:tc>
          <w:tcPr>
            <w:tcW w:w="9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(75,055)</w:t>
            </w:r>
          </w:p>
        </w:tc>
        <w:tc>
          <w:tcPr>
            <w:tcW w:w="9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(70,021)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-6.7%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-6.8%</w:t>
            </w:r>
          </w:p>
        </w:tc>
        <w:tc>
          <w:tcPr>
            <w:tcW w:w="10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(333,334)</w:t>
            </w:r>
          </w:p>
        </w:tc>
        <w:tc>
          <w:tcPr>
            <w:tcW w:w="180" w:type="dxa"/>
            <w:vAlign w:val="bottom"/>
          </w:tcPr>
          <w:p>
            <w:pPr>
              <w:spacing w:after="0"/>
              <w:rPr>
                <w:sz w:val="14"/>
                <w:szCs w:val="14"/>
                <w:color w:val="auto"/>
              </w:rPr>
            </w:pPr>
          </w:p>
        </w:tc>
        <w:tc>
          <w:tcPr>
            <w:tcW w:w="8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(281,807)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51"/>
        </w:trPr>
        <w:tc>
          <w:tcPr>
            <w:tcW w:w="1040" w:type="dxa"/>
            <w:vAlign w:val="bottom"/>
            <w:tcBorders>
              <w:left w:val="single" w:sz="8" w:color="auto"/>
              <w:right w:val="single" w:sz="8" w:color="auto"/>
            </w:tcBorders>
          </w:tcPr>
          <w:p>
            <w:pPr>
              <w:spacing w:after="0"/>
              <w:rPr>
                <w:sz w:val="13"/>
                <w:szCs w:val="13"/>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Total insurance underwriting result</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127,657</w:t>
            </w:r>
          </w:p>
        </w:tc>
        <w:tc>
          <w:tcPr>
            <w:tcW w:w="900" w:type="dxa"/>
            <w:vAlign w:val="bottom"/>
            <w:tcBorders>
              <w:right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198,842</w:t>
            </w:r>
          </w:p>
        </w:tc>
        <w:tc>
          <w:tcPr>
            <w:tcW w:w="900" w:type="dxa"/>
            <w:vAlign w:val="bottom"/>
            <w:tcBorders>
              <w:right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184,168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-7.4%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44.3%</w:t>
            </w:r>
          </w:p>
        </w:tc>
        <w:tc>
          <w:tcPr>
            <w:tcW w:w="10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(3,721)</w:t>
            </w:r>
          </w:p>
        </w:tc>
        <w:tc>
          <w:tcPr>
            <w:tcW w:w="180" w:type="dxa"/>
            <w:vAlign w:val="bottom"/>
          </w:tcPr>
          <w:p>
            <w:pPr>
              <w:spacing w:after="0"/>
              <w:rPr>
                <w:sz w:val="13"/>
                <w:szCs w:val="13"/>
                <w:color w:val="auto"/>
              </w:rPr>
            </w:pPr>
          </w:p>
        </w:tc>
        <w:tc>
          <w:tcPr>
            <w:tcW w:w="820" w:type="dxa"/>
            <w:vAlign w:val="bottom"/>
            <w:tcBorders>
              <w:right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661,598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n.a.</w:t>
            </w:r>
          </w:p>
        </w:tc>
        <w:tc>
          <w:tcPr>
            <w:tcW w:w="0" w:type="dxa"/>
            <w:vAlign w:val="bottom"/>
          </w:tcPr>
          <w:p>
            <w:pPr>
              <w:spacing w:after="0"/>
              <w:rPr>
                <w:sz w:val="1"/>
                <w:szCs w:val="1"/>
                <w:color w:val="auto"/>
              </w:rPr>
            </w:pPr>
          </w:p>
        </w:tc>
      </w:tr>
      <w:tr>
        <w:trPr>
          <w:trHeight w:val="166"/>
        </w:trPr>
        <w:tc>
          <w:tcPr>
            <w:tcW w:w="1040" w:type="dxa"/>
            <w:vAlign w:val="bottom"/>
            <w:tcBorders>
              <w:left w:val="single" w:sz="8" w:color="auto"/>
              <w:bottom w:val="single" w:sz="8" w:color="auto"/>
              <w:right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Loss Ratio</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71.5%</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63.6%</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65.4%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180 pbs</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-610 pbs</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87.7%</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67.2%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-2050 pbs</w:t>
            </w:r>
          </w:p>
        </w:tc>
        <w:tc>
          <w:tcPr>
            <w:tcW w:w="0" w:type="dxa"/>
            <w:vAlign w:val="bottom"/>
          </w:tcPr>
          <w:p>
            <w:pPr>
              <w:spacing w:after="0"/>
              <w:rPr>
                <w:sz w:val="1"/>
                <w:szCs w:val="1"/>
                <w:color w:val="auto"/>
              </w:rPr>
            </w:pPr>
          </w:p>
        </w:tc>
      </w:tr>
      <w:tr>
        <w:trPr>
          <w:trHeight w:val="143"/>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Life</w:t>
            </w:r>
          </w:p>
        </w:tc>
        <w:tc>
          <w:tcPr>
            <w:tcW w:w="2820" w:type="dxa"/>
            <w:vAlign w:val="bottom"/>
            <w:tcBorders>
              <w:right w:val="single" w:sz="8" w:color="auto"/>
            </w:tcBorders>
          </w:tcPr>
          <w:p>
            <w:pPr>
              <w:ind w:left="40"/>
              <w:spacing w:after="0" w:line="144" w:lineRule="exact"/>
              <w:rPr>
                <w:sz w:val="20"/>
                <w:szCs w:val="20"/>
                <w:color w:val="auto"/>
              </w:rPr>
            </w:pPr>
            <w:r>
              <w:rPr>
                <w:rFonts w:ascii="Arial" w:cs="Arial" w:eastAsia="Arial" w:hAnsi="Arial"/>
                <w:sz w:val="13"/>
                <w:szCs w:val="13"/>
                <w:color w:val="auto"/>
              </w:rPr>
              <w:t>Net earned premiums</w:t>
            </w:r>
          </w:p>
        </w:tc>
        <w:tc>
          <w:tcPr>
            <w:tcW w:w="900" w:type="dxa"/>
            <w:vAlign w:val="bottom"/>
            <w:tcBorders>
              <w:right w:val="single" w:sz="8" w:color="auto"/>
            </w:tcBorders>
          </w:tcPr>
          <w:p>
            <w:pPr>
              <w:jc w:val="right"/>
              <w:ind w:right="73"/>
              <w:spacing w:after="0" w:line="144" w:lineRule="exact"/>
              <w:rPr>
                <w:sz w:val="20"/>
                <w:szCs w:val="20"/>
                <w:color w:val="auto"/>
              </w:rPr>
            </w:pPr>
            <w:r>
              <w:rPr>
                <w:rFonts w:ascii="Arial" w:cs="Arial" w:eastAsia="Arial" w:hAnsi="Arial"/>
                <w:sz w:val="13"/>
                <w:szCs w:val="13"/>
                <w:color w:val="auto"/>
              </w:rPr>
              <w:t>375,454</w:t>
            </w:r>
          </w:p>
        </w:tc>
        <w:tc>
          <w:tcPr>
            <w:tcW w:w="900" w:type="dxa"/>
            <w:vAlign w:val="bottom"/>
            <w:tcBorders>
              <w:right w:val="single" w:sz="8" w:color="auto"/>
            </w:tcBorders>
          </w:tcPr>
          <w:p>
            <w:pPr>
              <w:jc w:val="right"/>
              <w:ind w:right="93"/>
              <w:spacing w:after="0" w:line="144" w:lineRule="exact"/>
              <w:rPr>
                <w:sz w:val="20"/>
                <w:szCs w:val="20"/>
                <w:color w:val="auto"/>
              </w:rPr>
            </w:pPr>
            <w:r>
              <w:rPr>
                <w:rFonts w:ascii="Arial" w:cs="Arial" w:eastAsia="Arial" w:hAnsi="Arial"/>
                <w:sz w:val="13"/>
                <w:szCs w:val="13"/>
                <w:color w:val="auto"/>
              </w:rPr>
              <w:t>411,042</w:t>
            </w:r>
          </w:p>
        </w:tc>
        <w:tc>
          <w:tcPr>
            <w:tcW w:w="900" w:type="dxa"/>
            <w:vAlign w:val="bottom"/>
            <w:tcBorders>
              <w:right w:val="single" w:sz="8" w:color="auto"/>
            </w:tcBorders>
          </w:tcPr>
          <w:p>
            <w:pPr>
              <w:jc w:val="right"/>
              <w:ind w:right="93"/>
              <w:spacing w:after="0" w:line="144" w:lineRule="exact"/>
              <w:rPr>
                <w:sz w:val="20"/>
                <w:szCs w:val="20"/>
                <w:color w:val="auto"/>
              </w:rPr>
            </w:pPr>
            <w:r>
              <w:rPr>
                <w:rFonts w:ascii="Arial" w:cs="Arial" w:eastAsia="Arial" w:hAnsi="Arial"/>
                <w:sz w:val="13"/>
                <w:szCs w:val="13"/>
                <w:color w:val="auto"/>
              </w:rPr>
              <w:t>385,805</w:t>
            </w:r>
          </w:p>
        </w:tc>
        <w:tc>
          <w:tcPr>
            <w:tcW w:w="7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9"/>
              </w:rPr>
              <w:t>-6.1%</w:t>
            </w: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2.8%</w:t>
            </w:r>
          </w:p>
        </w:tc>
        <w:tc>
          <w:tcPr>
            <w:tcW w:w="1020" w:type="dxa"/>
            <w:vAlign w:val="bottom"/>
            <w:tcBorders>
              <w:right w:val="single" w:sz="8" w:color="auto"/>
            </w:tcBorders>
          </w:tcPr>
          <w:p>
            <w:pPr>
              <w:jc w:val="right"/>
              <w:ind w:right="93"/>
              <w:spacing w:after="0" w:line="144" w:lineRule="exact"/>
              <w:rPr>
                <w:sz w:val="20"/>
                <w:szCs w:val="20"/>
                <w:color w:val="auto"/>
              </w:rPr>
            </w:pPr>
            <w:r>
              <w:rPr>
                <w:rFonts w:ascii="Arial" w:cs="Arial" w:eastAsia="Arial" w:hAnsi="Arial"/>
                <w:sz w:val="13"/>
                <w:szCs w:val="13"/>
                <w:color w:val="auto"/>
              </w:rPr>
              <w:t>1,397,423</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ind w:right="93"/>
              <w:spacing w:after="0" w:line="144" w:lineRule="exact"/>
              <w:rPr>
                <w:sz w:val="20"/>
                <w:szCs w:val="20"/>
                <w:color w:val="auto"/>
              </w:rPr>
            </w:pPr>
            <w:r>
              <w:rPr>
                <w:rFonts w:ascii="Arial" w:cs="Arial" w:eastAsia="Arial" w:hAnsi="Arial"/>
                <w:sz w:val="13"/>
                <w:szCs w:val="13"/>
                <w:color w:val="auto"/>
              </w:rPr>
              <w:t>1,527,790</w:t>
            </w: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49"/>
        </w:trPr>
        <w:tc>
          <w:tcPr>
            <w:tcW w:w="1040" w:type="dxa"/>
            <w:vAlign w:val="bottom"/>
            <w:tcBorders>
              <w:left w:val="single" w:sz="8" w:color="auto"/>
              <w:right w:val="single" w:sz="8" w:color="auto"/>
            </w:tcBorders>
            <w:vMerge w:val="continue"/>
          </w:tcPr>
          <w:p>
            <w:pPr>
              <w:spacing w:after="0"/>
              <w:rPr>
                <w:sz w:val="12"/>
                <w:szCs w:val="12"/>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Net claims</w:t>
            </w:r>
          </w:p>
        </w:tc>
        <w:tc>
          <w:tcPr>
            <w:tcW w:w="9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(350,672)</w:t>
            </w:r>
          </w:p>
        </w:tc>
        <w:tc>
          <w:tcPr>
            <w:tcW w:w="9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(315,334)</w:t>
            </w:r>
          </w:p>
        </w:tc>
        <w:tc>
          <w:tcPr>
            <w:tcW w:w="9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(309,769)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-1.8%</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-11.7%</w:t>
            </w:r>
          </w:p>
        </w:tc>
        <w:tc>
          <w:tcPr>
            <w:tcW w:w="10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(1,742,093)</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(1,276,025)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66"/>
        </w:trPr>
        <w:tc>
          <w:tcPr>
            <w:tcW w:w="1040" w:type="dxa"/>
            <w:vAlign w:val="bottom"/>
            <w:tcBorders>
              <w:left w:val="single" w:sz="8" w:color="auto"/>
              <w:bottom w:val="single" w:sz="8" w:color="auto"/>
              <w:right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Loss Ratio</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93.4%</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76.7%</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80.3%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360 pbs</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-1310 pbs</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124.7%</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83.5%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-4120 pbs</w:t>
            </w:r>
          </w:p>
        </w:tc>
        <w:tc>
          <w:tcPr>
            <w:tcW w:w="0" w:type="dxa"/>
            <w:vAlign w:val="bottom"/>
          </w:tcPr>
          <w:p>
            <w:pPr>
              <w:spacing w:after="0"/>
              <w:rPr>
                <w:sz w:val="1"/>
                <w:szCs w:val="1"/>
                <w:color w:val="auto"/>
              </w:rPr>
            </w:pPr>
          </w:p>
        </w:tc>
      </w:tr>
      <w:tr>
        <w:trPr>
          <w:trHeight w:val="143"/>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P&amp;C</w:t>
            </w:r>
          </w:p>
        </w:tc>
        <w:tc>
          <w:tcPr>
            <w:tcW w:w="2820" w:type="dxa"/>
            <w:vAlign w:val="bottom"/>
            <w:tcBorders>
              <w:right w:val="single" w:sz="8" w:color="auto"/>
            </w:tcBorders>
          </w:tcPr>
          <w:p>
            <w:pPr>
              <w:ind w:left="40"/>
              <w:spacing w:after="0" w:line="144" w:lineRule="exact"/>
              <w:rPr>
                <w:sz w:val="20"/>
                <w:szCs w:val="20"/>
                <w:color w:val="auto"/>
              </w:rPr>
            </w:pPr>
            <w:r>
              <w:rPr>
                <w:rFonts w:ascii="Arial" w:cs="Arial" w:eastAsia="Arial" w:hAnsi="Arial"/>
                <w:sz w:val="13"/>
                <w:szCs w:val="13"/>
                <w:color w:val="auto"/>
              </w:rPr>
              <w:t>Net earned premiums</w:t>
            </w:r>
          </w:p>
        </w:tc>
        <w:tc>
          <w:tcPr>
            <w:tcW w:w="900" w:type="dxa"/>
            <w:vAlign w:val="bottom"/>
            <w:tcBorders>
              <w:right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318,949</w:t>
            </w:r>
          </w:p>
        </w:tc>
        <w:tc>
          <w:tcPr>
            <w:tcW w:w="900" w:type="dxa"/>
            <w:vAlign w:val="bottom"/>
            <w:tcBorders>
              <w:right w:val="single" w:sz="8" w:color="auto"/>
            </w:tcBorders>
          </w:tcPr>
          <w:p>
            <w:pPr>
              <w:jc w:val="right"/>
              <w:ind w:right="53"/>
              <w:spacing w:after="0" w:line="144" w:lineRule="exact"/>
              <w:rPr>
                <w:sz w:val="20"/>
                <w:szCs w:val="20"/>
                <w:color w:val="auto"/>
              </w:rPr>
            </w:pPr>
            <w:r>
              <w:rPr>
                <w:rFonts w:ascii="Arial" w:cs="Arial" w:eastAsia="Arial" w:hAnsi="Arial"/>
                <w:sz w:val="13"/>
                <w:szCs w:val="13"/>
                <w:color w:val="auto"/>
              </w:rPr>
              <w:t>324,127</w:t>
            </w:r>
          </w:p>
        </w:tc>
        <w:tc>
          <w:tcPr>
            <w:tcW w:w="900" w:type="dxa"/>
            <w:vAlign w:val="bottom"/>
            <w:tcBorders>
              <w:right w:val="single" w:sz="8" w:color="auto"/>
            </w:tcBorders>
          </w:tcPr>
          <w:p>
            <w:pPr>
              <w:jc w:val="right"/>
              <w:ind w:right="53"/>
              <w:spacing w:after="0" w:line="144" w:lineRule="exact"/>
              <w:rPr>
                <w:sz w:val="20"/>
                <w:szCs w:val="20"/>
                <w:color w:val="auto"/>
              </w:rPr>
            </w:pPr>
            <w:r>
              <w:rPr>
                <w:rFonts w:ascii="Arial" w:cs="Arial" w:eastAsia="Arial" w:hAnsi="Arial"/>
                <w:sz w:val="13"/>
                <w:szCs w:val="13"/>
                <w:color w:val="auto"/>
              </w:rPr>
              <w:t>329,815</w:t>
            </w:r>
          </w:p>
        </w:tc>
        <w:tc>
          <w:tcPr>
            <w:tcW w:w="7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1.8%</w:t>
            </w: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3.4%</w:t>
            </w:r>
          </w:p>
        </w:tc>
        <w:tc>
          <w:tcPr>
            <w:tcW w:w="1020" w:type="dxa"/>
            <w:vAlign w:val="bottom"/>
            <w:tcBorders>
              <w:right w:val="single" w:sz="8" w:color="auto"/>
            </w:tcBorders>
          </w:tcPr>
          <w:p>
            <w:pPr>
              <w:jc w:val="right"/>
              <w:ind w:right="53"/>
              <w:spacing w:after="0" w:line="144" w:lineRule="exact"/>
              <w:rPr>
                <w:sz w:val="20"/>
                <w:szCs w:val="20"/>
                <w:color w:val="auto"/>
              </w:rPr>
            </w:pPr>
            <w:r>
              <w:rPr>
                <w:rFonts w:ascii="Arial" w:cs="Arial" w:eastAsia="Arial" w:hAnsi="Arial"/>
                <w:sz w:val="13"/>
                <w:szCs w:val="13"/>
                <w:color w:val="auto"/>
              </w:rPr>
              <w:t>1,205,197</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ind w:right="53"/>
              <w:spacing w:after="0" w:line="144" w:lineRule="exact"/>
              <w:rPr>
                <w:sz w:val="20"/>
                <w:szCs w:val="20"/>
                <w:color w:val="auto"/>
              </w:rPr>
            </w:pPr>
            <w:r>
              <w:rPr>
                <w:rFonts w:ascii="Arial" w:cs="Arial" w:eastAsia="Arial" w:hAnsi="Arial"/>
                <w:sz w:val="13"/>
                <w:szCs w:val="13"/>
                <w:color w:val="auto"/>
              </w:rPr>
              <w:t>1,276,351</w:t>
            </w: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49"/>
        </w:trPr>
        <w:tc>
          <w:tcPr>
            <w:tcW w:w="1040" w:type="dxa"/>
            <w:vAlign w:val="bottom"/>
            <w:tcBorders>
              <w:left w:val="single" w:sz="8" w:color="auto"/>
              <w:right w:val="single" w:sz="8" w:color="auto"/>
            </w:tcBorders>
            <w:vMerge w:val="continue"/>
          </w:tcPr>
          <w:p>
            <w:pPr>
              <w:spacing w:after="0"/>
              <w:rPr>
                <w:sz w:val="12"/>
                <w:szCs w:val="12"/>
                <w:color w:val="auto"/>
              </w:rPr>
            </w:pPr>
          </w:p>
        </w:tc>
        <w:tc>
          <w:tcPr>
            <w:tcW w:w="2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Net claims</w:t>
            </w:r>
          </w:p>
        </w:tc>
        <w:tc>
          <w:tcPr>
            <w:tcW w:w="9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(149,749)</w:t>
            </w:r>
          </w:p>
        </w:tc>
        <w:tc>
          <w:tcPr>
            <w:tcW w:w="9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(158,037)</w:t>
            </w:r>
          </w:p>
        </w:tc>
        <w:tc>
          <w:tcPr>
            <w:tcW w:w="90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(165,963)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10.8%</w:t>
            </w:r>
          </w:p>
        </w:tc>
        <w:tc>
          <w:tcPr>
            <w:tcW w:w="10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(564,232)</w:t>
            </w:r>
          </w:p>
        </w:tc>
        <w:tc>
          <w:tcPr>
            <w:tcW w:w="180" w:type="dxa"/>
            <w:vAlign w:val="bottom"/>
          </w:tcPr>
          <w:p>
            <w:pPr>
              <w:spacing w:after="0"/>
              <w:rPr>
                <w:sz w:val="12"/>
                <w:szCs w:val="12"/>
                <w:color w:val="auto"/>
              </w:rPr>
            </w:pPr>
          </w:p>
        </w:tc>
        <w:tc>
          <w:tcPr>
            <w:tcW w:w="82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(633,897)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66"/>
        </w:trPr>
        <w:tc>
          <w:tcPr>
            <w:tcW w:w="1040" w:type="dxa"/>
            <w:vAlign w:val="bottom"/>
            <w:tcBorders>
              <w:left w:val="single" w:sz="8" w:color="auto"/>
              <w:bottom w:val="single" w:sz="8" w:color="auto"/>
              <w:right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Loss Ratio</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47.0%</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48.8%</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50.3%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150 pbs</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330 pbs</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46.8%</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49.7%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290 pbs</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20" w:hanging="319"/>
        <w:spacing w:after="0"/>
        <w:tabs>
          <w:tab w:leader="none" w:pos="3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Includes the results of the Life, Property &amp; Casualty and Crediseguros business.</w:t>
      </w:r>
    </w:p>
    <w:p>
      <w:pPr>
        <w:ind w:left="320" w:hanging="319"/>
        <w:spacing w:after="0"/>
        <w:tabs>
          <w:tab w:leader="none" w:pos="3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Includes net fees and underwriting expenses.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QoQ terms, the underwriting result fell 7.4%. This evolution was driven primarily by a 2.2% drop in net earned premiums and by an uptick in claims. Life drove the reduction in premiums via (i) Group Life, which reported extraordinary premiums for statutory bonuses in 3Q22 and (ii) Credit Life, due to the registration of retroactive premium returns in 4Q22. The levels of reported claims in P &amp; C rose this quarter, mainly through the Commercial Lines, due to a higher frequency in Transportation and Vehicles products.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YoY, the insurance underwriting result improved significantly. The following factors fueled this dynamic:</w:t>
      </w:r>
    </w:p>
    <w:p>
      <w:pPr>
        <w:spacing w:after="0" w:line="182" w:lineRule="exact"/>
        <w:rPr>
          <w:sz w:val="20"/>
          <w:szCs w:val="20"/>
          <w:color w:val="auto"/>
        </w:rPr>
      </w:pPr>
    </w:p>
    <w:p>
      <w:pPr>
        <w:jc w:val="both"/>
        <w:ind w:left="620" w:hanging="280"/>
        <w:spacing w:after="0" w:line="238"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Growth in net earned premiums in Life (+2.8%) and P &amp; C (+3.4%) respectively, which was spurred by economic recovery post-pandemic. D &amp; S and SCTR (complementary insurance for high-risk occupations) were the main drivers of this evolution via an uptick in collections and price adjustments/broadening of the scope of activities respectively.</w:t>
      </w:r>
    </w:p>
    <w:p>
      <w:pPr>
        <w:ind w:left="620" w:hanging="280"/>
        <w:spacing w:after="0" w:line="231"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decrease in claims in the Life business (-11.7%), which reflected a drop in COVID-19 claims.</w:t>
      </w:r>
    </w:p>
    <w:p>
      <w:pPr>
        <w:ind w:left="620" w:hanging="28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6.8% drop in the acquisition cost, in line with a reduction in commissions (associated primarily with Credit Life, where an alliance expired).</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35" w:name="page36"/>
    <w:bookmarkEnd w:id="35"/>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88900</wp:posOffset>
            </wp:positionV>
            <wp:extent cx="7141845" cy="535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07. Insurance Underwriting Results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0" w:type="dxa"/>
            <w:vAlign w:val="bottom"/>
          </w:tcPr>
          <w:p>
            <w:pPr>
              <w:spacing w:after="0"/>
              <w:rPr>
                <w:sz w:val="20"/>
                <w:szCs w:val="20"/>
                <w:color w:val="auto"/>
              </w:rPr>
            </w:pPr>
            <w:r>
              <w:rPr>
                <w:rFonts w:ascii="Arial" w:cs="Arial" w:eastAsia="Arial" w:hAnsi="Arial"/>
                <w:sz w:val="17"/>
                <w:szCs w:val="17"/>
                <w:b w:val="1"/>
                <w:bCs w:val="1"/>
                <w:i w:val="1"/>
                <w:iCs w:val="1"/>
                <w:color w:val="auto"/>
              </w:rPr>
              <w:t>Net Earned Premiums by Business</w:t>
            </w:r>
          </w:p>
        </w:tc>
        <w:tc>
          <w:tcPr>
            <w:tcW w:w="4180" w:type="dxa"/>
            <w:vAlign w:val="bottom"/>
          </w:tcPr>
          <w:p>
            <w:pPr>
              <w:spacing w:after="0"/>
              <w:rPr>
                <w:sz w:val="19"/>
                <w:szCs w:val="19"/>
                <w:color w:val="auto"/>
              </w:rPr>
            </w:pPr>
          </w:p>
        </w:tc>
      </w:tr>
      <w:tr>
        <w:trPr>
          <w:trHeight w:val="336"/>
        </w:trPr>
        <w:tc>
          <w:tcPr>
            <w:tcW w:w="5600" w:type="dxa"/>
            <w:vAlign w:val="bottom"/>
          </w:tcPr>
          <w:p>
            <w:pPr>
              <w:jc w:val="center"/>
              <w:spacing w:after="0"/>
              <w:rPr>
                <w:sz w:val="20"/>
                <w:szCs w:val="20"/>
                <w:color w:val="auto"/>
              </w:rPr>
            </w:pPr>
            <w:r>
              <w:rPr>
                <w:rFonts w:ascii="Arial" w:cs="Arial" w:eastAsia="Arial" w:hAnsi="Arial"/>
                <w:sz w:val="17"/>
                <w:szCs w:val="17"/>
                <w:b w:val="1"/>
                <w:bCs w:val="1"/>
                <w:color w:val="auto"/>
                <w:w w:val="96"/>
              </w:rPr>
              <w:t xml:space="preserve">Net earned premiums in Life </w:t>
            </w:r>
            <w:r>
              <w:rPr>
                <w:rFonts w:ascii="Arial" w:cs="Arial" w:eastAsia="Arial" w:hAnsi="Arial"/>
                <w:sz w:val="27"/>
                <w:szCs w:val="27"/>
                <w:b w:val="1"/>
                <w:bCs w:val="1"/>
                <w:color w:val="auto"/>
                <w:w w:val="96"/>
                <w:vertAlign w:val="superscript"/>
              </w:rPr>
              <w:t>(1)</w:t>
            </w:r>
          </w:p>
        </w:tc>
        <w:tc>
          <w:tcPr>
            <w:tcW w:w="4180" w:type="dxa"/>
            <w:vAlign w:val="bottom"/>
          </w:tcPr>
          <w:p>
            <w:pPr>
              <w:jc w:val="center"/>
              <w:ind w:left="1496"/>
              <w:spacing w:after="0"/>
              <w:rPr>
                <w:sz w:val="20"/>
                <w:szCs w:val="20"/>
                <w:color w:val="auto"/>
              </w:rPr>
            </w:pPr>
            <w:r>
              <w:rPr>
                <w:rFonts w:ascii="Arial" w:cs="Arial" w:eastAsia="Arial" w:hAnsi="Arial"/>
                <w:sz w:val="17"/>
                <w:szCs w:val="17"/>
                <w:b w:val="1"/>
                <w:bCs w:val="1"/>
                <w:color w:val="auto"/>
                <w:w w:val="96"/>
              </w:rPr>
              <w:t xml:space="preserve">Net Earned Premiums in P&amp; C </w:t>
            </w:r>
            <w:r>
              <w:rPr>
                <w:rFonts w:ascii="Arial" w:cs="Arial" w:eastAsia="Arial" w:hAnsi="Arial"/>
                <w:sz w:val="27"/>
                <w:szCs w:val="27"/>
                <w:b w:val="1"/>
                <w:bCs w:val="1"/>
                <w:color w:val="auto"/>
                <w:w w:val="96"/>
                <w:vertAlign w:val="superscript"/>
              </w:rPr>
              <w:t>(1)</w:t>
            </w:r>
          </w:p>
        </w:tc>
      </w:tr>
      <w:tr>
        <w:trPr>
          <w:trHeight w:val="222"/>
        </w:trPr>
        <w:tc>
          <w:tcPr>
            <w:tcW w:w="5600" w:type="dxa"/>
            <w:vAlign w:val="bottom"/>
          </w:tcPr>
          <w:p>
            <w:pPr>
              <w:jc w:val="center"/>
              <w:spacing w:after="0"/>
              <w:rPr>
                <w:sz w:val="20"/>
                <w:szCs w:val="20"/>
                <w:color w:val="auto"/>
              </w:rPr>
            </w:pPr>
            <w:r>
              <w:rPr>
                <w:rFonts w:ascii="Arial" w:cs="Arial" w:eastAsia="Arial" w:hAnsi="Arial"/>
                <w:sz w:val="17"/>
                <w:szCs w:val="17"/>
                <w:color w:val="auto"/>
                <w:w w:val="99"/>
              </w:rPr>
              <w:t>(S/ millions)</w:t>
            </w:r>
          </w:p>
        </w:tc>
        <w:tc>
          <w:tcPr>
            <w:tcW w:w="4180" w:type="dxa"/>
            <w:vAlign w:val="bottom"/>
          </w:tcPr>
          <w:p>
            <w:pPr>
              <w:jc w:val="center"/>
              <w:ind w:left="1496"/>
              <w:spacing w:after="0"/>
              <w:rPr>
                <w:sz w:val="20"/>
                <w:szCs w:val="20"/>
                <w:color w:val="auto"/>
              </w:rPr>
            </w:pPr>
            <w:r>
              <w:rPr>
                <w:rFonts w:ascii="Arial" w:cs="Arial" w:eastAsia="Arial" w:hAnsi="Arial"/>
                <w:sz w:val="17"/>
                <w:szCs w:val="17"/>
                <w:color w:val="auto"/>
                <w:w w:val="99"/>
              </w:rPr>
              <w:t>(S/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109220</wp:posOffset>
            </wp:positionV>
            <wp:extent cx="6630670" cy="128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3067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the QoQ analysis, net earned premiums in the Life Business fell 6.1%. This drop was driven mainly by (i) Group Life, which reported extraordinary premiums due to seasonal bonuses pending registration and regularizations of SCTR (complementary insurance for high-risk occupations) in 3Q22, and (ii) Credit Life, which was primarily attributable to the registration of refunds of retroactive Mibanco premiums. This was partially mitigated by (i) D &amp; S, due to higher contributors under the SISCO V regime.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the P &amp; C business, net earned premiums rose 1.8% QoQ. The increase in (i) Commercial Lines, which reflected growth in renewals in the Fire, Third Party Liability and Transportation lines. This was partially attenuated by (i) Personal lines, due to a drop in sales of Home Mortgage products, and (ii) Cars, via growth in reserves for current risk.</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YoY and FY, net earned premiums in the Life business reported growth of 2.8% and 9.3% respectively. This evolution was driven mainly by (i) Group Life, in line with price adjustments and growth in sales of new SCTR (complementary insurance for high-risk occupations), (ii) D &amp; S, which reported growth in its insured base and, (iii) Credit Life, due to growth in the Bancassurance Channel. The aforementioned transpired in a context marked by economic recovery and a decrease in the impact of inflation. Net earned premiums in P &amp; C also rose, standing at 3.4% YoY and 5.9% FY, driven by: (i) Personal Lines, due to growth in sales in the bancassurance channel for Card Protection Products and, (ii) Medical Assistance, due to an increase in sales of Compensatory Oncological Products.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Claims by Business</w:t>
      </w:r>
    </w:p>
    <w:p>
      <w:pPr>
        <w:spacing w:after="0" w:line="180" w:lineRule="exact"/>
        <w:rPr>
          <w:sz w:val="20"/>
          <w:szCs w:val="20"/>
          <w:color w:val="auto"/>
        </w:rPr>
      </w:pPr>
    </w:p>
    <w:p>
      <w:pPr>
        <w:jc w:val="both"/>
        <w:ind w:left="5840"/>
        <w:spacing w:after="0" w:line="236" w:lineRule="auto"/>
        <w:rPr>
          <w:sz w:val="20"/>
          <w:szCs w:val="20"/>
          <w:color w:val="auto"/>
        </w:rPr>
      </w:pPr>
      <w:r>
        <w:rPr>
          <w:rFonts w:ascii="Arial" w:cs="Arial" w:eastAsia="Arial" w:hAnsi="Arial"/>
          <w:sz w:val="17"/>
          <w:szCs w:val="17"/>
          <w:color w:val="auto"/>
        </w:rPr>
        <w:t>The Net Loss Ratio stood at 65.4%, (+180 bps QoQ). This result was driven primarily by the increase in the Net Loss Ratio of the Life business (+360 bps QoQ). The aforementioned was mainly associated with a reduction in net earned premiums and with an increase in claims for the following products: (i) Individual Life, due to the creation of IBNR reserves and, (ii) Group Life, due to growth in judicial recovery cases and the effect of inflation in SCTR (complementary high-risk insurance), mitigated by lower regular claims and COVID-19 in D &amp;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-965200</wp:posOffset>
            </wp:positionV>
            <wp:extent cx="3075305" cy="130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075305" cy="130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Loss Ratio for P&amp;C increased 150 bps QoQ and stood at 50.3%. This growth was driven by Commercial Lines and Cars, mitigated by Medical Assistance due to IBNR releases.</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the YoY and FY analysis, the Net Loss Ratio improved due to a drop in net claims of 5.5% and 17.6% respectively, where the Life business was the main driver. The reduction in claims was associated with a decrease in the impact of COVID-19 due to an improvement in the sanitary situation. In the P&amp;C business, the Loss Ratio increased due to higher claims in Commercial Lines in Transportation and TREC lines in a context of economic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894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165" w:lineRule="exact"/>
        <w:rPr>
          <w:sz w:val="20"/>
          <w:szCs w:val="20"/>
          <w:color w:val="auto"/>
        </w:rPr>
      </w:pPr>
    </w:p>
    <w:p>
      <w:pPr>
        <w:ind w:left="80" w:hanging="79"/>
        <w:spacing w:after="0"/>
        <w:tabs>
          <w:tab w:leader="none" w:pos="80" w:val="left"/>
        </w:tabs>
        <w:numPr>
          <w:ilvl w:val="0"/>
          <w:numId w:val="34"/>
        </w:numPr>
        <w:rPr>
          <w:rFonts w:ascii="Arial" w:cs="Arial" w:eastAsia="Arial" w:hAnsi="Arial"/>
          <w:sz w:val="20"/>
          <w:szCs w:val="20"/>
          <w:color w:val="auto"/>
          <w:vertAlign w:val="superscript"/>
        </w:rPr>
      </w:pPr>
      <w:r>
        <w:rPr>
          <w:rFonts w:ascii="Arial" w:cs="Arial" w:eastAsia="Arial" w:hAnsi="Arial"/>
          <w:sz w:val="12"/>
          <w:szCs w:val="12"/>
          <w:color w:val="auto"/>
        </w:rPr>
        <w:t>Total premiums less premiums ceded to reinsurance and adjustments in constitution of technical reserves.</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36" w:name="page37"/>
    <w:bookmarkEnd w:id="36"/>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07. Insurance Underwriting Results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Cost</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4080" w:type="dxa"/>
            <w:vAlign w:val="bottom"/>
            <w:tcBorders>
              <w:top w:val="single" w:sz="8" w:color="auto"/>
              <w:left w:val="single" w:sz="8" w:color="auto"/>
              <w:right w:val="single" w:sz="8" w:color="auto"/>
            </w:tcBorders>
            <w:shd w:val="clear" w:color="auto" w:fill="29D2C9"/>
          </w:tcPr>
          <w:p>
            <w:pPr>
              <w:ind w:left="20"/>
              <w:spacing w:after="0"/>
              <w:rPr>
                <w:sz w:val="20"/>
                <w:szCs w:val="20"/>
                <w:color w:val="auto"/>
              </w:rPr>
            </w:pPr>
            <w:r>
              <w:rPr>
                <w:rFonts w:ascii="Arial" w:cs="Arial" w:eastAsia="Arial" w:hAnsi="Arial"/>
                <w:sz w:val="13"/>
                <w:szCs w:val="13"/>
                <w:b w:val="1"/>
                <w:bCs w:val="1"/>
                <w:color w:val="FFFFFF"/>
              </w:rPr>
              <w:t>Acquisition cost</w:t>
            </w:r>
          </w:p>
        </w:tc>
        <w:tc>
          <w:tcPr>
            <w:tcW w:w="980" w:type="dxa"/>
            <w:vAlign w:val="bottom"/>
            <w:tcBorders>
              <w:top w:val="single" w:sz="8" w:color="auto"/>
            </w:tcBorders>
            <w:shd w:val="clear" w:color="auto" w:fill="29D2C9"/>
          </w:tcPr>
          <w:p>
            <w:pPr>
              <w:spacing w:after="0"/>
              <w:rPr>
                <w:sz w:val="14"/>
                <w:szCs w:val="14"/>
                <w:color w:val="auto"/>
              </w:rPr>
            </w:pPr>
          </w:p>
        </w:tc>
        <w:tc>
          <w:tcPr>
            <w:tcW w:w="940" w:type="dxa"/>
            <w:vAlign w:val="bottom"/>
            <w:tcBorders>
              <w:top w:val="single" w:sz="8" w:color="auto"/>
            </w:tcBorders>
            <w:shd w:val="clear" w:color="auto" w:fill="29D2C9"/>
          </w:tcPr>
          <w:p>
            <w:pPr>
              <w:jc w:val="right"/>
              <w:ind w:right="273"/>
              <w:spacing w:after="0"/>
              <w:rPr>
                <w:sz w:val="20"/>
                <w:szCs w:val="20"/>
                <w:color w:val="auto"/>
              </w:rPr>
            </w:pPr>
            <w:r>
              <w:rPr>
                <w:rFonts w:ascii="Arial" w:cs="Arial" w:eastAsia="Arial" w:hAnsi="Arial"/>
                <w:sz w:val="13"/>
                <w:szCs w:val="13"/>
                <w:b w:val="1"/>
                <w:bCs w:val="1"/>
                <w:color w:val="FFFFFF"/>
              </w:rPr>
              <w:t>Quarter</w:t>
            </w:r>
          </w:p>
        </w:tc>
        <w:tc>
          <w:tcPr>
            <w:tcW w:w="780" w:type="dxa"/>
            <w:vAlign w:val="bottom"/>
            <w:tcBorders>
              <w:top w:val="single" w:sz="8" w:color="auto"/>
              <w:right w:val="single" w:sz="8" w:color="auto"/>
            </w:tcBorders>
            <w:shd w:val="clear" w:color="auto" w:fill="29D2C9"/>
          </w:tcPr>
          <w:p>
            <w:pPr>
              <w:spacing w:after="0"/>
              <w:rPr>
                <w:sz w:val="14"/>
                <w:szCs w:val="14"/>
                <w:color w:val="auto"/>
              </w:rPr>
            </w:pPr>
          </w:p>
        </w:tc>
        <w:tc>
          <w:tcPr>
            <w:tcW w:w="1800" w:type="dxa"/>
            <w:vAlign w:val="bottom"/>
            <w:tcBorders>
              <w:top w:val="single" w:sz="8" w:color="auto"/>
              <w:right w:val="single" w:sz="8" w:color="auto"/>
            </w:tcBorders>
            <w:gridSpan w:val="2"/>
            <w:shd w:val="clear" w:color="auto" w:fill="29D2C9"/>
          </w:tcPr>
          <w:p>
            <w:pPr>
              <w:ind w:left="580"/>
              <w:spacing w:after="0"/>
              <w:rPr>
                <w:sz w:val="20"/>
                <w:szCs w:val="20"/>
                <w:color w:val="auto"/>
              </w:rPr>
            </w:pPr>
            <w:r>
              <w:rPr>
                <w:rFonts w:ascii="Arial" w:cs="Arial" w:eastAsia="Arial" w:hAnsi="Arial"/>
                <w:sz w:val="13"/>
                <w:szCs w:val="13"/>
                <w:b w:val="1"/>
                <w:bCs w:val="1"/>
                <w:color w:val="FFFFFF"/>
              </w:rPr>
              <w:t>% change</w:t>
            </w:r>
          </w:p>
        </w:tc>
        <w:tc>
          <w:tcPr>
            <w:tcW w:w="1020" w:type="dxa"/>
            <w:vAlign w:val="bottom"/>
            <w:tcBorders>
              <w:top w:val="single" w:sz="8" w:color="auto"/>
            </w:tcBorders>
            <w:shd w:val="clear" w:color="auto" w:fill="29D2C9"/>
          </w:tcPr>
          <w:p>
            <w:pPr>
              <w:jc w:val="right"/>
              <w:spacing w:after="0"/>
              <w:rPr>
                <w:sz w:val="20"/>
                <w:szCs w:val="20"/>
                <w:color w:val="auto"/>
              </w:rPr>
            </w:pPr>
            <w:r>
              <w:rPr>
                <w:rFonts w:ascii="Arial" w:cs="Arial" w:eastAsia="Arial" w:hAnsi="Arial"/>
                <w:sz w:val="13"/>
                <w:szCs w:val="13"/>
                <w:b w:val="1"/>
                <w:bCs w:val="1"/>
                <w:color w:val="FFFFFF"/>
              </w:rPr>
              <w:t>Year</w:t>
            </w:r>
          </w:p>
        </w:tc>
        <w:tc>
          <w:tcPr>
            <w:tcW w:w="760" w:type="dxa"/>
            <w:vAlign w:val="bottom"/>
            <w:tcBorders>
              <w:top w:val="single" w:sz="8" w:color="auto"/>
              <w:right w:val="single" w:sz="8" w:color="auto"/>
            </w:tcBorders>
            <w:shd w:val="clear" w:color="auto" w:fill="29D2C9"/>
          </w:tcPr>
          <w:p>
            <w:pPr>
              <w:spacing w:after="0"/>
              <w:rPr>
                <w:sz w:val="14"/>
                <w:szCs w:val="14"/>
                <w:color w:val="auto"/>
              </w:rPr>
            </w:pPr>
          </w:p>
        </w:tc>
        <w:tc>
          <w:tcPr>
            <w:tcW w:w="900" w:type="dxa"/>
            <w:vAlign w:val="bottom"/>
            <w:tcBorders>
              <w:top w:val="single" w:sz="8" w:color="auto"/>
              <w:right w:val="single" w:sz="8" w:color="auto"/>
            </w:tcBorders>
            <w:shd w:val="clear" w:color="auto" w:fill="29D2C9"/>
          </w:tcPr>
          <w:p>
            <w:pPr>
              <w:ind w:left="120"/>
              <w:spacing w:after="0"/>
              <w:rPr>
                <w:sz w:val="20"/>
                <w:szCs w:val="20"/>
                <w:color w:val="auto"/>
              </w:rPr>
            </w:pPr>
            <w:r>
              <w:rPr>
                <w:rFonts w:ascii="Arial" w:cs="Arial" w:eastAsia="Arial" w:hAnsi="Arial"/>
                <w:sz w:val="13"/>
                <w:szCs w:val="13"/>
                <w:b w:val="1"/>
                <w:bCs w:val="1"/>
                <w:color w:val="FFFFFF"/>
              </w:rPr>
              <w:t>% change</w:t>
            </w:r>
          </w:p>
        </w:tc>
      </w:tr>
      <w:tr>
        <w:trPr>
          <w:trHeight w:val="151"/>
        </w:trPr>
        <w:tc>
          <w:tcPr>
            <w:tcW w:w="4080" w:type="dxa"/>
            <w:vAlign w:val="bottom"/>
            <w:tcBorders>
              <w:left w:val="single" w:sz="8" w:color="auto"/>
              <w:bottom w:val="single" w:sz="8" w:color="auto"/>
              <w:right w:val="single" w:sz="8" w:color="auto"/>
            </w:tcBorders>
            <w:shd w:val="clear" w:color="auto" w:fill="29D2C9"/>
          </w:tcPr>
          <w:p>
            <w:pPr>
              <w:ind w:left="20"/>
              <w:spacing w:after="0"/>
              <w:rPr>
                <w:sz w:val="20"/>
                <w:szCs w:val="20"/>
                <w:color w:val="auto"/>
              </w:rPr>
            </w:pPr>
            <w:r>
              <w:rPr>
                <w:rFonts w:ascii="Arial" w:cs="Arial" w:eastAsia="Arial" w:hAnsi="Arial"/>
                <w:sz w:val="13"/>
                <w:szCs w:val="13"/>
                <w:b w:val="1"/>
                <w:bCs w:val="1"/>
                <w:color w:val="FFFFFF"/>
              </w:rPr>
              <w:t>S/000</w:t>
            </w:r>
          </w:p>
        </w:tc>
        <w:tc>
          <w:tcPr>
            <w:tcW w:w="980" w:type="dxa"/>
            <w:vAlign w:val="bottom"/>
            <w:tcBorders>
              <w:bottom w:val="single" w:sz="8" w:color="auto"/>
            </w:tcBorders>
            <w:shd w:val="clear" w:color="auto" w:fill="29D2C9"/>
          </w:tcPr>
          <w:p>
            <w:pPr>
              <w:jc w:val="right"/>
              <w:ind w:right="313"/>
              <w:spacing w:after="0"/>
              <w:rPr>
                <w:sz w:val="20"/>
                <w:szCs w:val="20"/>
                <w:color w:val="auto"/>
              </w:rPr>
            </w:pPr>
            <w:r>
              <w:rPr>
                <w:rFonts w:ascii="Arial" w:cs="Arial" w:eastAsia="Arial" w:hAnsi="Arial"/>
                <w:sz w:val="13"/>
                <w:szCs w:val="13"/>
                <w:b w:val="1"/>
                <w:bCs w:val="1"/>
                <w:color w:val="FFFFFF"/>
              </w:rPr>
              <w:t>4Q21</w:t>
            </w:r>
          </w:p>
        </w:tc>
        <w:tc>
          <w:tcPr>
            <w:tcW w:w="940" w:type="dxa"/>
            <w:vAlign w:val="bottom"/>
            <w:tcBorders>
              <w:bottom w:val="single" w:sz="8" w:color="auto"/>
            </w:tcBorders>
            <w:shd w:val="clear" w:color="auto" w:fill="29D2C9"/>
          </w:tcPr>
          <w:p>
            <w:pPr>
              <w:jc w:val="right"/>
              <w:ind w:right="353"/>
              <w:spacing w:after="0"/>
              <w:rPr>
                <w:sz w:val="20"/>
                <w:szCs w:val="20"/>
                <w:color w:val="auto"/>
              </w:rPr>
            </w:pPr>
            <w:r>
              <w:rPr>
                <w:rFonts w:ascii="Arial" w:cs="Arial" w:eastAsia="Arial" w:hAnsi="Arial"/>
                <w:sz w:val="13"/>
                <w:szCs w:val="13"/>
                <w:b w:val="1"/>
                <w:bCs w:val="1"/>
                <w:color w:val="FFFFFF"/>
              </w:rPr>
              <w:t>3Q22</w:t>
            </w:r>
          </w:p>
        </w:tc>
        <w:tc>
          <w:tcPr>
            <w:tcW w:w="780" w:type="dxa"/>
            <w:vAlign w:val="bottom"/>
            <w:tcBorders>
              <w:bottom w:val="single" w:sz="8" w:color="auto"/>
              <w:right w:val="single" w:sz="8" w:color="auto"/>
            </w:tcBorders>
            <w:shd w:val="clear" w:color="auto" w:fill="29D2C9"/>
          </w:tcPr>
          <w:p>
            <w:pPr>
              <w:jc w:val="right"/>
              <w:ind w:right="233"/>
              <w:spacing w:after="0"/>
              <w:rPr>
                <w:sz w:val="20"/>
                <w:szCs w:val="20"/>
                <w:color w:val="auto"/>
              </w:rPr>
            </w:pPr>
            <w:r>
              <w:rPr>
                <w:rFonts w:ascii="Arial" w:cs="Arial" w:eastAsia="Arial" w:hAnsi="Arial"/>
                <w:sz w:val="13"/>
                <w:szCs w:val="13"/>
                <w:b w:val="1"/>
                <w:bCs w:val="1"/>
                <w:color w:val="FFFFFF"/>
              </w:rPr>
              <w:t>4Q22</w:t>
            </w:r>
          </w:p>
        </w:tc>
        <w:tc>
          <w:tcPr>
            <w:tcW w:w="880" w:type="dxa"/>
            <w:vAlign w:val="bottom"/>
            <w:tcBorders>
              <w:bottom w:val="single" w:sz="8" w:color="auto"/>
            </w:tcBorders>
            <w:shd w:val="clear" w:color="auto" w:fill="29D2C9"/>
          </w:tcPr>
          <w:p>
            <w:pPr>
              <w:ind w:left="300"/>
              <w:spacing w:after="0"/>
              <w:rPr>
                <w:sz w:val="20"/>
                <w:szCs w:val="20"/>
                <w:color w:val="auto"/>
              </w:rPr>
            </w:pPr>
            <w:r>
              <w:rPr>
                <w:rFonts w:ascii="Arial" w:cs="Arial" w:eastAsia="Arial" w:hAnsi="Arial"/>
                <w:sz w:val="13"/>
                <w:szCs w:val="13"/>
                <w:b w:val="1"/>
                <w:bCs w:val="1"/>
                <w:color w:val="FFFFFF"/>
              </w:rPr>
              <w:t>QoQ</w:t>
            </w:r>
          </w:p>
        </w:tc>
        <w:tc>
          <w:tcPr>
            <w:tcW w:w="920" w:type="dxa"/>
            <w:vAlign w:val="bottom"/>
            <w:tcBorders>
              <w:bottom w:val="single" w:sz="8" w:color="auto"/>
              <w:right w:val="single" w:sz="8" w:color="auto"/>
            </w:tcBorders>
            <w:shd w:val="clear" w:color="auto" w:fill="29D2C9"/>
          </w:tcPr>
          <w:p>
            <w:pPr>
              <w:ind w:left="320"/>
              <w:spacing w:after="0"/>
              <w:rPr>
                <w:sz w:val="20"/>
                <w:szCs w:val="20"/>
                <w:color w:val="auto"/>
              </w:rPr>
            </w:pPr>
            <w:r>
              <w:rPr>
                <w:rFonts w:ascii="Arial" w:cs="Arial" w:eastAsia="Arial" w:hAnsi="Arial"/>
                <w:sz w:val="13"/>
                <w:szCs w:val="13"/>
                <w:b w:val="1"/>
                <w:bCs w:val="1"/>
                <w:color w:val="FFFFFF"/>
              </w:rPr>
              <w:t>YoY</w:t>
            </w:r>
          </w:p>
        </w:tc>
        <w:tc>
          <w:tcPr>
            <w:tcW w:w="1020" w:type="dxa"/>
            <w:vAlign w:val="bottom"/>
            <w:tcBorders>
              <w:bottom w:val="single" w:sz="8" w:color="auto"/>
            </w:tcBorders>
            <w:shd w:val="clear" w:color="auto" w:fill="29D2C9"/>
          </w:tcPr>
          <w:p>
            <w:pPr>
              <w:jc w:val="right"/>
              <w:ind w:right="233"/>
              <w:spacing w:after="0"/>
              <w:rPr>
                <w:sz w:val="20"/>
                <w:szCs w:val="20"/>
                <w:color w:val="auto"/>
              </w:rPr>
            </w:pPr>
            <w:r>
              <w:rPr>
                <w:rFonts w:ascii="Arial" w:cs="Arial" w:eastAsia="Arial" w:hAnsi="Arial"/>
                <w:sz w:val="13"/>
                <w:szCs w:val="13"/>
                <w:b w:val="1"/>
                <w:bCs w:val="1"/>
                <w:color w:val="FFFFFF"/>
              </w:rPr>
              <w:t>Dec 2021</w:t>
            </w:r>
          </w:p>
        </w:tc>
        <w:tc>
          <w:tcPr>
            <w:tcW w:w="760" w:type="dxa"/>
            <w:vAlign w:val="bottom"/>
            <w:tcBorders>
              <w:bottom w:val="single" w:sz="8" w:color="auto"/>
              <w:right w:val="single" w:sz="8" w:color="auto"/>
            </w:tcBorders>
            <w:shd w:val="clear" w:color="auto" w:fill="29D2C9"/>
          </w:tcPr>
          <w:p>
            <w:pPr>
              <w:jc w:val="right"/>
              <w:ind w:right="113"/>
              <w:spacing w:after="0"/>
              <w:rPr>
                <w:sz w:val="20"/>
                <w:szCs w:val="20"/>
                <w:color w:val="auto"/>
              </w:rPr>
            </w:pPr>
            <w:r>
              <w:rPr>
                <w:rFonts w:ascii="Arial" w:cs="Arial" w:eastAsia="Arial" w:hAnsi="Arial"/>
                <w:sz w:val="13"/>
                <w:szCs w:val="13"/>
                <w:b w:val="1"/>
                <w:bCs w:val="1"/>
                <w:color w:val="FFFFFF"/>
                <w:w w:val="99"/>
              </w:rPr>
              <w:t>Dec 2022</w:t>
            </w:r>
          </w:p>
        </w:tc>
        <w:tc>
          <w:tcPr>
            <w:tcW w:w="900" w:type="dxa"/>
            <w:vAlign w:val="bottom"/>
            <w:tcBorders>
              <w:bottom w:val="single" w:sz="8" w:color="auto"/>
              <w:right w:val="single" w:sz="8" w:color="auto"/>
            </w:tcBorders>
            <w:shd w:val="clear" w:color="auto" w:fill="29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36"/>
        </w:trPr>
        <w:tc>
          <w:tcPr>
            <w:tcW w:w="408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color w:val="auto"/>
              </w:rPr>
              <w:t>Net fees</w:t>
            </w:r>
          </w:p>
        </w:tc>
        <w:tc>
          <w:tcPr>
            <w:tcW w:w="9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(56,359)</w:t>
            </w:r>
          </w:p>
        </w:tc>
        <w:tc>
          <w:tcPr>
            <w:tcW w:w="940" w:type="dxa"/>
            <w:vAlign w:val="bottom"/>
          </w:tcPr>
          <w:p>
            <w:pPr>
              <w:jc w:val="right"/>
              <w:ind w:right="73"/>
              <w:spacing w:after="0" w:line="136" w:lineRule="exact"/>
              <w:rPr>
                <w:sz w:val="20"/>
                <w:szCs w:val="20"/>
                <w:color w:val="auto"/>
              </w:rPr>
            </w:pPr>
            <w:r>
              <w:rPr>
                <w:rFonts w:ascii="Arial" w:cs="Arial" w:eastAsia="Arial" w:hAnsi="Arial"/>
                <w:sz w:val="13"/>
                <w:szCs w:val="13"/>
                <w:color w:val="auto"/>
              </w:rPr>
              <w:t>(43,738)</w:t>
            </w:r>
          </w:p>
        </w:tc>
        <w:tc>
          <w:tcPr>
            <w:tcW w:w="78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(38,840)</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w w:val="97"/>
              </w:rPr>
              <w:t>-11.2%</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-31.1%</w:t>
            </w:r>
          </w:p>
        </w:tc>
        <w:tc>
          <w:tcPr>
            <w:tcW w:w="1020" w:type="dxa"/>
            <w:vAlign w:val="bottom"/>
          </w:tcPr>
          <w:p>
            <w:pPr>
              <w:jc w:val="right"/>
              <w:ind w:right="93"/>
              <w:spacing w:after="0" w:line="136" w:lineRule="exact"/>
              <w:rPr>
                <w:sz w:val="20"/>
                <w:szCs w:val="20"/>
                <w:color w:val="auto"/>
              </w:rPr>
            </w:pPr>
            <w:r>
              <w:rPr>
                <w:rFonts w:ascii="Arial" w:cs="Arial" w:eastAsia="Arial" w:hAnsi="Arial"/>
                <w:sz w:val="13"/>
                <w:szCs w:val="13"/>
                <w:color w:val="auto"/>
              </w:rPr>
              <w:t>(217,389)</w:t>
            </w:r>
          </w:p>
        </w:tc>
        <w:tc>
          <w:tcPr>
            <w:tcW w:w="7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1D1D1D"/>
              </w:rPr>
              <w:t>(161,805)</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-25.6%</w:t>
            </w:r>
          </w:p>
        </w:tc>
      </w:tr>
      <w:tr>
        <w:trPr>
          <w:trHeight w:val="151"/>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Underwriting expenses</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(22,526)</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(32,619)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(32,788)</w:t>
            </w:r>
          </w:p>
        </w:tc>
        <w:tc>
          <w:tcPr>
            <w:tcW w:w="880" w:type="dxa"/>
            <w:vAlign w:val="bottom"/>
          </w:tcPr>
          <w:p>
            <w:pPr>
              <w:jc w:val="center"/>
              <w:spacing w:after="0"/>
              <w:rPr>
                <w:sz w:val="20"/>
                <w:szCs w:val="20"/>
                <w:color w:val="auto"/>
              </w:rPr>
            </w:pPr>
            <w:r>
              <w:rPr>
                <w:rFonts w:ascii="Arial" w:cs="Arial" w:eastAsia="Arial" w:hAnsi="Arial"/>
                <w:sz w:val="13"/>
                <w:szCs w:val="13"/>
                <w:color w:val="auto"/>
              </w:rPr>
              <w:t>0.5%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45.6%</w:t>
            </w:r>
          </w:p>
        </w:tc>
        <w:tc>
          <w:tcPr>
            <w:tcW w:w="1020" w:type="dxa"/>
            <w:vAlign w:val="bottom"/>
          </w:tcPr>
          <w:p>
            <w:pPr>
              <w:jc w:val="right"/>
              <w:ind w:right="93"/>
              <w:spacing w:after="0"/>
              <w:rPr>
                <w:sz w:val="20"/>
                <w:szCs w:val="20"/>
                <w:color w:val="auto"/>
              </w:rPr>
            </w:pPr>
            <w:r>
              <w:rPr>
                <w:rFonts w:ascii="Arial" w:cs="Arial" w:eastAsia="Arial" w:hAnsi="Arial"/>
                <w:sz w:val="13"/>
                <w:szCs w:val="13"/>
                <w:color w:val="1D1D1D"/>
              </w:rPr>
              <w:t>(119,468)</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(124,636)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4.3%</w:t>
            </w:r>
          </w:p>
        </w:tc>
      </w:tr>
      <w:tr>
        <w:trPr>
          <w:trHeight w:val="159"/>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1D1D1D"/>
              </w:rPr>
              <w:t>Underwriting income</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3,734</w:t>
            </w: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1,302</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1,607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23.4%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-57.0%</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3,524</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4,634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31.5%</w:t>
            </w:r>
          </w:p>
        </w:tc>
      </w:tr>
      <w:tr>
        <w:trPr>
          <w:trHeight w:val="144"/>
        </w:trPr>
        <w:tc>
          <w:tcPr>
            <w:tcW w:w="408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Acquisition cost</w:t>
            </w:r>
          </w:p>
        </w:tc>
        <w:tc>
          <w:tcPr>
            <w:tcW w:w="980" w:type="dxa"/>
            <w:vAlign w:val="bottom"/>
            <w:tcBorders>
              <w:bottom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(75,152)</w:t>
            </w:r>
          </w:p>
        </w:tc>
        <w:tc>
          <w:tcPr>
            <w:tcW w:w="940" w:type="dxa"/>
            <w:vAlign w:val="bottom"/>
            <w:tcBorders>
              <w:bottom w:val="single" w:sz="8" w:color="auto"/>
            </w:tcBorders>
          </w:tcPr>
          <w:p>
            <w:pPr>
              <w:jc w:val="right"/>
              <w:ind w:right="73"/>
              <w:spacing w:after="0" w:line="144" w:lineRule="exact"/>
              <w:rPr>
                <w:sz w:val="20"/>
                <w:szCs w:val="20"/>
                <w:color w:val="auto"/>
              </w:rPr>
            </w:pPr>
            <w:r>
              <w:rPr>
                <w:rFonts w:ascii="Arial" w:cs="Arial" w:eastAsia="Arial" w:hAnsi="Arial"/>
                <w:sz w:val="13"/>
                <w:szCs w:val="13"/>
                <w:b w:val="1"/>
                <w:bCs w:val="1"/>
                <w:color w:val="auto"/>
              </w:rPr>
              <w:t>(75,055)</w:t>
            </w:r>
          </w:p>
        </w:tc>
        <w:tc>
          <w:tcPr>
            <w:tcW w:w="78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(70,021)</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-6.7%</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9"/>
              </w:rPr>
              <w:t>-6.8%</w:t>
            </w:r>
          </w:p>
        </w:tc>
        <w:tc>
          <w:tcPr>
            <w:tcW w:w="1020" w:type="dxa"/>
            <w:vAlign w:val="bottom"/>
            <w:tcBorders>
              <w:bottom w:val="single" w:sz="8" w:color="auto"/>
            </w:tcBorders>
          </w:tcPr>
          <w:p>
            <w:pPr>
              <w:jc w:val="right"/>
              <w:ind w:right="93"/>
              <w:spacing w:after="0" w:line="144" w:lineRule="exact"/>
              <w:rPr>
                <w:sz w:val="20"/>
                <w:szCs w:val="20"/>
                <w:color w:val="auto"/>
              </w:rPr>
            </w:pPr>
            <w:r>
              <w:rPr>
                <w:rFonts w:ascii="Arial" w:cs="Arial" w:eastAsia="Arial" w:hAnsi="Arial"/>
                <w:sz w:val="13"/>
                <w:szCs w:val="13"/>
                <w:b w:val="1"/>
                <w:bCs w:val="1"/>
                <w:color w:val="auto"/>
              </w:rPr>
              <w:t>(333,334)</w:t>
            </w:r>
          </w:p>
        </w:tc>
        <w:tc>
          <w:tcPr>
            <w:tcW w:w="76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(281,807)</w:t>
            </w:r>
          </w:p>
        </w:tc>
        <w:tc>
          <w:tcPr>
            <w:tcW w:w="9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-15.5%</w:t>
            </w:r>
          </w:p>
        </w:tc>
      </w:tr>
    </w:tbl>
    <w:p>
      <w:pPr>
        <w:spacing w:after="0" w:line="17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acquisition cost fell 6.7% QoQ, which reflected a decrease in net commissions in both businesses and a reduction in underwriting expenses in P &amp; C. At P &amp; C, the drop in the acquisition cost was driven by a reduction in underwriting expenses for reserve releases in Cars and Soat. In the Life business, the acquisition cost fell due to a decrease in premiums in Credit Life, which was partially offset by an uptick in underwriting expenses in Individual Life.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the YoY and FY analysis, the acquisition cost dropped 6.8% and 15.5% respectively. This evolution was driven mainly by a drop in commissions in the Life business (associated with Credit Life, where an alliance expired). The aforementioned was partially offset by an increase in underwriting expenses in both Life and P &amp; C, which reflected growth in provisions for uncollectible premiums and reinsurance respectively.</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7" w:name="page38"/>
    <w:bookmarkEnd w:id="37"/>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9"/>
          <w:szCs w:val="49"/>
          <w:b w:val="1"/>
          <w:bCs w:val="1"/>
          <w:color w:val="E93CAC"/>
        </w:rPr>
        <w:t xml:space="preserve">08  </w:t>
      </w:r>
      <w:r>
        <w:rPr>
          <w:rFonts w:ascii="Arial" w:cs="Arial" w:eastAsia="Arial" w:hAnsi="Arial"/>
          <w:sz w:val="30"/>
          <w:szCs w:val="30"/>
          <w:color w:val="E93CAC"/>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141845" cy="6870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1845" cy="687070"/>
                    </a:xfrm>
                    <a:prstGeom prst="rect">
                      <a:avLst/>
                    </a:prstGeom>
                    <a:noFill/>
                  </pic:spPr>
                </pic:pic>
              </a:graphicData>
            </a:graphic>
          </wp:anchor>
        </w:drawing>
      </w:r>
    </w:p>
    <w:p>
      <w:pPr>
        <w:spacing w:after="0" w:line="355" w:lineRule="exact"/>
        <w:rPr>
          <w:sz w:val="20"/>
          <w:szCs w:val="20"/>
          <w:color w:val="auto"/>
        </w:rPr>
      </w:pPr>
    </w:p>
    <w:p>
      <w:pPr>
        <w:jc w:val="both"/>
        <w:ind w:left="160" w:right="160"/>
        <w:spacing w:after="0" w:line="242" w:lineRule="auto"/>
        <w:rPr>
          <w:sz w:val="20"/>
          <w:szCs w:val="20"/>
          <w:color w:val="auto"/>
        </w:rPr>
      </w:pPr>
      <w:r>
        <w:rPr>
          <w:rFonts w:ascii="Arial" w:cs="Arial" w:eastAsia="Arial" w:hAnsi="Arial"/>
          <w:sz w:val="17"/>
          <w:szCs w:val="17"/>
          <w:color w:val="FFFFFF"/>
        </w:rPr>
        <w:t>Operating expenses rose, driven primarily by Administrative and General Expenses via Information Technology Expenses (IT) and Advertising and Fidelity Programs. Growth in these components reflects investment under our transformation strategy; an uptick in transactions; and efforts to bolster client fidelity. Salaries and employee benefits increased reflects an improvement in commercial results. If we exclude expenses for disruption, the FY variations for Operating Expenses stand at 8.16%.</w:t>
      </w:r>
    </w:p>
    <w:p>
      <w:pPr>
        <w:spacing w:after="0" w:line="315"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40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Operating expenses</w:t>
            </w:r>
          </w:p>
        </w:tc>
        <w:tc>
          <w:tcPr>
            <w:tcW w:w="980" w:type="dxa"/>
            <w:vAlign w:val="bottom"/>
            <w:tcBorders>
              <w:top w:val="single" w:sz="8" w:color="auto"/>
            </w:tcBorders>
            <w:shd w:val="clear" w:color="auto" w:fill="2AD2C9"/>
          </w:tcPr>
          <w:p>
            <w:pPr>
              <w:spacing w:after="0"/>
              <w:rPr>
                <w:sz w:val="14"/>
                <w:szCs w:val="14"/>
                <w:color w:val="auto"/>
              </w:rPr>
            </w:pPr>
          </w:p>
        </w:tc>
        <w:tc>
          <w:tcPr>
            <w:tcW w:w="900" w:type="dxa"/>
            <w:vAlign w:val="bottom"/>
            <w:tcBorders>
              <w:top w:val="single" w:sz="8" w:color="auto"/>
            </w:tcBorders>
            <w:shd w:val="clear" w:color="auto" w:fill="2AD2C9"/>
          </w:tcPr>
          <w:p>
            <w:pPr>
              <w:jc w:val="right"/>
              <w:ind w:right="233"/>
              <w:spacing w:after="0"/>
              <w:rPr>
                <w:sz w:val="20"/>
                <w:szCs w:val="20"/>
                <w:color w:val="auto"/>
              </w:rPr>
            </w:pPr>
            <w:r>
              <w:rPr>
                <w:rFonts w:ascii="Arial" w:cs="Arial" w:eastAsia="Arial" w:hAnsi="Arial"/>
                <w:sz w:val="13"/>
                <w:szCs w:val="13"/>
                <w:b w:val="1"/>
                <w:bCs w:val="1"/>
                <w:color w:val="FFFFFF"/>
              </w:rPr>
              <w:t>Quarter</w:t>
            </w:r>
          </w:p>
        </w:tc>
        <w:tc>
          <w:tcPr>
            <w:tcW w:w="820" w:type="dxa"/>
            <w:vAlign w:val="bottom"/>
            <w:tcBorders>
              <w:top w:val="single" w:sz="8" w:color="auto"/>
              <w:right w:val="single" w:sz="8" w:color="auto"/>
            </w:tcBorders>
            <w:shd w:val="clear" w:color="auto" w:fill="2AD2C9"/>
          </w:tcPr>
          <w:p>
            <w:pPr>
              <w:spacing w:after="0"/>
              <w:rPr>
                <w:sz w:val="14"/>
                <w:szCs w:val="14"/>
                <w:color w:val="auto"/>
              </w:rPr>
            </w:pPr>
          </w:p>
        </w:tc>
        <w:tc>
          <w:tcPr>
            <w:tcW w:w="1780" w:type="dxa"/>
            <w:vAlign w:val="bottom"/>
            <w:tcBorders>
              <w:top w:val="single" w:sz="8" w:color="auto"/>
              <w:right w:val="single" w:sz="8" w:color="auto"/>
            </w:tcBorders>
            <w:gridSpan w:val="2"/>
            <w:shd w:val="clear" w:color="auto" w:fill="2AD2C9"/>
          </w:tcPr>
          <w:p>
            <w:pPr>
              <w:ind w:left="560"/>
              <w:spacing w:after="0"/>
              <w:rPr>
                <w:sz w:val="20"/>
                <w:szCs w:val="20"/>
                <w:color w:val="auto"/>
              </w:rPr>
            </w:pPr>
            <w:r>
              <w:rPr>
                <w:rFonts w:ascii="Arial" w:cs="Arial" w:eastAsia="Arial" w:hAnsi="Arial"/>
                <w:sz w:val="13"/>
                <w:szCs w:val="13"/>
                <w:b w:val="1"/>
                <w:bCs w:val="1"/>
                <w:color w:val="FFFFFF"/>
              </w:rPr>
              <w:t>% change</w:t>
            </w:r>
          </w:p>
        </w:tc>
        <w:tc>
          <w:tcPr>
            <w:tcW w:w="108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720" w:type="dxa"/>
            <w:vAlign w:val="bottom"/>
            <w:tcBorders>
              <w:top w:val="single" w:sz="8" w:color="auto"/>
              <w:right w:val="single" w:sz="8" w:color="auto"/>
            </w:tcBorders>
            <w:shd w:val="clear" w:color="auto" w:fill="2AD2C9"/>
          </w:tcPr>
          <w:p>
            <w:pPr>
              <w:spacing w:after="0"/>
              <w:rPr>
                <w:sz w:val="14"/>
                <w:szCs w:val="14"/>
                <w:color w:val="auto"/>
              </w:rPr>
            </w:pPr>
          </w:p>
        </w:tc>
        <w:tc>
          <w:tcPr>
            <w:tcW w:w="900" w:type="dxa"/>
            <w:vAlign w:val="bottom"/>
            <w:tcBorders>
              <w:top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13"/>
                <w:szCs w:val="13"/>
                <w:b w:val="1"/>
                <w:bCs w:val="1"/>
                <w:color w:val="FFFFFF"/>
              </w:rPr>
              <w:t>% change</w:t>
            </w:r>
          </w:p>
        </w:tc>
      </w:tr>
      <w:tr>
        <w:trPr>
          <w:trHeight w:val="151"/>
        </w:trPr>
        <w:tc>
          <w:tcPr>
            <w:tcW w:w="4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000</w:t>
            </w:r>
          </w:p>
        </w:tc>
        <w:tc>
          <w:tcPr>
            <w:tcW w:w="980" w:type="dxa"/>
            <w:vAlign w:val="bottom"/>
            <w:tcBorders>
              <w:bottom w:val="single" w:sz="8" w:color="auto"/>
            </w:tcBorders>
            <w:shd w:val="clear" w:color="auto" w:fill="2AD2C9"/>
          </w:tcPr>
          <w:p>
            <w:pPr>
              <w:jc w:val="right"/>
              <w:ind w:right="313"/>
              <w:spacing w:after="0"/>
              <w:rPr>
                <w:sz w:val="20"/>
                <w:szCs w:val="20"/>
                <w:color w:val="auto"/>
              </w:rPr>
            </w:pPr>
            <w:r>
              <w:rPr>
                <w:rFonts w:ascii="Arial" w:cs="Arial" w:eastAsia="Arial" w:hAnsi="Arial"/>
                <w:sz w:val="13"/>
                <w:szCs w:val="13"/>
                <w:b w:val="1"/>
                <w:bCs w:val="1"/>
                <w:color w:val="FFFFFF"/>
              </w:rPr>
              <w:t>4Q21</w:t>
            </w:r>
          </w:p>
        </w:tc>
        <w:tc>
          <w:tcPr>
            <w:tcW w:w="900" w:type="dxa"/>
            <w:vAlign w:val="bottom"/>
            <w:tcBorders>
              <w:bottom w:val="single" w:sz="8" w:color="auto"/>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3Q22</w:t>
            </w:r>
          </w:p>
        </w:tc>
        <w:tc>
          <w:tcPr>
            <w:tcW w:w="820" w:type="dxa"/>
            <w:vAlign w:val="bottom"/>
            <w:tcBorders>
              <w:bottom w:val="single" w:sz="8" w:color="auto"/>
              <w:right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4Q22</w:t>
            </w:r>
          </w:p>
        </w:tc>
        <w:tc>
          <w:tcPr>
            <w:tcW w:w="88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3"/>
                <w:szCs w:val="13"/>
                <w:b w:val="1"/>
                <w:bCs w:val="1"/>
                <w:color w:val="FFFFFF"/>
              </w:rPr>
              <w:t>QoQ</w:t>
            </w:r>
          </w:p>
        </w:tc>
        <w:tc>
          <w:tcPr>
            <w:tcW w:w="90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3"/>
                <w:szCs w:val="13"/>
                <w:b w:val="1"/>
                <w:bCs w:val="1"/>
                <w:color w:val="FFFFFF"/>
              </w:rPr>
              <w:t>YoY</w:t>
            </w:r>
          </w:p>
        </w:tc>
        <w:tc>
          <w:tcPr>
            <w:tcW w:w="1080" w:type="dxa"/>
            <w:vAlign w:val="bottom"/>
            <w:tcBorders>
              <w:bottom w:val="single" w:sz="8" w:color="auto"/>
            </w:tcBorders>
            <w:shd w:val="clear" w:color="auto" w:fill="2AD2C9"/>
          </w:tcPr>
          <w:p>
            <w:pPr>
              <w:jc w:val="right"/>
              <w:ind w:right="433"/>
              <w:spacing w:after="0"/>
              <w:rPr>
                <w:sz w:val="20"/>
                <w:szCs w:val="20"/>
                <w:color w:val="auto"/>
              </w:rPr>
            </w:pPr>
            <w:r>
              <w:rPr>
                <w:rFonts w:ascii="Arial" w:cs="Arial" w:eastAsia="Arial" w:hAnsi="Arial"/>
                <w:sz w:val="13"/>
                <w:szCs w:val="13"/>
                <w:b w:val="1"/>
                <w:bCs w:val="1"/>
                <w:color w:val="FFFFFF"/>
              </w:rPr>
              <w:t>2021</w:t>
            </w:r>
          </w:p>
        </w:tc>
        <w:tc>
          <w:tcPr>
            <w:tcW w:w="720" w:type="dxa"/>
            <w:vAlign w:val="bottom"/>
            <w:tcBorders>
              <w:bottom w:val="single" w:sz="8" w:color="auto"/>
              <w:right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2022</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36"/>
        </w:trPr>
        <w:tc>
          <w:tcPr>
            <w:tcW w:w="408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color w:val="auto"/>
              </w:rPr>
              <w:t>Salaries and employees benefits</w:t>
            </w:r>
          </w:p>
        </w:tc>
        <w:tc>
          <w:tcPr>
            <w:tcW w:w="9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1,013,176</w:t>
            </w:r>
          </w:p>
        </w:tc>
        <w:tc>
          <w:tcPr>
            <w:tcW w:w="900" w:type="dxa"/>
            <w:vAlign w:val="bottom"/>
          </w:tcPr>
          <w:p>
            <w:pPr>
              <w:jc w:val="right"/>
              <w:ind w:right="33"/>
              <w:spacing w:after="0" w:line="136" w:lineRule="exact"/>
              <w:rPr>
                <w:sz w:val="20"/>
                <w:szCs w:val="20"/>
                <w:color w:val="auto"/>
              </w:rPr>
            </w:pPr>
            <w:r>
              <w:rPr>
                <w:rFonts w:ascii="Arial" w:cs="Arial" w:eastAsia="Arial" w:hAnsi="Arial"/>
                <w:sz w:val="13"/>
                <w:szCs w:val="13"/>
                <w:color w:val="auto"/>
              </w:rPr>
              <w:t>1,021,946</w:t>
            </w:r>
          </w:p>
        </w:tc>
        <w:tc>
          <w:tcPr>
            <w:tcW w:w="82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1,077,461</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5.4%</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6.3%</w:t>
            </w:r>
          </w:p>
        </w:tc>
        <w:tc>
          <w:tcPr>
            <w:tcW w:w="108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3,668,476</w:t>
            </w:r>
          </w:p>
        </w:tc>
        <w:tc>
          <w:tcPr>
            <w:tcW w:w="72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4,052,780</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10.5%</w:t>
            </w:r>
          </w:p>
        </w:tc>
      </w:tr>
      <w:tr>
        <w:trPr>
          <w:trHeight w:val="151"/>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Administrative, general and tax expenses</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898,677</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868,805</w:t>
            </w:r>
          </w:p>
        </w:tc>
        <w:tc>
          <w:tcPr>
            <w:tcW w:w="8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1,063,611</w:t>
            </w:r>
          </w:p>
        </w:tc>
        <w:tc>
          <w:tcPr>
            <w:tcW w:w="880" w:type="dxa"/>
            <w:vAlign w:val="bottom"/>
          </w:tcPr>
          <w:p>
            <w:pPr>
              <w:jc w:val="center"/>
              <w:spacing w:after="0"/>
              <w:rPr>
                <w:sz w:val="20"/>
                <w:szCs w:val="20"/>
                <w:color w:val="auto"/>
              </w:rPr>
            </w:pPr>
            <w:r>
              <w:rPr>
                <w:rFonts w:ascii="Arial" w:cs="Arial" w:eastAsia="Arial" w:hAnsi="Arial"/>
                <w:sz w:val="13"/>
                <w:szCs w:val="13"/>
                <w:color w:val="auto"/>
              </w:rPr>
              <w:t>22.4%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18.4%</w:t>
            </w:r>
          </w:p>
        </w:tc>
        <w:tc>
          <w:tcPr>
            <w:tcW w:w="1080" w:type="dxa"/>
            <w:vAlign w:val="bottom"/>
          </w:tcPr>
          <w:p>
            <w:pPr>
              <w:jc w:val="right"/>
              <w:ind w:right="133"/>
              <w:spacing w:after="0"/>
              <w:rPr>
                <w:sz w:val="20"/>
                <w:szCs w:val="20"/>
                <w:color w:val="auto"/>
              </w:rPr>
            </w:pPr>
            <w:r>
              <w:rPr>
                <w:rFonts w:ascii="Arial" w:cs="Arial" w:eastAsia="Arial" w:hAnsi="Arial"/>
                <w:sz w:val="13"/>
                <w:szCs w:val="13"/>
                <w:color w:val="auto"/>
              </w:rPr>
              <w:t>2,953,717</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3,505,101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18.7%</w:t>
            </w:r>
          </w:p>
        </w:tc>
      </w:tr>
      <w:tr>
        <w:trPr>
          <w:trHeight w:val="151"/>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181,660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173,500</w:t>
            </w:r>
          </w:p>
        </w:tc>
        <w:tc>
          <w:tcPr>
            <w:tcW w:w="8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176,645</w:t>
            </w:r>
          </w:p>
        </w:tc>
        <w:tc>
          <w:tcPr>
            <w:tcW w:w="880" w:type="dxa"/>
            <w:vAlign w:val="bottom"/>
          </w:tcPr>
          <w:p>
            <w:pPr>
              <w:jc w:val="center"/>
              <w:spacing w:after="0"/>
              <w:rPr>
                <w:sz w:val="20"/>
                <w:szCs w:val="20"/>
                <w:color w:val="auto"/>
              </w:rPr>
            </w:pPr>
            <w:r>
              <w:rPr>
                <w:rFonts w:ascii="Arial" w:cs="Arial" w:eastAsia="Arial" w:hAnsi="Arial"/>
                <w:sz w:val="13"/>
                <w:szCs w:val="13"/>
                <w:color w:val="auto"/>
              </w:rPr>
              <w:t>1.8%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-2.8%</w:t>
            </w:r>
          </w:p>
        </w:tc>
        <w:tc>
          <w:tcPr>
            <w:tcW w:w="1080" w:type="dxa"/>
            <w:vAlign w:val="bottom"/>
          </w:tcPr>
          <w:p>
            <w:pPr>
              <w:jc w:val="right"/>
              <w:ind w:right="133"/>
              <w:spacing w:after="0"/>
              <w:rPr>
                <w:sz w:val="20"/>
                <w:szCs w:val="20"/>
                <w:color w:val="auto"/>
              </w:rPr>
            </w:pPr>
            <w:r>
              <w:rPr>
                <w:rFonts w:ascii="Arial" w:cs="Arial" w:eastAsia="Arial" w:hAnsi="Arial"/>
                <w:sz w:val="13"/>
                <w:szCs w:val="13"/>
                <w:color w:val="auto"/>
              </w:rPr>
              <w:t>683,254</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683,504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w:t>
            </w:r>
          </w:p>
        </w:tc>
      </w:tr>
      <w:tr>
        <w:trPr>
          <w:trHeight w:val="135"/>
        </w:trPr>
        <w:tc>
          <w:tcPr>
            <w:tcW w:w="408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color w:val="auto"/>
              </w:rPr>
              <w:t>Association in participation</w:t>
            </w:r>
          </w:p>
        </w:tc>
        <w:tc>
          <w:tcPr>
            <w:tcW w:w="9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13,965</w:t>
            </w:r>
          </w:p>
        </w:tc>
        <w:tc>
          <w:tcPr>
            <w:tcW w:w="900" w:type="dxa"/>
            <w:vAlign w:val="bottom"/>
          </w:tcPr>
          <w:p>
            <w:pPr>
              <w:jc w:val="right"/>
              <w:ind w:right="33"/>
              <w:spacing w:after="0" w:line="136" w:lineRule="exact"/>
              <w:rPr>
                <w:sz w:val="20"/>
                <w:szCs w:val="20"/>
                <w:color w:val="auto"/>
              </w:rPr>
            </w:pPr>
            <w:r>
              <w:rPr>
                <w:rFonts w:ascii="Arial" w:cs="Arial" w:eastAsia="Arial" w:hAnsi="Arial"/>
                <w:sz w:val="13"/>
                <w:szCs w:val="13"/>
                <w:color w:val="auto"/>
              </w:rPr>
              <w:t>9,999</w:t>
            </w:r>
          </w:p>
        </w:tc>
        <w:tc>
          <w:tcPr>
            <w:tcW w:w="82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12,936</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29.4%</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-7.4%</w:t>
            </w:r>
          </w:p>
        </w:tc>
        <w:tc>
          <w:tcPr>
            <w:tcW w:w="108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47,176</w:t>
            </w:r>
          </w:p>
        </w:tc>
        <w:tc>
          <w:tcPr>
            <w:tcW w:w="72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40,955</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-13.2%</w:t>
            </w:r>
          </w:p>
        </w:tc>
      </w:tr>
      <w:tr>
        <w:trPr>
          <w:trHeight w:val="174"/>
        </w:trPr>
        <w:tc>
          <w:tcPr>
            <w:tcW w:w="408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2"/>
                <w:szCs w:val="12"/>
                <w:color w:val="auto"/>
              </w:rPr>
              <w:t xml:space="preserve">Acquisition cost </w:t>
            </w:r>
            <w:r>
              <w:rPr>
                <w:rFonts w:ascii="Arial" w:cs="Arial" w:eastAsia="Arial" w:hAnsi="Arial"/>
                <w:sz w:val="20"/>
                <w:szCs w:val="20"/>
                <w:color w:val="auto"/>
                <w:vertAlign w:val="superscript"/>
              </w:rPr>
              <w:t>(1)</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75,152</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75,055</w:t>
            </w: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70,021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-6.7%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-6.8%</w:t>
            </w: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333,334</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281,807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-15.5%</w:t>
            </w:r>
          </w:p>
        </w:tc>
      </w:tr>
      <w:tr>
        <w:trPr>
          <w:trHeight w:val="144"/>
        </w:trPr>
        <w:tc>
          <w:tcPr>
            <w:tcW w:w="408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Operating expenses</w:t>
            </w:r>
          </w:p>
        </w:tc>
        <w:tc>
          <w:tcPr>
            <w:tcW w:w="980" w:type="dxa"/>
            <w:vAlign w:val="bottom"/>
            <w:tcBorders>
              <w:bottom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2,182,630</w:t>
            </w:r>
          </w:p>
        </w:tc>
        <w:tc>
          <w:tcPr>
            <w:tcW w:w="900" w:type="dxa"/>
            <w:vAlign w:val="bottom"/>
            <w:tcBorders>
              <w:bottom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2,149,305</w:t>
            </w:r>
          </w:p>
        </w:tc>
        <w:tc>
          <w:tcPr>
            <w:tcW w:w="82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2,400,674</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color w:val="auto"/>
              </w:rPr>
              <w:t>11.7%</w:t>
            </w:r>
          </w:p>
        </w:tc>
        <w:tc>
          <w:tcPr>
            <w:tcW w:w="9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10.0%</w:t>
            </w:r>
          </w:p>
        </w:tc>
        <w:tc>
          <w:tcPr>
            <w:tcW w:w="1080" w:type="dxa"/>
            <w:vAlign w:val="bottom"/>
            <w:tcBorders>
              <w:bottom w:val="single" w:sz="8" w:color="auto"/>
            </w:tcBorders>
          </w:tcPr>
          <w:p>
            <w:pPr>
              <w:jc w:val="right"/>
              <w:ind w:right="133"/>
              <w:spacing w:after="0" w:line="144" w:lineRule="exact"/>
              <w:rPr>
                <w:sz w:val="20"/>
                <w:szCs w:val="20"/>
                <w:color w:val="auto"/>
              </w:rPr>
            </w:pPr>
            <w:r>
              <w:rPr>
                <w:rFonts w:ascii="Arial" w:cs="Arial" w:eastAsia="Arial" w:hAnsi="Arial"/>
                <w:sz w:val="13"/>
                <w:szCs w:val="13"/>
                <w:color w:val="auto"/>
              </w:rPr>
              <w:t>7,685,957</w:t>
            </w:r>
          </w:p>
        </w:tc>
        <w:tc>
          <w:tcPr>
            <w:tcW w:w="72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8,564,147</w:t>
            </w:r>
          </w:p>
        </w:tc>
        <w:tc>
          <w:tcPr>
            <w:tcW w:w="9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11.4%</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(1) The acquisition cost of Pacifico includes net fees and underwriting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analysis of expenses includes FY movements, which eliminates the effects of seasonality between quarters and YoY movements.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continue to rise due to:</w:t>
      </w:r>
    </w:p>
    <w:p>
      <w:pPr>
        <w:spacing w:after="0" w:line="182" w:lineRule="exact"/>
        <w:rPr>
          <w:sz w:val="20"/>
          <w:szCs w:val="20"/>
          <w:color w:val="auto"/>
        </w:rPr>
      </w:pPr>
    </w:p>
    <w:p>
      <w:pPr>
        <w:ind w:left="620" w:hanging="305"/>
        <w:spacing w:after="0" w:line="241"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Growth in Administrative and General Expenses and Taxes, which was attributable to an increase in IT expenses to m m ’s s y, software improvements, and an uptick in expenses for transactions and fidelity programs.</w:t>
      </w:r>
    </w:p>
    <w:p>
      <w:pPr>
        <w:ind w:left="620" w:hanging="305"/>
        <w:spacing w:after="0" w:line="244"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increase in Salaries and employee benefits; 40% of this expansion was attributable to both an uptick in variable compensation, in line with better yearly results, and to moves to hire personnel who specialize in disruptive projects and IT.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Administrative and general expenses and taxes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384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Administrative and general expenses</w:t>
            </w:r>
          </w:p>
        </w:tc>
        <w:tc>
          <w:tcPr>
            <w:tcW w:w="900" w:type="dxa"/>
            <w:vAlign w:val="bottom"/>
            <w:tcBorders>
              <w:top w:val="single" w:sz="8" w:color="auto"/>
            </w:tcBorders>
            <w:shd w:val="clear" w:color="auto" w:fill="2AD2C9"/>
          </w:tcPr>
          <w:p>
            <w:pPr>
              <w:spacing w:after="0"/>
              <w:rPr>
                <w:sz w:val="14"/>
                <w:szCs w:val="14"/>
                <w:color w:val="auto"/>
              </w:rPr>
            </w:pPr>
          </w:p>
        </w:tc>
        <w:tc>
          <w:tcPr>
            <w:tcW w:w="880" w:type="dxa"/>
            <w:vAlign w:val="bottom"/>
            <w:tcBorders>
              <w:top w:val="single" w:sz="8" w:color="auto"/>
            </w:tcBorders>
            <w:shd w:val="clear" w:color="auto" w:fill="2AD2C9"/>
          </w:tcPr>
          <w:p>
            <w:pPr>
              <w:ind w:left="200"/>
              <w:spacing w:after="0"/>
              <w:rPr>
                <w:sz w:val="20"/>
                <w:szCs w:val="20"/>
                <w:color w:val="auto"/>
              </w:rPr>
            </w:pPr>
            <w:r>
              <w:rPr>
                <w:rFonts w:ascii="Arial" w:cs="Arial" w:eastAsia="Arial" w:hAnsi="Arial"/>
                <w:sz w:val="13"/>
                <w:szCs w:val="13"/>
                <w:b w:val="1"/>
                <w:bCs w:val="1"/>
                <w:color w:val="FFFFFF"/>
              </w:rPr>
              <w:t>Quarter</w:t>
            </w:r>
          </w:p>
        </w:tc>
        <w:tc>
          <w:tcPr>
            <w:tcW w:w="940" w:type="dxa"/>
            <w:vAlign w:val="bottom"/>
            <w:tcBorders>
              <w:top w:val="single" w:sz="8" w:color="auto"/>
              <w:right w:val="single" w:sz="8" w:color="auto"/>
            </w:tcBorders>
            <w:shd w:val="clear" w:color="auto" w:fill="2AD2C9"/>
          </w:tcPr>
          <w:p>
            <w:pPr>
              <w:spacing w:after="0"/>
              <w:rPr>
                <w:sz w:val="14"/>
                <w:szCs w:val="14"/>
                <w:color w:val="auto"/>
              </w:rPr>
            </w:pPr>
          </w:p>
        </w:tc>
        <w:tc>
          <w:tcPr>
            <w:tcW w:w="1780" w:type="dxa"/>
            <w:vAlign w:val="bottom"/>
            <w:tcBorders>
              <w:top w:val="single" w:sz="8" w:color="auto"/>
              <w:right w:val="single" w:sz="8" w:color="auto"/>
            </w:tcBorders>
            <w:gridSpan w:val="2"/>
            <w:shd w:val="clear" w:color="auto" w:fill="2AD2C9"/>
          </w:tcPr>
          <w:p>
            <w:pPr>
              <w:ind w:left="560"/>
              <w:spacing w:after="0"/>
              <w:rPr>
                <w:sz w:val="20"/>
                <w:szCs w:val="20"/>
                <w:color w:val="auto"/>
              </w:rPr>
            </w:pPr>
            <w:r>
              <w:rPr>
                <w:rFonts w:ascii="Arial" w:cs="Arial" w:eastAsia="Arial" w:hAnsi="Arial"/>
                <w:sz w:val="13"/>
                <w:szCs w:val="13"/>
                <w:b w:val="1"/>
                <w:bCs w:val="1"/>
                <w:color w:val="FFFFFF"/>
              </w:rPr>
              <w:t>% Change</w:t>
            </w:r>
          </w:p>
        </w:tc>
        <w:tc>
          <w:tcPr>
            <w:tcW w:w="112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680" w:type="dxa"/>
            <w:vAlign w:val="bottom"/>
            <w:tcBorders>
              <w:top w:val="single" w:sz="8" w:color="auto"/>
              <w:right w:val="single" w:sz="8" w:color="auto"/>
            </w:tcBorders>
            <w:shd w:val="clear" w:color="auto" w:fill="2AD2C9"/>
          </w:tcPr>
          <w:p>
            <w:pPr>
              <w:spacing w:after="0"/>
              <w:rPr>
                <w:sz w:val="14"/>
                <w:szCs w:val="14"/>
                <w:color w:val="auto"/>
              </w:rPr>
            </w:pPr>
          </w:p>
        </w:tc>
        <w:tc>
          <w:tcPr>
            <w:tcW w:w="1120" w:type="dxa"/>
            <w:vAlign w:val="bottom"/>
            <w:tcBorders>
              <w:top w:val="single" w:sz="8" w:color="auto"/>
              <w:right w:val="single" w:sz="8" w:color="auto"/>
            </w:tcBorders>
            <w:shd w:val="clear" w:color="auto" w:fill="2AD2C9"/>
          </w:tcPr>
          <w:p>
            <w:pPr>
              <w:ind w:left="220"/>
              <w:spacing w:after="0"/>
              <w:rPr>
                <w:sz w:val="20"/>
                <w:szCs w:val="20"/>
                <w:color w:val="auto"/>
              </w:rPr>
            </w:pPr>
            <w:r>
              <w:rPr>
                <w:rFonts w:ascii="Arial" w:cs="Arial" w:eastAsia="Arial" w:hAnsi="Arial"/>
                <w:sz w:val="13"/>
                <w:szCs w:val="13"/>
                <w:b w:val="1"/>
                <w:bCs w:val="1"/>
                <w:color w:val="FFFFFF"/>
              </w:rPr>
              <w:t>% change</w:t>
            </w:r>
          </w:p>
        </w:tc>
      </w:tr>
      <w:tr>
        <w:trPr>
          <w:trHeight w:val="151"/>
        </w:trPr>
        <w:tc>
          <w:tcPr>
            <w:tcW w:w="384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000</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4Q21</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3Q22</w:t>
            </w:r>
          </w:p>
        </w:tc>
        <w:tc>
          <w:tcPr>
            <w:tcW w:w="9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4Q22</w:t>
            </w:r>
          </w:p>
        </w:tc>
        <w:tc>
          <w:tcPr>
            <w:tcW w:w="8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3"/>
                <w:szCs w:val="13"/>
                <w:b w:val="1"/>
                <w:bCs w:val="1"/>
                <w:color w:val="FFFFFF"/>
              </w:rPr>
              <w:t>QoQ</w:t>
            </w:r>
          </w:p>
        </w:tc>
        <w:tc>
          <w:tcPr>
            <w:tcW w:w="90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3"/>
                <w:szCs w:val="13"/>
                <w:b w:val="1"/>
                <w:bCs w:val="1"/>
                <w:color w:val="FFFFFF"/>
              </w:rPr>
              <w:t>YoY</w:t>
            </w:r>
          </w:p>
        </w:tc>
        <w:tc>
          <w:tcPr>
            <w:tcW w:w="1120" w:type="dxa"/>
            <w:vAlign w:val="bottom"/>
            <w:tcBorders>
              <w:bottom w:val="single" w:sz="8" w:color="auto"/>
            </w:tcBorders>
            <w:shd w:val="clear" w:color="auto" w:fill="2AD2C9"/>
          </w:tcPr>
          <w:p>
            <w:pPr>
              <w:jc w:val="right"/>
              <w:ind w:right="453"/>
              <w:spacing w:after="0"/>
              <w:rPr>
                <w:sz w:val="20"/>
                <w:szCs w:val="20"/>
                <w:color w:val="auto"/>
              </w:rPr>
            </w:pPr>
            <w:r>
              <w:rPr>
                <w:rFonts w:ascii="Arial" w:cs="Arial" w:eastAsia="Arial" w:hAnsi="Arial"/>
                <w:sz w:val="13"/>
                <w:szCs w:val="13"/>
                <w:b w:val="1"/>
                <w:bCs w:val="1"/>
                <w:color w:val="FFFFFF"/>
              </w:rPr>
              <w:t>2021</w:t>
            </w:r>
          </w:p>
        </w:tc>
        <w:tc>
          <w:tcPr>
            <w:tcW w:w="680" w:type="dxa"/>
            <w:vAlign w:val="bottom"/>
            <w:tcBorders>
              <w:bottom w:val="single" w:sz="8" w:color="auto"/>
              <w:right w:val="single" w:sz="8" w:color="auto"/>
            </w:tcBorders>
            <w:shd w:val="clear" w:color="auto" w:fill="2AD2C9"/>
          </w:tcPr>
          <w:p>
            <w:pPr>
              <w:jc w:val="right"/>
              <w:ind w:right="253"/>
              <w:spacing w:after="0"/>
              <w:rPr>
                <w:sz w:val="20"/>
                <w:szCs w:val="20"/>
                <w:color w:val="auto"/>
              </w:rPr>
            </w:pPr>
            <w:r>
              <w:rPr>
                <w:rFonts w:ascii="Arial" w:cs="Arial" w:eastAsia="Arial" w:hAnsi="Arial"/>
                <w:sz w:val="13"/>
                <w:szCs w:val="13"/>
                <w:b w:val="1"/>
                <w:bCs w:val="1"/>
                <w:color w:val="FFFFFF"/>
              </w:rPr>
              <w:t>2022</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36"/>
        </w:trPr>
        <w:tc>
          <w:tcPr>
            <w:tcW w:w="384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color w:val="auto"/>
              </w:rPr>
              <w:t>IT expenses and IT third-party services</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auto"/>
              </w:rPr>
              <w:t>240,939</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238,753</w:t>
            </w:r>
          </w:p>
        </w:tc>
        <w:tc>
          <w:tcPr>
            <w:tcW w:w="9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262,252</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9.8%</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8.8%</w:t>
            </w:r>
          </w:p>
        </w:tc>
        <w:tc>
          <w:tcPr>
            <w:tcW w:w="1120" w:type="dxa"/>
            <w:vAlign w:val="bottom"/>
          </w:tcPr>
          <w:p>
            <w:pPr>
              <w:jc w:val="right"/>
              <w:ind w:right="173"/>
              <w:spacing w:after="0" w:line="136" w:lineRule="exact"/>
              <w:rPr>
                <w:sz w:val="20"/>
                <w:szCs w:val="20"/>
                <w:color w:val="auto"/>
              </w:rPr>
            </w:pPr>
            <w:r>
              <w:rPr>
                <w:rFonts w:ascii="Arial" w:cs="Arial" w:eastAsia="Arial" w:hAnsi="Arial"/>
                <w:sz w:val="13"/>
                <w:szCs w:val="13"/>
                <w:color w:val="auto"/>
              </w:rPr>
              <w:t>741,429</w:t>
            </w:r>
          </w:p>
        </w:tc>
        <w:tc>
          <w:tcPr>
            <w:tcW w:w="68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938,014</w:t>
            </w:r>
          </w:p>
        </w:tc>
        <w:tc>
          <w:tcPr>
            <w:tcW w:w="11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26.5%</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Advertising and customer loyalty programs</w:t>
            </w:r>
          </w:p>
        </w:tc>
        <w:tc>
          <w:tcPr>
            <w:tcW w:w="900" w:type="dxa"/>
            <w:vAlign w:val="bottom"/>
          </w:tcPr>
          <w:p>
            <w:pPr>
              <w:jc w:val="center"/>
              <w:spacing w:after="0"/>
              <w:rPr>
                <w:sz w:val="20"/>
                <w:szCs w:val="20"/>
                <w:color w:val="auto"/>
              </w:rPr>
            </w:pPr>
            <w:r>
              <w:rPr>
                <w:rFonts w:ascii="Arial" w:cs="Arial" w:eastAsia="Arial" w:hAnsi="Arial"/>
                <w:sz w:val="13"/>
                <w:szCs w:val="13"/>
                <w:color w:val="auto"/>
              </w:rPr>
              <w:t>185,896</w:t>
            </w:r>
          </w:p>
        </w:tc>
        <w:tc>
          <w:tcPr>
            <w:tcW w:w="880" w:type="dxa"/>
            <w:vAlign w:val="bottom"/>
          </w:tcPr>
          <w:p>
            <w:pPr>
              <w:jc w:val="center"/>
              <w:spacing w:after="0"/>
              <w:rPr>
                <w:sz w:val="20"/>
                <w:szCs w:val="20"/>
                <w:color w:val="auto"/>
              </w:rPr>
            </w:pPr>
            <w:r>
              <w:rPr>
                <w:rFonts w:ascii="Arial" w:cs="Arial" w:eastAsia="Arial" w:hAnsi="Arial"/>
                <w:sz w:val="13"/>
                <w:szCs w:val="13"/>
                <w:color w:val="auto"/>
              </w:rPr>
              <w:t>173,728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212,920</w:t>
            </w:r>
          </w:p>
        </w:tc>
        <w:tc>
          <w:tcPr>
            <w:tcW w:w="880" w:type="dxa"/>
            <w:vAlign w:val="bottom"/>
          </w:tcPr>
          <w:p>
            <w:pPr>
              <w:jc w:val="center"/>
              <w:spacing w:after="0"/>
              <w:rPr>
                <w:sz w:val="20"/>
                <w:szCs w:val="20"/>
                <w:color w:val="auto"/>
              </w:rPr>
            </w:pPr>
            <w:r>
              <w:rPr>
                <w:rFonts w:ascii="Arial" w:cs="Arial" w:eastAsia="Arial" w:hAnsi="Arial"/>
                <w:sz w:val="13"/>
                <w:szCs w:val="13"/>
                <w:color w:val="auto"/>
              </w:rPr>
              <w:t>22.6%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14.5%</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486,885</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653,430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34.2%</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Taxes and contributions</w:t>
            </w:r>
          </w:p>
        </w:tc>
        <w:tc>
          <w:tcPr>
            <w:tcW w:w="900" w:type="dxa"/>
            <w:vAlign w:val="bottom"/>
          </w:tcPr>
          <w:p>
            <w:pPr>
              <w:jc w:val="center"/>
              <w:spacing w:after="0"/>
              <w:rPr>
                <w:sz w:val="20"/>
                <w:szCs w:val="20"/>
                <w:color w:val="auto"/>
              </w:rPr>
            </w:pPr>
            <w:r>
              <w:rPr>
                <w:rFonts w:ascii="Arial" w:cs="Arial" w:eastAsia="Arial" w:hAnsi="Arial"/>
                <w:sz w:val="13"/>
                <w:szCs w:val="13"/>
                <w:color w:val="auto"/>
              </w:rPr>
              <w:t>62,644</w:t>
            </w:r>
          </w:p>
        </w:tc>
        <w:tc>
          <w:tcPr>
            <w:tcW w:w="880" w:type="dxa"/>
            <w:vAlign w:val="bottom"/>
          </w:tcPr>
          <w:p>
            <w:pPr>
              <w:jc w:val="center"/>
              <w:spacing w:after="0"/>
              <w:rPr>
                <w:sz w:val="20"/>
                <w:szCs w:val="20"/>
                <w:color w:val="auto"/>
              </w:rPr>
            </w:pPr>
            <w:r>
              <w:rPr>
                <w:rFonts w:ascii="Arial" w:cs="Arial" w:eastAsia="Arial" w:hAnsi="Arial"/>
                <w:sz w:val="13"/>
                <w:szCs w:val="13"/>
                <w:color w:val="auto"/>
              </w:rPr>
              <w:t>51,963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100,950</w:t>
            </w:r>
          </w:p>
        </w:tc>
        <w:tc>
          <w:tcPr>
            <w:tcW w:w="880" w:type="dxa"/>
            <w:vAlign w:val="bottom"/>
          </w:tcPr>
          <w:p>
            <w:pPr>
              <w:jc w:val="center"/>
              <w:spacing w:after="0"/>
              <w:rPr>
                <w:sz w:val="20"/>
                <w:szCs w:val="20"/>
                <w:color w:val="auto"/>
              </w:rPr>
            </w:pPr>
            <w:r>
              <w:rPr>
                <w:rFonts w:ascii="Arial" w:cs="Arial" w:eastAsia="Arial" w:hAnsi="Arial"/>
                <w:sz w:val="13"/>
                <w:szCs w:val="13"/>
                <w:color w:val="auto"/>
              </w:rPr>
              <w:t>94.3%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61.1%</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289,484</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305,486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5.5%</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Audit Services, Consulting and professional fees</w:t>
            </w:r>
          </w:p>
        </w:tc>
        <w:tc>
          <w:tcPr>
            <w:tcW w:w="900" w:type="dxa"/>
            <w:vAlign w:val="bottom"/>
          </w:tcPr>
          <w:p>
            <w:pPr>
              <w:jc w:val="center"/>
              <w:spacing w:after="0"/>
              <w:rPr>
                <w:sz w:val="20"/>
                <w:szCs w:val="20"/>
                <w:color w:val="auto"/>
              </w:rPr>
            </w:pPr>
            <w:r>
              <w:rPr>
                <w:rFonts w:ascii="Arial" w:cs="Arial" w:eastAsia="Arial" w:hAnsi="Arial"/>
                <w:sz w:val="13"/>
                <w:szCs w:val="13"/>
                <w:color w:val="auto"/>
              </w:rPr>
              <w:t>96,684</w:t>
            </w:r>
          </w:p>
        </w:tc>
        <w:tc>
          <w:tcPr>
            <w:tcW w:w="880" w:type="dxa"/>
            <w:vAlign w:val="bottom"/>
          </w:tcPr>
          <w:p>
            <w:pPr>
              <w:jc w:val="center"/>
              <w:spacing w:after="0"/>
              <w:rPr>
                <w:sz w:val="20"/>
                <w:szCs w:val="20"/>
                <w:color w:val="auto"/>
              </w:rPr>
            </w:pPr>
            <w:r>
              <w:rPr>
                <w:rFonts w:ascii="Arial" w:cs="Arial" w:eastAsia="Arial" w:hAnsi="Arial"/>
                <w:sz w:val="13"/>
                <w:szCs w:val="13"/>
                <w:color w:val="auto"/>
              </w:rPr>
              <w:t>74,804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140,293</w:t>
            </w:r>
          </w:p>
        </w:tc>
        <w:tc>
          <w:tcPr>
            <w:tcW w:w="880" w:type="dxa"/>
            <w:vAlign w:val="bottom"/>
          </w:tcPr>
          <w:p>
            <w:pPr>
              <w:jc w:val="center"/>
              <w:spacing w:after="0"/>
              <w:rPr>
                <w:sz w:val="20"/>
                <w:szCs w:val="20"/>
                <w:color w:val="auto"/>
              </w:rPr>
            </w:pPr>
            <w:r>
              <w:rPr>
                <w:rFonts w:ascii="Arial" w:cs="Arial" w:eastAsia="Arial" w:hAnsi="Arial"/>
                <w:sz w:val="13"/>
                <w:szCs w:val="13"/>
                <w:color w:val="auto"/>
              </w:rPr>
              <w:t>87.5%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45.1%</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312,978</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338,269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8.1%</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Transport and communications</w:t>
            </w:r>
          </w:p>
        </w:tc>
        <w:tc>
          <w:tcPr>
            <w:tcW w:w="900" w:type="dxa"/>
            <w:vAlign w:val="bottom"/>
          </w:tcPr>
          <w:p>
            <w:pPr>
              <w:jc w:val="center"/>
              <w:spacing w:after="0"/>
              <w:rPr>
                <w:sz w:val="20"/>
                <w:szCs w:val="20"/>
                <w:color w:val="auto"/>
              </w:rPr>
            </w:pPr>
            <w:r>
              <w:rPr>
                <w:rFonts w:ascii="Arial" w:cs="Arial" w:eastAsia="Arial" w:hAnsi="Arial"/>
                <w:sz w:val="13"/>
                <w:szCs w:val="13"/>
                <w:color w:val="auto"/>
              </w:rPr>
              <w:t>66,209</w:t>
            </w:r>
          </w:p>
        </w:tc>
        <w:tc>
          <w:tcPr>
            <w:tcW w:w="880" w:type="dxa"/>
            <w:vAlign w:val="bottom"/>
          </w:tcPr>
          <w:p>
            <w:pPr>
              <w:jc w:val="center"/>
              <w:spacing w:after="0"/>
              <w:rPr>
                <w:sz w:val="20"/>
                <w:szCs w:val="20"/>
                <w:color w:val="auto"/>
              </w:rPr>
            </w:pPr>
            <w:r>
              <w:rPr>
                <w:rFonts w:ascii="Arial" w:cs="Arial" w:eastAsia="Arial" w:hAnsi="Arial"/>
                <w:sz w:val="13"/>
                <w:szCs w:val="13"/>
                <w:color w:val="auto"/>
              </w:rPr>
              <w:t>75,269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63,906</w:t>
            </w:r>
          </w:p>
        </w:tc>
        <w:tc>
          <w:tcPr>
            <w:tcW w:w="880" w:type="dxa"/>
            <w:vAlign w:val="bottom"/>
          </w:tcPr>
          <w:p>
            <w:pPr>
              <w:jc w:val="center"/>
              <w:spacing w:after="0"/>
              <w:rPr>
                <w:sz w:val="20"/>
                <w:szCs w:val="20"/>
                <w:color w:val="auto"/>
              </w:rPr>
            </w:pPr>
            <w:r>
              <w:rPr>
                <w:rFonts w:ascii="Arial" w:cs="Arial" w:eastAsia="Arial" w:hAnsi="Arial"/>
                <w:sz w:val="13"/>
                <w:szCs w:val="13"/>
                <w:color w:val="auto"/>
              </w:rPr>
              <w:t>-15.1%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208,244</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229,110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10.0%</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Repair and maintenance</w:t>
            </w:r>
          </w:p>
        </w:tc>
        <w:tc>
          <w:tcPr>
            <w:tcW w:w="900" w:type="dxa"/>
            <w:vAlign w:val="bottom"/>
          </w:tcPr>
          <w:p>
            <w:pPr>
              <w:jc w:val="center"/>
              <w:spacing w:after="0"/>
              <w:rPr>
                <w:sz w:val="20"/>
                <w:szCs w:val="20"/>
                <w:color w:val="auto"/>
              </w:rPr>
            </w:pPr>
            <w:r>
              <w:rPr>
                <w:rFonts w:ascii="Arial" w:cs="Arial" w:eastAsia="Arial" w:hAnsi="Arial"/>
                <w:sz w:val="13"/>
                <w:szCs w:val="13"/>
                <w:color w:val="auto"/>
              </w:rPr>
              <w:t>33,109</w:t>
            </w:r>
          </w:p>
        </w:tc>
        <w:tc>
          <w:tcPr>
            <w:tcW w:w="880" w:type="dxa"/>
            <w:vAlign w:val="bottom"/>
          </w:tcPr>
          <w:p>
            <w:pPr>
              <w:jc w:val="center"/>
              <w:spacing w:after="0"/>
              <w:rPr>
                <w:sz w:val="20"/>
                <w:szCs w:val="20"/>
                <w:color w:val="auto"/>
              </w:rPr>
            </w:pPr>
            <w:r>
              <w:rPr>
                <w:rFonts w:ascii="Arial" w:cs="Arial" w:eastAsia="Arial" w:hAnsi="Arial"/>
                <w:sz w:val="13"/>
                <w:szCs w:val="13"/>
                <w:color w:val="auto"/>
              </w:rPr>
              <w:t>21,955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45,220</w:t>
            </w:r>
          </w:p>
        </w:tc>
        <w:tc>
          <w:tcPr>
            <w:tcW w:w="880" w:type="dxa"/>
            <w:vAlign w:val="bottom"/>
          </w:tcPr>
          <w:p>
            <w:pPr>
              <w:jc w:val="center"/>
              <w:spacing w:after="0"/>
              <w:rPr>
                <w:sz w:val="20"/>
                <w:szCs w:val="20"/>
                <w:color w:val="auto"/>
              </w:rPr>
            </w:pPr>
            <w:r>
              <w:rPr>
                <w:rFonts w:ascii="Arial" w:cs="Arial" w:eastAsia="Arial" w:hAnsi="Arial"/>
                <w:sz w:val="13"/>
                <w:szCs w:val="13"/>
                <w:color w:val="auto"/>
              </w:rPr>
              <w:t>106.0%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36.6%</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123,232</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137,946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11.9%</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Agents' Fees</w:t>
            </w:r>
          </w:p>
        </w:tc>
        <w:tc>
          <w:tcPr>
            <w:tcW w:w="900" w:type="dxa"/>
            <w:vAlign w:val="bottom"/>
          </w:tcPr>
          <w:p>
            <w:pPr>
              <w:jc w:val="center"/>
              <w:spacing w:after="0"/>
              <w:rPr>
                <w:sz w:val="20"/>
                <w:szCs w:val="20"/>
                <w:color w:val="auto"/>
              </w:rPr>
            </w:pPr>
            <w:r>
              <w:rPr>
                <w:rFonts w:ascii="Arial" w:cs="Arial" w:eastAsia="Arial" w:hAnsi="Arial"/>
                <w:sz w:val="13"/>
                <w:szCs w:val="13"/>
                <w:color w:val="auto"/>
              </w:rPr>
              <w:t>27,960</w:t>
            </w:r>
          </w:p>
        </w:tc>
        <w:tc>
          <w:tcPr>
            <w:tcW w:w="880" w:type="dxa"/>
            <w:vAlign w:val="bottom"/>
          </w:tcPr>
          <w:p>
            <w:pPr>
              <w:jc w:val="center"/>
              <w:spacing w:after="0"/>
              <w:rPr>
                <w:sz w:val="20"/>
                <w:szCs w:val="20"/>
                <w:color w:val="auto"/>
              </w:rPr>
            </w:pPr>
            <w:r>
              <w:rPr>
                <w:rFonts w:ascii="Arial" w:cs="Arial" w:eastAsia="Arial" w:hAnsi="Arial"/>
                <w:sz w:val="13"/>
                <w:szCs w:val="13"/>
                <w:color w:val="auto"/>
              </w:rPr>
              <w:t>25,574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27,673</w:t>
            </w:r>
          </w:p>
        </w:tc>
        <w:tc>
          <w:tcPr>
            <w:tcW w:w="880" w:type="dxa"/>
            <w:vAlign w:val="bottom"/>
          </w:tcPr>
          <w:p>
            <w:pPr>
              <w:jc w:val="center"/>
              <w:spacing w:after="0"/>
              <w:rPr>
                <w:sz w:val="20"/>
                <w:szCs w:val="20"/>
                <w:color w:val="auto"/>
              </w:rPr>
            </w:pPr>
            <w:r>
              <w:rPr>
                <w:rFonts w:ascii="Arial" w:cs="Arial" w:eastAsia="Arial" w:hAnsi="Arial"/>
                <w:sz w:val="13"/>
                <w:szCs w:val="13"/>
                <w:color w:val="auto"/>
              </w:rPr>
              <w:t>8.2%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104,700</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106,356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Services by third-party</w:t>
            </w:r>
          </w:p>
        </w:tc>
        <w:tc>
          <w:tcPr>
            <w:tcW w:w="900" w:type="dxa"/>
            <w:vAlign w:val="bottom"/>
          </w:tcPr>
          <w:p>
            <w:pPr>
              <w:jc w:val="center"/>
              <w:spacing w:after="0"/>
              <w:rPr>
                <w:sz w:val="20"/>
                <w:szCs w:val="20"/>
                <w:color w:val="auto"/>
              </w:rPr>
            </w:pPr>
            <w:r>
              <w:rPr>
                <w:rFonts w:ascii="Arial" w:cs="Arial" w:eastAsia="Arial" w:hAnsi="Arial"/>
                <w:sz w:val="13"/>
                <w:szCs w:val="13"/>
                <w:color w:val="auto"/>
              </w:rPr>
              <w:t>28,917</w:t>
            </w:r>
          </w:p>
        </w:tc>
        <w:tc>
          <w:tcPr>
            <w:tcW w:w="880" w:type="dxa"/>
            <w:vAlign w:val="bottom"/>
          </w:tcPr>
          <w:p>
            <w:pPr>
              <w:jc w:val="center"/>
              <w:spacing w:after="0"/>
              <w:rPr>
                <w:sz w:val="20"/>
                <w:szCs w:val="20"/>
                <w:color w:val="auto"/>
              </w:rPr>
            </w:pPr>
            <w:r>
              <w:rPr>
                <w:rFonts w:ascii="Arial" w:cs="Arial" w:eastAsia="Arial" w:hAnsi="Arial"/>
                <w:sz w:val="13"/>
                <w:szCs w:val="13"/>
                <w:color w:val="auto"/>
              </w:rPr>
              <w:t>29,929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36,647</w:t>
            </w:r>
          </w:p>
        </w:tc>
        <w:tc>
          <w:tcPr>
            <w:tcW w:w="880" w:type="dxa"/>
            <w:vAlign w:val="bottom"/>
          </w:tcPr>
          <w:p>
            <w:pPr>
              <w:jc w:val="center"/>
              <w:spacing w:after="0"/>
              <w:rPr>
                <w:sz w:val="20"/>
                <w:szCs w:val="20"/>
                <w:color w:val="auto"/>
              </w:rPr>
            </w:pPr>
            <w:r>
              <w:rPr>
                <w:rFonts w:ascii="Arial" w:cs="Arial" w:eastAsia="Arial" w:hAnsi="Arial"/>
                <w:sz w:val="13"/>
                <w:szCs w:val="13"/>
                <w:color w:val="auto"/>
              </w:rPr>
              <w:t>22.4%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26.7%</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99,440</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118,778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19.4%</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Leases of low value and short-term</w:t>
            </w:r>
          </w:p>
        </w:tc>
        <w:tc>
          <w:tcPr>
            <w:tcW w:w="900" w:type="dxa"/>
            <w:vAlign w:val="bottom"/>
          </w:tcPr>
          <w:p>
            <w:pPr>
              <w:jc w:val="center"/>
              <w:spacing w:after="0"/>
              <w:rPr>
                <w:sz w:val="20"/>
                <w:szCs w:val="20"/>
                <w:color w:val="auto"/>
              </w:rPr>
            </w:pPr>
            <w:r>
              <w:rPr>
                <w:rFonts w:ascii="Arial" w:cs="Arial" w:eastAsia="Arial" w:hAnsi="Arial"/>
                <w:sz w:val="13"/>
                <w:szCs w:val="13"/>
                <w:color w:val="auto"/>
              </w:rPr>
              <w:t>23,805</w:t>
            </w:r>
          </w:p>
        </w:tc>
        <w:tc>
          <w:tcPr>
            <w:tcW w:w="880" w:type="dxa"/>
            <w:vAlign w:val="bottom"/>
          </w:tcPr>
          <w:p>
            <w:pPr>
              <w:jc w:val="center"/>
              <w:spacing w:after="0"/>
              <w:rPr>
                <w:sz w:val="20"/>
                <w:szCs w:val="20"/>
                <w:color w:val="auto"/>
              </w:rPr>
            </w:pPr>
            <w:r>
              <w:rPr>
                <w:rFonts w:ascii="Arial" w:cs="Arial" w:eastAsia="Arial" w:hAnsi="Arial"/>
                <w:sz w:val="13"/>
                <w:szCs w:val="13"/>
                <w:color w:val="auto"/>
              </w:rPr>
              <w:t>22,142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25,997</w:t>
            </w:r>
          </w:p>
        </w:tc>
        <w:tc>
          <w:tcPr>
            <w:tcW w:w="880" w:type="dxa"/>
            <w:vAlign w:val="bottom"/>
          </w:tcPr>
          <w:p>
            <w:pPr>
              <w:jc w:val="center"/>
              <w:spacing w:after="0"/>
              <w:rPr>
                <w:sz w:val="20"/>
                <w:szCs w:val="20"/>
                <w:color w:val="auto"/>
              </w:rPr>
            </w:pPr>
            <w:r>
              <w:rPr>
                <w:rFonts w:ascii="Arial" w:cs="Arial" w:eastAsia="Arial" w:hAnsi="Arial"/>
                <w:sz w:val="13"/>
                <w:szCs w:val="13"/>
                <w:color w:val="auto"/>
              </w:rPr>
              <w:t>17.4%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9.2%</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86,417</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91,680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6.1%</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Miscellaneous supplies</w:t>
            </w:r>
          </w:p>
        </w:tc>
        <w:tc>
          <w:tcPr>
            <w:tcW w:w="900" w:type="dxa"/>
            <w:vAlign w:val="bottom"/>
          </w:tcPr>
          <w:p>
            <w:pPr>
              <w:jc w:val="center"/>
              <w:spacing w:after="0"/>
              <w:rPr>
                <w:sz w:val="20"/>
                <w:szCs w:val="20"/>
                <w:color w:val="auto"/>
              </w:rPr>
            </w:pPr>
            <w:r>
              <w:rPr>
                <w:rFonts w:ascii="Arial" w:cs="Arial" w:eastAsia="Arial" w:hAnsi="Arial"/>
                <w:sz w:val="13"/>
                <w:szCs w:val="13"/>
                <w:color w:val="auto"/>
              </w:rPr>
              <w:t>15,035</w:t>
            </w:r>
          </w:p>
        </w:tc>
        <w:tc>
          <w:tcPr>
            <w:tcW w:w="880" w:type="dxa"/>
            <w:vAlign w:val="bottom"/>
          </w:tcPr>
          <w:p>
            <w:pPr>
              <w:jc w:val="center"/>
              <w:spacing w:after="0"/>
              <w:rPr>
                <w:sz w:val="20"/>
                <w:szCs w:val="20"/>
                <w:color w:val="auto"/>
              </w:rPr>
            </w:pPr>
            <w:r>
              <w:rPr>
                <w:rFonts w:ascii="Arial" w:cs="Arial" w:eastAsia="Arial" w:hAnsi="Arial"/>
                <w:sz w:val="13"/>
                <w:szCs w:val="13"/>
                <w:color w:val="auto"/>
              </w:rPr>
              <w:t>25,266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22,848</w:t>
            </w:r>
          </w:p>
        </w:tc>
        <w:tc>
          <w:tcPr>
            <w:tcW w:w="880" w:type="dxa"/>
            <w:vAlign w:val="bottom"/>
          </w:tcPr>
          <w:p>
            <w:pPr>
              <w:jc w:val="center"/>
              <w:spacing w:after="0"/>
              <w:rPr>
                <w:sz w:val="20"/>
                <w:szCs w:val="20"/>
                <w:color w:val="auto"/>
              </w:rPr>
            </w:pPr>
            <w:r>
              <w:rPr>
                <w:rFonts w:ascii="Arial" w:cs="Arial" w:eastAsia="Arial" w:hAnsi="Arial"/>
                <w:sz w:val="13"/>
                <w:szCs w:val="13"/>
                <w:color w:val="auto"/>
              </w:rPr>
              <w:t>-9.6%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52.0%</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57,093</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87,848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53.9%</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Security and protection</w:t>
            </w:r>
          </w:p>
        </w:tc>
        <w:tc>
          <w:tcPr>
            <w:tcW w:w="900" w:type="dxa"/>
            <w:vAlign w:val="bottom"/>
          </w:tcPr>
          <w:p>
            <w:pPr>
              <w:jc w:val="center"/>
              <w:spacing w:after="0"/>
              <w:rPr>
                <w:sz w:val="20"/>
                <w:szCs w:val="20"/>
                <w:color w:val="auto"/>
              </w:rPr>
            </w:pPr>
            <w:r>
              <w:rPr>
                <w:rFonts w:ascii="Arial" w:cs="Arial" w:eastAsia="Arial" w:hAnsi="Arial"/>
                <w:sz w:val="13"/>
                <w:szCs w:val="13"/>
                <w:color w:val="auto"/>
              </w:rPr>
              <w:t>16,381</w:t>
            </w:r>
          </w:p>
        </w:tc>
        <w:tc>
          <w:tcPr>
            <w:tcW w:w="880" w:type="dxa"/>
            <w:vAlign w:val="bottom"/>
          </w:tcPr>
          <w:p>
            <w:pPr>
              <w:jc w:val="center"/>
              <w:spacing w:after="0"/>
              <w:rPr>
                <w:sz w:val="20"/>
                <w:szCs w:val="20"/>
                <w:color w:val="auto"/>
              </w:rPr>
            </w:pPr>
            <w:r>
              <w:rPr>
                <w:rFonts w:ascii="Arial" w:cs="Arial" w:eastAsia="Arial" w:hAnsi="Arial"/>
                <w:sz w:val="13"/>
                <w:szCs w:val="13"/>
                <w:color w:val="auto"/>
              </w:rPr>
              <w:t>16,841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16,365</w:t>
            </w:r>
          </w:p>
        </w:tc>
        <w:tc>
          <w:tcPr>
            <w:tcW w:w="880" w:type="dxa"/>
            <w:vAlign w:val="bottom"/>
          </w:tcPr>
          <w:p>
            <w:pPr>
              <w:jc w:val="center"/>
              <w:spacing w:after="0"/>
              <w:rPr>
                <w:sz w:val="20"/>
                <w:szCs w:val="20"/>
                <w:color w:val="auto"/>
              </w:rPr>
            </w:pPr>
            <w:r>
              <w:rPr>
                <w:rFonts w:ascii="Arial" w:cs="Arial" w:eastAsia="Arial" w:hAnsi="Arial"/>
                <w:sz w:val="13"/>
                <w:szCs w:val="13"/>
                <w:color w:val="auto"/>
              </w:rPr>
              <w:t>-2.8%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-0.1%</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63,500</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64,480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Subscriptions and quotes</w:t>
            </w:r>
          </w:p>
        </w:tc>
        <w:tc>
          <w:tcPr>
            <w:tcW w:w="900" w:type="dxa"/>
            <w:vAlign w:val="bottom"/>
          </w:tcPr>
          <w:p>
            <w:pPr>
              <w:jc w:val="center"/>
              <w:spacing w:after="0"/>
              <w:rPr>
                <w:sz w:val="20"/>
                <w:szCs w:val="20"/>
                <w:color w:val="auto"/>
              </w:rPr>
            </w:pPr>
            <w:r>
              <w:rPr>
                <w:rFonts w:ascii="Arial" w:cs="Arial" w:eastAsia="Arial" w:hAnsi="Arial"/>
                <w:sz w:val="13"/>
                <w:szCs w:val="13"/>
                <w:color w:val="auto"/>
              </w:rPr>
              <w:t>14,883</w:t>
            </w:r>
          </w:p>
        </w:tc>
        <w:tc>
          <w:tcPr>
            <w:tcW w:w="880" w:type="dxa"/>
            <w:vAlign w:val="bottom"/>
          </w:tcPr>
          <w:p>
            <w:pPr>
              <w:jc w:val="center"/>
              <w:spacing w:after="0"/>
              <w:rPr>
                <w:sz w:val="20"/>
                <w:szCs w:val="20"/>
                <w:color w:val="auto"/>
              </w:rPr>
            </w:pPr>
            <w:r>
              <w:rPr>
                <w:rFonts w:ascii="Arial" w:cs="Arial" w:eastAsia="Arial" w:hAnsi="Arial"/>
                <w:sz w:val="13"/>
                <w:szCs w:val="13"/>
                <w:color w:val="auto"/>
              </w:rPr>
              <w:t>14,013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14,833</w:t>
            </w:r>
          </w:p>
        </w:tc>
        <w:tc>
          <w:tcPr>
            <w:tcW w:w="880" w:type="dxa"/>
            <w:vAlign w:val="bottom"/>
          </w:tcPr>
          <w:p>
            <w:pPr>
              <w:jc w:val="center"/>
              <w:spacing w:after="0"/>
              <w:rPr>
                <w:sz w:val="20"/>
                <w:szCs w:val="20"/>
                <w:color w:val="auto"/>
              </w:rPr>
            </w:pPr>
            <w:r>
              <w:rPr>
                <w:rFonts w:ascii="Arial" w:cs="Arial" w:eastAsia="Arial" w:hAnsi="Arial"/>
                <w:sz w:val="13"/>
                <w:szCs w:val="13"/>
                <w:color w:val="auto"/>
              </w:rPr>
              <w:t>5.9%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-0.3%</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55,331</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58,251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5.3%</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Electricity and water</w:t>
            </w:r>
          </w:p>
        </w:tc>
        <w:tc>
          <w:tcPr>
            <w:tcW w:w="900" w:type="dxa"/>
            <w:vAlign w:val="bottom"/>
          </w:tcPr>
          <w:p>
            <w:pPr>
              <w:jc w:val="center"/>
              <w:spacing w:after="0"/>
              <w:rPr>
                <w:sz w:val="20"/>
                <w:szCs w:val="20"/>
                <w:color w:val="auto"/>
              </w:rPr>
            </w:pPr>
            <w:r>
              <w:rPr>
                <w:rFonts w:ascii="Arial" w:cs="Arial" w:eastAsia="Arial" w:hAnsi="Arial"/>
                <w:sz w:val="13"/>
                <w:szCs w:val="13"/>
                <w:color w:val="auto"/>
              </w:rPr>
              <w:t>14,384</w:t>
            </w:r>
          </w:p>
        </w:tc>
        <w:tc>
          <w:tcPr>
            <w:tcW w:w="880" w:type="dxa"/>
            <w:vAlign w:val="bottom"/>
          </w:tcPr>
          <w:p>
            <w:pPr>
              <w:jc w:val="center"/>
              <w:spacing w:after="0"/>
              <w:rPr>
                <w:sz w:val="20"/>
                <w:szCs w:val="20"/>
                <w:color w:val="auto"/>
              </w:rPr>
            </w:pPr>
            <w:r>
              <w:rPr>
                <w:rFonts w:ascii="Arial" w:cs="Arial" w:eastAsia="Arial" w:hAnsi="Arial"/>
                <w:sz w:val="13"/>
                <w:szCs w:val="13"/>
                <w:color w:val="auto"/>
              </w:rPr>
              <w:t>11,867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15,006</w:t>
            </w:r>
          </w:p>
        </w:tc>
        <w:tc>
          <w:tcPr>
            <w:tcW w:w="880" w:type="dxa"/>
            <w:vAlign w:val="bottom"/>
          </w:tcPr>
          <w:p>
            <w:pPr>
              <w:jc w:val="center"/>
              <w:spacing w:after="0"/>
              <w:rPr>
                <w:sz w:val="20"/>
                <w:szCs w:val="20"/>
                <w:color w:val="auto"/>
              </w:rPr>
            </w:pPr>
            <w:r>
              <w:rPr>
                <w:rFonts w:ascii="Arial" w:cs="Arial" w:eastAsia="Arial" w:hAnsi="Arial"/>
                <w:sz w:val="13"/>
                <w:szCs w:val="13"/>
                <w:color w:val="auto"/>
              </w:rPr>
              <w:t>26.5%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4.3%</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48,886</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51,117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4.6%</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Electronic processing</w:t>
            </w:r>
          </w:p>
        </w:tc>
        <w:tc>
          <w:tcPr>
            <w:tcW w:w="900" w:type="dxa"/>
            <w:vAlign w:val="bottom"/>
          </w:tcPr>
          <w:p>
            <w:pPr>
              <w:jc w:val="center"/>
              <w:spacing w:after="0"/>
              <w:rPr>
                <w:sz w:val="20"/>
                <w:szCs w:val="20"/>
                <w:color w:val="auto"/>
              </w:rPr>
            </w:pPr>
            <w:r>
              <w:rPr>
                <w:rFonts w:ascii="Arial" w:cs="Arial" w:eastAsia="Arial" w:hAnsi="Arial"/>
                <w:sz w:val="13"/>
                <w:szCs w:val="13"/>
                <w:color w:val="auto"/>
              </w:rPr>
              <w:t>7,574</w:t>
            </w:r>
          </w:p>
        </w:tc>
        <w:tc>
          <w:tcPr>
            <w:tcW w:w="880" w:type="dxa"/>
            <w:vAlign w:val="bottom"/>
          </w:tcPr>
          <w:p>
            <w:pPr>
              <w:jc w:val="center"/>
              <w:spacing w:after="0"/>
              <w:rPr>
                <w:sz w:val="20"/>
                <w:szCs w:val="20"/>
                <w:color w:val="auto"/>
              </w:rPr>
            </w:pPr>
            <w:r>
              <w:rPr>
                <w:rFonts w:ascii="Arial" w:cs="Arial" w:eastAsia="Arial" w:hAnsi="Arial"/>
                <w:sz w:val="13"/>
                <w:szCs w:val="13"/>
                <w:color w:val="auto"/>
              </w:rPr>
              <w:t>7,770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12,225</w:t>
            </w:r>
          </w:p>
        </w:tc>
        <w:tc>
          <w:tcPr>
            <w:tcW w:w="880" w:type="dxa"/>
            <w:vAlign w:val="bottom"/>
          </w:tcPr>
          <w:p>
            <w:pPr>
              <w:jc w:val="center"/>
              <w:spacing w:after="0"/>
              <w:rPr>
                <w:sz w:val="20"/>
                <w:szCs w:val="20"/>
                <w:color w:val="auto"/>
              </w:rPr>
            </w:pPr>
            <w:r>
              <w:rPr>
                <w:rFonts w:ascii="Arial" w:cs="Arial" w:eastAsia="Arial" w:hAnsi="Arial"/>
                <w:sz w:val="13"/>
                <w:szCs w:val="13"/>
                <w:color w:val="auto"/>
              </w:rPr>
              <w:t>57.3%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61.4%</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39,528</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35,896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-9.2%</w:t>
            </w:r>
          </w:p>
        </w:tc>
      </w:tr>
      <w:tr>
        <w:trPr>
          <w:trHeight w:val="151"/>
        </w:trPr>
        <w:tc>
          <w:tcPr>
            <w:tcW w:w="3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Insurance</w:t>
            </w:r>
          </w:p>
        </w:tc>
        <w:tc>
          <w:tcPr>
            <w:tcW w:w="900" w:type="dxa"/>
            <w:vAlign w:val="bottom"/>
          </w:tcPr>
          <w:p>
            <w:pPr>
              <w:jc w:val="center"/>
              <w:spacing w:after="0"/>
              <w:rPr>
                <w:sz w:val="20"/>
                <w:szCs w:val="20"/>
                <w:color w:val="auto"/>
              </w:rPr>
            </w:pPr>
            <w:r>
              <w:rPr>
                <w:rFonts w:ascii="Arial" w:cs="Arial" w:eastAsia="Arial" w:hAnsi="Arial"/>
                <w:sz w:val="13"/>
                <w:szCs w:val="13"/>
                <w:color w:val="auto"/>
              </w:rPr>
              <w:t>13,344</w:t>
            </w:r>
          </w:p>
        </w:tc>
        <w:tc>
          <w:tcPr>
            <w:tcW w:w="880" w:type="dxa"/>
            <w:vAlign w:val="bottom"/>
          </w:tcPr>
          <w:p>
            <w:pPr>
              <w:jc w:val="center"/>
              <w:spacing w:after="0"/>
              <w:rPr>
                <w:sz w:val="20"/>
                <w:szCs w:val="20"/>
                <w:color w:val="auto"/>
              </w:rPr>
            </w:pPr>
            <w:r>
              <w:rPr>
                <w:rFonts w:ascii="Arial" w:cs="Arial" w:eastAsia="Arial" w:hAnsi="Arial"/>
                <w:sz w:val="13"/>
                <w:szCs w:val="13"/>
                <w:color w:val="auto"/>
              </w:rPr>
              <w:t>40,561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8,629</w:t>
            </w:r>
          </w:p>
        </w:tc>
        <w:tc>
          <w:tcPr>
            <w:tcW w:w="880" w:type="dxa"/>
            <w:vAlign w:val="bottom"/>
          </w:tcPr>
          <w:p>
            <w:pPr>
              <w:jc w:val="center"/>
              <w:spacing w:after="0"/>
              <w:rPr>
                <w:sz w:val="20"/>
                <w:szCs w:val="20"/>
                <w:color w:val="auto"/>
              </w:rPr>
            </w:pPr>
            <w:r>
              <w:rPr>
                <w:rFonts w:ascii="Arial" w:cs="Arial" w:eastAsia="Arial" w:hAnsi="Arial"/>
                <w:sz w:val="13"/>
                <w:szCs w:val="13"/>
                <w:color w:val="auto"/>
              </w:rPr>
              <w:t>-78.7%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-35.3%</w:t>
            </w:r>
          </w:p>
        </w:tc>
        <w:tc>
          <w:tcPr>
            <w:tcW w:w="1120" w:type="dxa"/>
            <w:vAlign w:val="bottom"/>
          </w:tcPr>
          <w:p>
            <w:pPr>
              <w:jc w:val="right"/>
              <w:ind w:right="173"/>
              <w:spacing w:after="0"/>
              <w:rPr>
                <w:sz w:val="20"/>
                <w:szCs w:val="20"/>
                <w:color w:val="auto"/>
              </w:rPr>
            </w:pPr>
            <w:r>
              <w:rPr>
                <w:rFonts w:ascii="Arial" w:cs="Arial" w:eastAsia="Arial" w:hAnsi="Arial"/>
                <w:sz w:val="13"/>
                <w:szCs w:val="13"/>
                <w:color w:val="auto"/>
              </w:rPr>
              <w:t>62,142</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62,994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w:t>
            </w:r>
          </w:p>
        </w:tc>
      </w:tr>
      <w:tr>
        <w:trPr>
          <w:trHeight w:val="135"/>
        </w:trPr>
        <w:tc>
          <w:tcPr>
            <w:tcW w:w="384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color w:val="auto"/>
              </w:rPr>
              <w:t>Cleaning</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auto"/>
              </w:rPr>
              <w:t>4,987</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5,358</w:t>
            </w:r>
          </w:p>
        </w:tc>
        <w:tc>
          <w:tcPr>
            <w:tcW w:w="9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5,368</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0.2%</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7.6%</w:t>
            </w:r>
          </w:p>
        </w:tc>
        <w:tc>
          <w:tcPr>
            <w:tcW w:w="1120" w:type="dxa"/>
            <w:vAlign w:val="bottom"/>
          </w:tcPr>
          <w:p>
            <w:pPr>
              <w:jc w:val="right"/>
              <w:ind w:right="173"/>
              <w:spacing w:after="0" w:line="136" w:lineRule="exact"/>
              <w:rPr>
                <w:sz w:val="20"/>
                <w:szCs w:val="20"/>
                <w:color w:val="auto"/>
              </w:rPr>
            </w:pPr>
            <w:r>
              <w:rPr>
                <w:rFonts w:ascii="Arial" w:cs="Arial" w:eastAsia="Arial" w:hAnsi="Arial"/>
                <w:sz w:val="13"/>
                <w:szCs w:val="13"/>
                <w:color w:val="auto"/>
              </w:rPr>
              <w:t>20,105</w:t>
            </w:r>
          </w:p>
        </w:tc>
        <w:tc>
          <w:tcPr>
            <w:tcW w:w="68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20,435</w:t>
            </w:r>
          </w:p>
        </w:tc>
        <w:tc>
          <w:tcPr>
            <w:tcW w:w="11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1.6%</w:t>
            </w:r>
          </w:p>
        </w:tc>
      </w:tr>
      <w:tr>
        <w:trPr>
          <w:trHeight w:val="174"/>
        </w:trPr>
        <w:tc>
          <w:tcPr>
            <w:tcW w:w="384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2"/>
                <w:szCs w:val="12"/>
                <w:color w:val="auto"/>
              </w:rPr>
              <w:t xml:space="preserve">Others </w:t>
            </w:r>
            <w:r>
              <w:rPr>
                <w:rFonts w:ascii="Arial" w:cs="Arial" w:eastAsia="Arial" w:hAnsi="Arial"/>
                <w:sz w:val="20"/>
                <w:szCs w:val="20"/>
                <w:color w:val="auto"/>
                <w:vertAlign w:val="superscript"/>
              </w:rPr>
              <w:t>(1)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45,926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33,012</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52,479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59.0%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14.3%</w:t>
            </w:r>
          </w:p>
        </w:tc>
        <w:tc>
          <w:tcPr>
            <w:tcW w:w="11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154,323</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205,011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32.8%</w:t>
            </w:r>
          </w:p>
        </w:tc>
      </w:tr>
      <w:tr>
        <w:trPr>
          <w:trHeight w:val="144"/>
        </w:trPr>
        <w:tc>
          <w:tcPr>
            <w:tcW w:w="384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Total</w:t>
            </w:r>
          </w:p>
        </w:tc>
        <w:tc>
          <w:tcPr>
            <w:tcW w:w="90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898,677</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868,805</w:t>
            </w:r>
          </w:p>
        </w:tc>
        <w:tc>
          <w:tcPr>
            <w:tcW w:w="94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1,063,611</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22.4%</w:t>
            </w:r>
          </w:p>
        </w:tc>
        <w:tc>
          <w:tcPr>
            <w:tcW w:w="9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18.4%</w:t>
            </w:r>
          </w:p>
        </w:tc>
        <w:tc>
          <w:tcPr>
            <w:tcW w:w="1120" w:type="dxa"/>
            <w:vAlign w:val="bottom"/>
            <w:tcBorders>
              <w:bottom w:val="single" w:sz="8" w:color="auto"/>
            </w:tcBorders>
          </w:tcPr>
          <w:p>
            <w:pPr>
              <w:jc w:val="right"/>
              <w:ind w:right="173"/>
              <w:spacing w:after="0" w:line="144" w:lineRule="exact"/>
              <w:rPr>
                <w:sz w:val="20"/>
                <w:szCs w:val="20"/>
                <w:color w:val="auto"/>
              </w:rPr>
            </w:pPr>
            <w:r>
              <w:rPr>
                <w:rFonts w:ascii="Arial" w:cs="Arial" w:eastAsia="Arial" w:hAnsi="Arial"/>
                <w:sz w:val="13"/>
                <w:szCs w:val="13"/>
                <w:b w:val="1"/>
                <w:bCs w:val="1"/>
                <w:color w:val="auto"/>
              </w:rPr>
              <w:t>2,953,717</w:t>
            </w:r>
          </w:p>
        </w:tc>
        <w:tc>
          <w:tcPr>
            <w:tcW w:w="68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3,505,101</w:t>
            </w:r>
          </w:p>
        </w:tc>
        <w:tc>
          <w:tcPr>
            <w:tcW w:w="11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18.7%</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auto"/>
        </w:rPr>
        <w:t>(1) Others consists mainly of security and protection services, cleaning service, representation expenses, electricity and water utilities, insurance policy expenses, subscription expenses and commission expenses.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and general expenses and Taxes rose YoY and FY due to:</w:t>
      </w:r>
    </w:p>
    <w:p>
      <w:pPr>
        <w:spacing w:after="0" w:line="182" w:lineRule="exact"/>
        <w:rPr>
          <w:sz w:val="20"/>
          <w:szCs w:val="20"/>
          <w:color w:val="auto"/>
        </w:rPr>
      </w:pPr>
    </w:p>
    <w:p>
      <w:pPr>
        <w:ind w:left="600" w:hanging="297"/>
        <w:spacing w:after="0" w:line="263"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Growth in IT and outsourcing of systems, which was attributable to an uptick in transactions, cybersecurity projects, upgrades of infrastructure, development of new applications, license renewals, and software improvements,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8" w:name="page39"/>
    <w:bookmarkEnd w:id="38"/>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328295</wp:posOffset>
            </wp:positionV>
            <wp:extent cx="7141845" cy="535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40" w:hanging="339"/>
        <w:spacing w:after="0"/>
        <w:tabs>
          <w:tab w:leader="none" w:pos="340" w:val="left"/>
        </w:tabs>
        <w:numPr>
          <w:ilvl w:val="0"/>
          <w:numId w:val="37"/>
        </w:numPr>
        <w:rPr>
          <w:rFonts w:ascii="Arial" w:cs="Arial" w:eastAsia="Arial" w:hAnsi="Arial"/>
          <w:sz w:val="20"/>
          <w:szCs w:val="20"/>
          <w:b w:val="1"/>
          <w:bCs w:val="1"/>
          <w:color w:val="FFFFFF"/>
        </w:rPr>
      </w:pPr>
      <w:r>
        <w:rPr>
          <w:rFonts w:ascii="Arial" w:cs="Arial" w:eastAsia="Arial" w:hAnsi="Arial"/>
          <w:sz w:val="20"/>
          <w:szCs w:val="20"/>
          <w:b w:val="1"/>
          <w:bCs w:val="1"/>
          <w:color w:val="FFFFFF"/>
        </w:rPr>
        <w:t>Operating Expenses</w:t>
      </w:r>
    </w:p>
    <w:p>
      <w:pPr>
        <w:spacing w:after="0" w:line="383" w:lineRule="exact"/>
        <w:rPr>
          <w:rFonts w:ascii="Arial" w:cs="Arial" w:eastAsia="Arial" w:hAnsi="Arial"/>
          <w:sz w:val="20"/>
          <w:szCs w:val="20"/>
          <w:b w:val="1"/>
          <w:bCs w:val="1"/>
          <w:color w:val="FFFFFF"/>
        </w:rPr>
      </w:pPr>
    </w:p>
    <w:p>
      <w:pPr>
        <w:jc w:val="both"/>
        <w:ind w:left="600" w:hanging="297"/>
        <w:spacing w:after="0" w:line="236" w:lineRule="auto"/>
        <w:tabs>
          <w:tab w:leader="none" w:pos="6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Increase in expenses under the Client Fidelity Program, which was driven by a rebound in consumption of LATAM miles after credit and debit card use at establishments rose; The bank registered an uptick of 33% in card use at establishments this year. The increase registered in Advertising expenses was mainly driven by disruptive initiatives. If we exclude expenses related to Tenpo, one of our disruptive initiatives in Chile, the Advertising and fidelity program expense registers a 9.4% increase FY.</w:t>
      </w:r>
    </w:p>
    <w:p>
      <w:pPr>
        <w:spacing w:after="0" w:line="1" w:lineRule="exact"/>
        <w:rPr>
          <w:rFonts w:ascii="Arial" w:cs="Arial" w:eastAsia="Arial" w:hAnsi="Arial"/>
          <w:sz w:val="17"/>
          <w:szCs w:val="17"/>
          <w:color w:val="auto"/>
        </w:rPr>
      </w:pPr>
    </w:p>
    <w:p>
      <w:pPr>
        <w:ind w:left="600" w:hanging="297"/>
        <w:spacing w:after="0" w:line="244" w:lineRule="auto"/>
        <w:tabs>
          <w:tab w:leader="none" w:pos="6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Growth in Other expenses, which corresponds to provisions set aside for disruptive projects related to Yape and our Corporate Venture Capital, Krealo.</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9" w:name="page40"/>
    <w:bookmarkEnd w:id="39"/>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9"/>
          <w:szCs w:val="49"/>
          <w:b w:val="1"/>
          <w:bCs w:val="1"/>
          <w:color w:val="E93CAC"/>
        </w:rPr>
        <w:t xml:space="preserve">09  </w:t>
      </w:r>
      <w:r>
        <w:rPr>
          <w:rFonts w:ascii="Arial" w:cs="Arial" w:eastAsia="Arial" w:hAnsi="Arial"/>
          <w:sz w:val="30"/>
          <w:szCs w:val="30"/>
          <w:color w:val="E93C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141845" cy="5994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1845" cy="599440"/>
                    </a:xfrm>
                    <a:prstGeom prst="rect">
                      <a:avLst/>
                    </a:prstGeom>
                    <a:noFill/>
                  </pic:spPr>
                </pic:pic>
              </a:graphicData>
            </a:graphic>
          </wp:anchor>
        </w:drawing>
      </w:r>
    </w:p>
    <w:p>
      <w:pPr>
        <w:spacing w:after="0" w:line="381" w:lineRule="exact"/>
        <w:rPr>
          <w:sz w:val="20"/>
          <w:szCs w:val="20"/>
          <w:color w:val="auto"/>
        </w:rPr>
      </w:pPr>
    </w:p>
    <w:p>
      <w:pPr>
        <w:jc w:val="both"/>
        <w:ind w:left="180" w:right="180"/>
        <w:spacing w:after="0" w:line="247" w:lineRule="auto"/>
        <w:rPr>
          <w:sz w:val="20"/>
          <w:szCs w:val="20"/>
          <w:color w:val="auto"/>
        </w:rPr>
      </w:pPr>
      <w:r>
        <w:rPr>
          <w:rFonts w:ascii="Arial" w:cs="Arial" w:eastAsia="Arial" w:hAnsi="Arial"/>
          <w:sz w:val="17"/>
          <w:szCs w:val="17"/>
          <w:color w:val="FFFFFF"/>
        </w:rPr>
        <w:t>The efficiency ratio improved FY by 150bps. This reflects growth in core income, which was driven by an increase in net interest income in a context marked by rising rates and an uptick in the loan volume. If we exclude disruption expenses from our calculation, the efficiency ratio stands at 41.6%, which represents an improvement of 263 bps with regard to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141845" cy="6229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1845" cy="62293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Borders>
              <w:top w:val="single" w:sz="8" w:color="auto"/>
            </w:tcBorders>
            <w:shd w:val="clear" w:color="auto" w:fill="29D2C9"/>
          </w:tcPr>
          <w:p>
            <w:pPr>
              <w:ind w:left="40"/>
              <w:spacing w:after="0" w:line="185" w:lineRule="exact"/>
              <w:rPr>
                <w:sz w:val="20"/>
                <w:szCs w:val="20"/>
                <w:color w:val="auto"/>
              </w:rPr>
            </w:pPr>
            <w:r>
              <w:rPr>
                <w:rFonts w:ascii="Arial" w:cs="Arial" w:eastAsia="Arial" w:hAnsi="Arial"/>
                <w:sz w:val="17"/>
                <w:szCs w:val="17"/>
                <w:b w:val="1"/>
                <w:bCs w:val="1"/>
                <w:color w:val="FFFFFF"/>
              </w:rPr>
              <w:t>Operating Efficiency</w:t>
            </w:r>
          </w:p>
        </w:tc>
        <w:tc>
          <w:tcPr>
            <w:tcW w:w="1240" w:type="dxa"/>
            <w:vAlign w:val="bottom"/>
            <w:tcBorders>
              <w:top w:val="single" w:sz="8" w:color="auto"/>
            </w:tcBorders>
            <w:shd w:val="clear" w:color="auto" w:fill="29D2C9"/>
          </w:tcPr>
          <w:p>
            <w:pPr>
              <w:spacing w:after="0"/>
              <w:rPr>
                <w:sz w:val="16"/>
                <w:szCs w:val="16"/>
                <w:color w:val="auto"/>
              </w:rPr>
            </w:pPr>
          </w:p>
        </w:tc>
        <w:tc>
          <w:tcPr>
            <w:tcW w:w="1160" w:type="dxa"/>
            <w:vAlign w:val="bottom"/>
            <w:tcBorders>
              <w:top w:val="single" w:sz="8" w:color="auto"/>
            </w:tcBorders>
            <w:shd w:val="clear" w:color="auto" w:fill="29D2C9"/>
          </w:tcPr>
          <w:p>
            <w:pPr>
              <w:jc w:val="right"/>
              <w:ind w:right="316"/>
              <w:spacing w:after="0" w:line="185" w:lineRule="exact"/>
              <w:rPr>
                <w:sz w:val="20"/>
                <w:szCs w:val="20"/>
                <w:color w:val="auto"/>
              </w:rPr>
            </w:pPr>
            <w:r>
              <w:rPr>
                <w:rFonts w:ascii="Arial" w:cs="Arial" w:eastAsia="Arial" w:hAnsi="Arial"/>
                <w:sz w:val="17"/>
                <w:szCs w:val="17"/>
                <w:b w:val="1"/>
                <w:bCs w:val="1"/>
                <w:color w:val="FFFFFF"/>
              </w:rPr>
              <w:t>Quarter</w:t>
            </w:r>
          </w:p>
        </w:tc>
        <w:tc>
          <w:tcPr>
            <w:tcW w:w="1100" w:type="dxa"/>
            <w:vAlign w:val="bottom"/>
            <w:tcBorders>
              <w:top w:val="single" w:sz="8" w:color="auto"/>
            </w:tcBorders>
            <w:shd w:val="clear" w:color="auto" w:fill="29D2C9"/>
          </w:tcPr>
          <w:p>
            <w:pPr>
              <w:spacing w:after="0"/>
              <w:rPr>
                <w:sz w:val="16"/>
                <w:szCs w:val="16"/>
                <w:color w:val="auto"/>
              </w:rPr>
            </w:pPr>
          </w:p>
        </w:tc>
        <w:tc>
          <w:tcPr>
            <w:tcW w:w="2100" w:type="dxa"/>
            <w:vAlign w:val="bottom"/>
            <w:tcBorders>
              <w:top w:val="single" w:sz="8" w:color="auto"/>
            </w:tcBorders>
            <w:gridSpan w:val="2"/>
            <w:shd w:val="clear" w:color="auto" w:fill="29D2C9"/>
          </w:tcPr>
          <w:p>
            <w:pPr>
              <w:ind w:left="620"/>
              <w:spacing w:after="0" w:line="185" w:lineRule="exact"/>
              <w:rPr>
                <w:sz w:val="20"/>
                <w:szCs w:val="20"/>
                <w:color w:val="auto"/>
              </w:rPr>
            </w:pPr>
            <w:r>
              <w:rPr>
                <w:rFonts w:ascii="Arial" w:cs="Arial" w:eastAsia="Arial" w:hAnsi="Arial"/>
                <w:sz w:val="17"/>
                <w:szCs w:val="17"/>
                <w:b w:val="1"/>
                <w:bCs w:val="1"/>
                <w:color w:val="FFFFFF"/>
              </w:rPr>
              <w:t>% change</w:t>
            </w:r>
          </w:p>
        </w:tc>
        <w:tc>
          <w:tcPr>
            <w:tcW w:w="2300" w:type="dxa"/>
            <w:vAlign w:val="bottom"/>
            <w:tcBorders>
              <w:top w:val="single" w:sz="8" w:color="auto"/>
            </w:tcBorders>
            <w:gridSpan w:val="2"/>
            <w:shd w:val="clear" w:color="auto" w:fill="29D2C9"/>
          </w:tcPr>
          <w:p>
            <w:pPr>
              <w:jc w:val="right"/>
              <w:ind w:right="856"/>
              <w:spacing w:after="0" w:line="185" w:lineRule="exact"/>
              <w:rPr>
                <w:sz w:val="20"/>
                <w:szCs w:val="20"/>
                <w:color w:val="auto"/>
              </w:rPr>
            </w:pPr>
            <w:r>
              <w:rPr>
                <w:rFonts w:ascii="Arial" w:cs="Arial" w:eastAsia="Arial" w:hAnsi="Arial"/>
                <w:sz w:val="17"/>
                <w:szCs w:val="17"/>
                <w:b w:val="1"/>
                <w:bCs w:val="1"/>
                <w:color w:val="FFFFFF"/>
              </w:rPr>
              <w:t>As of</w:t>
            </w:r>
          </w:p>
        </w:tc>
        <w:tc>
          <w:tcPr>
            <w:tcW w:w="1080" w:type="dxa"/>
            <w:vAlign w:val="bottom"/>
            <w:tcBorders>
              <w:top w:val="single" w:sz="8" w:color="auto"/>
            </w:tcBorders>
            <w:shd w:val="clear" w:color="auto" w:fill="29D2C9"/>
          </w:tcPr>
          <w:p>
            <w:pPr>
              <w:jc w:val="center"/>
              <w:spacing w:after="0" w:line="185" w:lineRule="exact"/>
              <w:rPr>
                <w:sz w:val="20"/>
                <w:szCs w:val="20"/>
                <w:color w:val="auto"/>
              </w:rPr>
            </w:pPr>
            <w:r>
              <w:rPr>
                <w:rFonts w:ascii="Arial" w:cs="Arial" w:eastAsia="Arial" w:hAnsi="Arial"/>
                <w:sz w:val="17"/>
                <w:szCs w:val="17"/>
                <w:b w:val="1"/>
                <w:bCs w:val="1"/>
                <w:color w:val="FFFFFF"/>
              </w:rPr>
              <w:t>% change</w:t>
            </w:r>
          </w:p>
        </w:tc>
      </w:tr>
      <w:tr>
        <w:trPr>
          <w:trHeight w:val="206"/>
        </w:trPr>
        <w:tc>
          <w:tcPr>
            <w:tcW w:w="2260" w:type="dxa"/>
            <w:vAlign w:val="bottom"/>
            <w:tcBorders>
              <w:bottom w:val="single" w:sz="8" w:color="auto"/>
            </w:tcBorders>
            <w:shd w:val="clear" w:color="auto" w:fill="29D2C9"/>
          </w:tcPr>
          <w:p>
            <w:pPr>
              <w:ind w:left="40"/>
              <w:spacing w:after="0"/>
              <w:rPr>
                <w:sz w:val="20"/>
                <w:szCs w:val="20"/>
                <w:color w:val="auto"/>
              </w:rPr>
            </w:pPr>
            <w:r>
              <w:rPr>
                <w:rFonts w:ascii="Arial" w:cs="Arial" w:eastAsia="Arial" w:hAnsi="Arial"/>
                <w:sz w:val="17"/>
                <w:szCs w:val="17"/>
                <w:b w:val="1"/>
                <w:bCs w:val="1"/>
                <w:color w:val="FFFFFF"/>
              </w:rPr>
              <w:t>S/ 000</w:t>
            </w:r>
          </w:p>
        </w:tc>
        <w:tc>
          <w:tcPr>
            <w:tcW w:w="1240" w:type="dxa"/>
            <w:vAlign w:val="bottom"/>
            <w:tcBorders>
              <w:bottom w:val="single" w:sz="8" w:color="auto"/>
            </w:tcBorders>
            <w:shd w:val="clear" w:color="auto" w:fill="29D2C9"/>
          </w:tcPr>
          <w:p>
            <w:pPr>
              <w:jc w:val="right"/>
              <w:ind w:right="376"/>
              <w:spacing w:after="0"/>
              <w:rPr>
                <w:sz w:val="20"/>
                <w:szCs w:val="20"/>
                <w:color w:val="auto"/>
              </w:rPr>
            </w:pPr>
            <w:r>
              <w:rPr>
                <w:rFonts w:ascii="Arial" w:cs="Arial" w:eastAsia="Arial" w:hAnsi="Arial"/>
                <w:sz w:val="17"/>
                <w:szCs w:val="17"/>
                <w:b w:val="1"/>
                <w:bCs w:val="1"/>
                <w:color w:val="FFFFFF"/>
              </w:rPr>
              <w:t>4Q21</w:t>
            </w:r>
          </w:p>
        </w:tc>
        <w:tc>
          <w:tcPr>
            <w:tcW w:w="1160" w:type="dxa"/>
            <w:vAlign w:val="bottom"/>
            <w:tcBorders>
              <w:bottom w:val="single" w:sz="8" w:color="auto"/>
            </w:tcBorders>
            <w:shd w:val="clear" w:color="auto" w:fill="29D2C9"/>
          </w:tcPr>
          <w:p>
            <w:pPr>
              <w:jc w:val="right"/>
              <w:ind w:right="416"/>
              <w:spacing w:after="0"/>
              <w:rPr>
                <w:sz w:val="20"/>
                <w:szCs w:val="20"/>
                <w:color w:val="auto"/>
              </w:rPr>
            </w:pPr>
            <w:r>
              <w:rPr>
                <w:rFonts w:ascii="Arial" w:cs="Arial" w:eastAsia="Arial" w:hAnsi="Arial"/>
                <w:sz w:val="17"/>
                <w:szCs w:val="17"/>
                <w:b w:val="1"/>
                <w:bCs w:val="1"/>
                <w:color w:val="FFFFFF"/>
              </w:rPr>
              <w:t>3Q22</w:t>
            </w:r>
          </w:p>
        </w:tc>
        <w:tc>
          <w:tcPr>
            <w:tcW w:w="1100" w:type="dxa"/>
            <w:vAlign w:val="bottom"/>
            <w:tcBorders>
              <w:bottom w:val="single" w:sz="8" w:color="auto"/>
            </w:tcBorders>
            <w:shd w:val="clear" w:color="auto" w:fill="29D2C9"/>
          </w:tcPr>
          <w:p>
            <w:pPr>
              <w:jc w:val="right"/>
              <w:ind w:right="396"/>
              <w:spacing w:after="0"/>
              <w:rPr>
                <w:sz w:val="20"/>
                <w:szCs w:val="20"/>
                <w:color w:val="auto"/>
              </w:rPr>
            </w:pPr>
            <w:r>
              <w:rPr>
                <w:rFonts w:ascii="Arial" w:cs="Arial" w:eastAsia="Arial" w:hAnsi="Arial"/>
                <w:sz w:val="17"/>
                <w:szCs w:val="17"/>
                <w:b w:val="1"/>
                <w:bCs w:val="1"/>
                <w:color w:val="FFFFFF"/>
              </w:rPr>
              <w:t>4Q22</w:t>
            </w:r>
          </w:p>
        </w:tc>
        <w:tc>
          <w:tcPr>
            <w:tcW w:w="980" w:type="dxa"/>
            <w:vAlign w:val="bottom"/>
            <w:tcBorders>
              <w:bottom w:val="single" w:sz="8" w:color="auto"/>
            </w:tcBorders>
            <w:shd w:val="clear" w:color="auto" w:fill="29D2C9"/>
          </w:tcPr>
          <w:p>
            <w:pPr>
              <w:jc w:val="center"/>
              <w:ind w:right="16"/>
              <w:spacing w:after="0"/>
              <w:rPr>
                <w:sz w:val="20"/>
                <w:szCs w:val="20"/>
                <w:color w:val="auto"/>
              </w:rPr>
            </w:pPr>
            <w:r>
              <w:rPr>
                <w:rFonts w:ascii="Arial" w:cs="Arial" w:eastAsia="Arial" w:hAnsi="Arial"/>
                <w:sz w:val="17"/>
                <w:szCs w:val="17"/>
                <w:b w:val="1"/>
                <w:bCs w:val="1"/>
                <w:color w:val="FFFFFF"/>
                <w:w w:val="97"/>
              </w:rPr>
              <w:t>QoQ</w:t>
            </w:r>
          </w:p>
        </w:tc>
        <w:tc>
          <w:tcPr>
            <w:tcW w:w="1120" w:type="dxa"/>
            <w:vAlign w:val="bottom"/>
            <w:tcBorders>
              <w:bottom w:val="single" w:sz="8" w:color="auto"/>
            </w:tcBorders>
            <w:shd w:val="clear" w:color="auto" w:fill="29D2C9"/>
          </w:tcPr>
          <w:p>
            <w:pPr>
              <w:jc w:val="center"/>
              <w:spacing w:after="0"/>
              <w:rPr>
                <w:sz w:val="20"/>
                <w:szCs w:val="20"/>
                <w:color w:val="auto"/>
              </w:rPr>
            </w:pPr>
            <w:r>
              <w:rPr>
                <w:rFonts w:ascii="Arial" w:cs="Arial" w:eastAsia="Arial" w:hAnsi="Arial"/>
                <w:sz w:val="17"/>
                <w:szCs w:val="17"/>
                <w:b w:val="1"/>
                <w:bCs w:val="1"/>
                <w:color w:val="FFFFFF"/>
                <w:w w:val="96"/>
              </w:rPr>
              <w:t>YoY</w:t>
            </w:r>
          </w:p>
        </w:tc>
        <w:tc>
          <w:tcPr>
            <w:tcW w:w="1220" w:type="dxa"/>
            <w:vAlign w:val="bottom"/>
            <w:tcBorders>
              <w:bottom w:val="single" w:sz="8" w:color="auto"/>
            </w:tcBorders>
            <w:shd w:val="clear" w:color="auto" w:fill="29D2C9"/>
          </w:tcPr>
          <w:p>
            <w:pPr>
              <w:jc w:val="right"/>
              <w:ind w:right="376"/>
              <w:spacing w:after="0"/>
              <w:rPr>
                <w:sz w:val="20"/>
                <w:szCs w:val="20"/>
                <w:color w:val="auto"/>
              </w:rPr>
            </w:pPr>
            <w:r>
              <w:rPr>
                <w:rFonts w:ascii="Arial" w:cs="Arial" w:eastAsia="Arial" w:hAnsi="Arial"/>
                <w:sz w:val="17"/>
                <w:szCs w:val="17"/>
                <w:b w:val="1"/>
                <w:bCs w:val="1"/>
                <w:color w:val="FFFFFF"/>
              </w:rPr>
              <w:t>2021</w:t>
            </w:r>
          </w:p>
        </w:tc>
        <w:tc>
          <w:tcPr>
            <w:tcW w:w="1080" w:type="dxa"/>
            <w:vAlign w:val="bottom"/>
            <w:tcBorders>
              <w:bottom w:val="single" w:sz="8" w:color="auto"/>
            </w:tcBorders>
            <w:shd w:val="clear" w:color="auto" w:fill="29D2C9"/>
          </w:tcPr>
          <w:p>
            <w:pPr>
              <w:jc w:val="right"/>
              <w:ind w:right="336"/>
              <w:spacing w:after="0"/>
              <w:rPr>
                <w:sz w:val="20"/>
                <w:szCs w:val="20"/>
                <w:color w:val="auto"/>
              </w:rPr>
            </w:pPr>
            <w:r>
              <w:rPr>
                <w:rFonts w:ascii="Arial" w:cs="Arial" w:eastAsia="Arial" w:hAnsi="Arial"/>
                <w:sz w:val="17"/>
                <w:szCs w:val="17"/>
                <w:b w:val="1"/>
                <w:bCs w:val="1"/>
                <w:color w:val="FFFFFF"/>
              </w:rPr>
              <w:t>2022</w:t>
            </w:r>
          </w:p>
        </w:tc>
        <w:tc>
          <w:tcPr>
            <w:tcW w:w="1080" w:type="dxa"/>
            <w:vAlign w:val="bottom"/>
            <w:tcBorders>
              <w:bottom w:val="single" w:sz="8" w:color="auto"/>
            </w:tcBorders>
            <w:shd w:val="clear" w:color="auto" w:fill="29D2C9"/>
          </w:tcPr>
          <w:p>
            <w:pPr>
              <w:jc w:val="center"/>
              <w:spacing w:after="0"/>
              <w:rPr>
                <w:sz w:val="20"/>
                <w:szCs w:val="20"/>
                <w:color w:val="auto"/>
              </w:rPr>
            </w:pPr>
            <w:r>
              <w:rPr>
                <w:rFonts w:ascii="Arial" w:cs="Arial" w:eastAsia="Arial" w:hAnsi="Arial"/>
                <w:sz w:val="17"/>
                <w:szCs w:val="17"/>
                <w:b w:val="1"/>
                <w:bCs w:val="1"/>
                <w:color w:val="FFFFFF"/>
                <w:w w:val="97"/>
              </w:rPr>
              <w:t>2022 / 2021</w:t>
            </w:r>
          </w:p>
        </w:tc>
      </w:tr>
      <w:tr>
        <w:trPr>
          <w:trHeight w:val="154"/>
        </w:trPr>
        <w:tc>
          <w:tcPr>
            <w:tcW w:w="2260" w:type="dxa"/>
            <w:vAlign w:val="bottom"/>
          </w:tcPr>
          <w:p>
            <w:pPr>
              <w:ind w:left="40"/>
              <w:spacing w:after="0" w:line="154" w:lineRule="exact"/>
              <w:rPr>
                <w:sz w:val="20"/>
                <w:szCs w:val="20"/>
                <w:color w:val="auto"/>
              </w:rPr>
            </w:pPr>
            <w:r>
              <w:rPr>
                <w:rFonts w:ascii="Arial" w:cs="Arial" w:eastAsia="Arial" w:hAnsi="Arial"/>
                <w:sz w:val="12"/>
                <w:szCs w:val="12"/>
                <w:color w:val="auto"/>
              </w:rPr>
              <w:t xml:space="preserve">Operating expenses </w:t>
            </w:r>
            <w:r>
              <w:rPr>
                <w:rFonts w:ascii="Arial" w:cs="Arial" w:eastAsia="Arial" w:hAnsi="Arial"/>
                <w:sz w:val="17"/>
                <w:szCs w:val="17"/>
                <w:color w:val="auto"/>
                <w:vertAlign w:val="superscript"/>
              </w:rPr>
              <w:t>(1)</w:t>
            </w:r>
          </w:p>
        </w:tc>
        <w:tc>
          <w:tcPr>
            <w:tcW w:w="1240" w:type="dxa"/>
            <w:vAlign w:val="bottom"/>
          </w:tcPr>
          <w:p>
            <w:pPr>
              <w:jc w:val="right"/>
              <w:ind w:right="116"/>
              <w:spacing w:after="0" w:line="154" w:lineRule="exact"/>
              <w:rPr>
                <w:sz w:val="20"/>
                <w:szCs w:val="20"/>
                <w:color w:val="auto"/>
              </w:rPr>
            </w:pPr>
            <w:r>
              <w:rPr>
                <w:rFonts w:ascii="Arial" w:cs="Arial" w:eastAsia="Arial" w:hAnsi="Arial"/>
                <w:sz w:val="17"/>
                <w:szCs w:val="17"/>
                <w:color w:val="auto"/>
              </w:rPr>
              <w:t>2,182,630</w:t>
            </w:r>
          </w:p>
        </w:tc>
        <w:tc>
          <w:tcPr>
            <w:tcW w:w="1160" w:type="dxa"/>
            <w:vAlign w:val="bottom"/>
          </w:tcPr>
          <w:p>
            <w:pPr>
              <w:jc w:val="right"/>
              <w:ind w:right="136"/>
              <w:spacing w:after="0" w:line="154" w:lineRule="exact"/>
              <w:rPr>
                <w:sz w:val="20"/>
                <w:szCs w:val="20"/>
                <w:color w:val="auto"/>
              </w:rPr>
            </w:pPr>
            <w:r>
              <w:rPr>
                <w:rFonts w:ascii="Arial" w:cs="Arial" w:eastAsia="Arial" w:hAnsi="Arial"/>
                <w:sz w:val="17"/>
                <w:szCs w:val="17"/>
                <w:color w:val="auto"/>
              </w:rPr>
              <w:t>2,149,305</w:t>
            </w:r>
          </w:p>
        </w:tc>
        <w:tc>
          <w:tcPr>
            <w:tcW w:w="1100" w:type="dxa"/>
            <w:vAlign w:val="bottom"/>
          </w:tcPr>
          <w:p>
            <w:pPr>
              <w:jc w:val="right"/>
              <w:ind w:right="116"/>
              <w:spacing w:after="0" w:line="154" w:lineRule="exact"/>
              <w:rPr>
                <w:sz w:val="20"/>
                <w:szCs w:val="20"/>
                <w:color w:val="auto"/>
              </w:rPr>
            </w:pPr>
            <w:r>
              <w:rPr>
                <w:rFonts w:ascii="Arial" w:cs="Arial" w:eastAsia="Arial" w:hAnsi="Arial"/>
                <w:sz w:val="17"/>
                <w:szCs w:val="17"/>
                <w:color w:val="auto"/>
              </w:rPr>
              <w:t>2,400,674</w:t>
            </w:r>
          </w:p>
        </w:tc>
        <w:tc>
          <w:tcPr>
            <w:tcW w:w="980" w:type="dxa"/>
            <w:vAlign w:val="bottom"/>
          </w:tcPr>
          <w:p>
            <w:pPr>
              <w:jc w:val="right"/>
              <w:ind w:right="216"/>
              <w:spacing w:after="0" w:line="154" w:lineRule="exact"/>
              <w:rPr>
                <w:sz w:val="20"/>
                <w:szCs w:val="20"/>
                <w:color w:val="auto"/>
              </w:rPr>
            </w:pPr>
            <w:r>
              <w:rPr>
                <w:rFonts w:ascii="Arial" w:cs="Arial" w:eastAsia="Arial" w:hAnsi="Arial"/>
                <w:sz w:val="17"/>
                <w:szCs w:val="17"/>
                <w:color w:val="auto"/>
              </w:rPr>
              <w:t>11.7%</w:t>
            </w:r>
          </w:p>
        </w:tc>
        <w:tc>
          <w:tcPr>
            <w:tcW w:w="1120" w:type="dxa"/>
            <w:vAlign w:val="bottom"/>
          </w:tcPr>
          <w:p>
            <w:pPr>
              <w:jc w:val="center"/>
              <w:spacing w:after="0" w:line="154" w:lineRule="exact"/>
              <w:rPr>
                <w:sz w:val="20"/>
                <w:szCs w:val="20"/>
                <w:color w:val="auto"/>
              </w:rPr>
            </w:pPr>
            <w:r>
              <w:rPr>
                <w:rFonts w:ascii="Arial" w:cs="Arial" w:eastAsia="Arial" w:hAnsi="Arial"/>
                <w:sz w:val="17"/>
                <w:szCs w:val="17"/>
                <w:color w:val="auto"/>
                <w:w w:val="99"/>
              </w:rPr>
              <w:t>10.0%</w:t>
            </w:r>
          </w:p>
        </w:tc>
        <w:tc>
          <w:tcPr>
            <w:tcW w:w="1220" w:type="dxa"/>
            <w:vAlign w:val="bottom"/>
          </w:tcPr>
          <w:p>
            <w:pPr>
              <w:jc w:val="right"/>
              <w:ind w:right="76"/>
              <w:spacing w:after="0" w:line="154" w:lineRule="exact"/>
              <w:rPr>
                <w:sz w:val="20"/>
                <w:szCs w:val="20"/>
                <w:color w:val="auto"/>
              </w:rPr>
            </w:pPr>
            <w:r>
              <w:rPr>
                <w:rFonts w:ascii="Arial" w:cs="Arial" w:eastAsia="Arial" w:hAnsi="Arial"/>
                <w:sz w:val="17"/>
                <w:szCs w:val="17"/>
                <w:color w:val="auto"/>
              </w:rPr>
              <w:t>7,685,957</w:t>
            </w:r>
          </w:p>
        </w:tc>
        <w:tc>
          <w:tcPr>
            <w:tcW w:w="1080" w:type="dxa"/>
            <w:vAlign w:val="bottom"/>
          </w:tcPr>
          <w:p>
            <w:pPr>
              <w:jc w:val="right"/>
              <w:ind w:right="36"/>
              <w:spacing w:after="0" w:line="154" w:lineRule="exact"/>
              <w:rPr>
                <w:sz w:val="20"/>
                <w:szCs w:val="20"/>
                <w:color w:val="auto"/>
              </w:rPr>
            </w:pPr>
            <w:r>
              <w:rPr>
                <w:rFonts w:ascii="Arial" w:cs="Arial" w:eastAsia="Arial" w:hAnsi="Arial"/>
                <w:sz w:val="17"/>
                <w:szCs w:val="17"/>
                <w:color w:val="auto"/>
              </w:rPr>
              <w:t>8,564,147</w:t>
            </w:r>
          </w:p>
        </w:tc>
        <w:tc>
          <w:tcPr>
            <w:tcW w:w="1080" w:type="dxa"/>
            <w:vAlign w:val="bottom"/>
          </w:tcPr>
          <w:p>
            <w:pPr>
              <w:jc w:val="center"/>
              <w:spacing w:after="0" w:line="154" w:lineRule="exact"/>
              <w:rPr>
                <w:sz w:val="20"/>
                <w:szCs w:val="20"/>
                <w:color w:val="auto"/>
              </w:rPr>
            </w:pPr>
            <w:r>
              <w:rPr>
                <w:rFonts w:ascii="Arial" w:cs="Arial" w:eastAsia="Arial" w:hAnsi="Arial"/>
                <w:sz w:val="17"/>
                <w:szCs w:val="17"/>
                <w:color w:val="auto"/>
                <w:w w:val="99"/>
              </w:rPr>
              <w:t>11.4%</w:t>
            </w:r>
          </w:p>
        </w:tc>
      </w:tr>
      <w:tr>
        <w:trPr>
          <w:trHeight w:val="189"/>
        </w:trPr>
        <w:tc>
          <w:tcPr>
            <w:tcW w:w="2260" w:type="dxa"/>
            <w:vAlign w:val="bottom"/>
          </w:tcPr>
          <w:p>
            <w:pPr>
              <w:ind w:left="40"/>
              <w:spacing w:after="0" w:line="189" w:lineRule="exact"/>
              <w:rPr>
                <w:sz w:val="20"/>
                <w:szCs w:val="20"/>
                <w:color w:val="auto"/>
              </w:rPr>
            </w:pPr>
            <w:r>
              <w:rPr>
                <w:rFonts w:ascii="Arial" w:cs="Arial" w:eastAsia="Arial" w:hAnsi="Arial"/>
                <w:sz w:val="14"/>
                <w:szCs w:val="14"/>
                <w:color w:val="auto"/>
              </w:rPr>
              <w:t xml:space="preserve">Operating income </w:t>
            </w:r>
            <w:r>
              <w:rPr>
                <w:rFonts w:ascii="Arial" w:cs="Arial" w:eastAsia="Arial" w:hAnsi="Arial"/>
                <w:sz w:val="21"/>
                <w:szCs w:val="21"/>
                <w:color w:val="auto"/>
                <w:vertAlign w:val="superscript"/>
              </w:rPr>
              <w:t>(2)</w:t>
            </w:r>
          </w:p>
        </w:tc>
        <w:tc>
          <w:tcPr>
            <w:tcW w:w="1240" w:type="dxa"/>
            <w:vAlign w:val="bottom"/>
          </w:tcPr>
          <w:p>
            <w:pPr>
              <w:jc w:val="right"/>
              <w:ind w:right="116"/>
              <w:spacing w:after="0" w:line="189" w:lineRule="exact"/>
              <w:rPr>
                <w:sz w:val="20"/>
                <w:szCs w:val="20"/>
                <w:color w:val="auto"/>
              </w:rPr>
            </w:pPr>
            <w:r>
              <w:rPr>
                <w:rFonts w:ascii="Arial" w:cs="Arial" w:eastAsia="Arial" w:hAnsi="Arial"/>
                <w:sz w:val="17"/>
                <w:szCs w:val="17"/>
                <w:color w:val="auto"/>
              </w:rPr>
              <w:t>4,414,186</w:t>
            </w:r>
          </w:p>
        </w:tc>
        <w:tc>
          <w:tcPr>
            <w:tcW w:w="1160" w:type="dxa"/>
            <w:vAlign w:val="bottom"/>
          </w:tcPr>
          <w:p>
            <w:pPr>
              <w:jc w:val="right"/>
              <w:ind w:right="136"/>
              <w:spacing w:after="0" w:line="189" w:lineRule="exact"/>
              <w:rPr>
                <w:sz w:val="20"/>
                <w:szCs w:val="20"/>
                <w:color w:val="auto"/>
              </w:rPr>
            </w:pPr>
            <w:r>
              <w:rPr>
                <w:rFonts w:ascii="Arial" w:cs="Arial" w:eastAsia="Arial" w:hAnsi="Arial"/>
                <w:sz w:val="17"/>
                <w:szCs w:val="17"/>
                <w:color w:val="auto"/>
              </w:rPr>
              <w:t>5,024,549</w:t>
            </w:r>
          </w:p>
        </w:tc>
        <w:tc>
          <w:tcPr>
            <w:tcW w:w="1100" w:type="dxa"/>
            <w:vAlign w:val="bottom"/>
          </w:tcPr>
          <w:p>
            <w:pPr>
              <w:jc w:val="right"/>
              <w:ind w:right="116"/>
              <w:spacing w:after="0" w:line="189" w:lineRule="exact"/>
              <w:rPr>
                <w:sz w:val="20"/>
                <w:szCs w:val="20"/>
                <w:color w:val="auto"/>
              </w:rPr>
            </w:pPr>
            <w:r>
              <w:rPr>
                <w:rFonts w:ascii="Arial" w:cs="Arial" w:eastAsia="Arial" w:hAnsi="Arial"/>
                <w:sz w:val="17"/>
                <w:szCs w:val="17"/>
                <w:color w:val="auto"/>
              </w:rPr>
              <w:t>5,219,379</w:t>
            </w:r>
          </w:p>
        </w:tc>
        <w:tc>
          <w:tcPr>
            <w:tcW w:w="980" w:type="dxa"/>
            <w:vAlign w:val="bottom"/>
          </w:tcPr>
          <w:p>
            <w:pPr>
              <w:jc w:val="right"/>
              <w:ind w:right="256"/>
              <w:spacing w:after="0" w:line="189" w:lineRule="exact"/>
              <w:rPr>
                <w:sz w:val="20"/>
                <w:szCs w:val="20"/>
                <w:color w:val="auto"/>
              </w:rPr>
            </w:pPr>
            <w:r>
              <w:rPr>
                <w:rFonts w:ascii="Arial" w:cs="Arial" w:eastAsia="Arial" w:hAnsi="Arial"/>
                <w:sz w:val="17"/>
                <w:szCs w:val="17"/>
                <w:color w:val="auto"/>
              </w:rPr>
              <w:t>3.9%</w:t>
            </w:r>
          </w:p>
        </w:tc>
        <w:tc>
          <w:tcPr>
            <w:tcW w:w="1120" w:type="dxa"/>
            <w:vAlign w:val="bottom"/>
          </w:tcPr>
          <w:p>
            <w:pPr>
              <w:jc w:val="center"/>
              <w:spacing w:after="0" w:line="189" w:lineRule="exact"/>
              <w:rPr>
                <w:sz w:val="20"/>
                <w:szCs w:val="20"/>
                <w:color w:val="auto"/>
              </w:rPr>
            </w:pPr>
            <w:r>
              <w:rPr>
                <w:rFonts w:ascii="Arial" w:cs="Arial" w:eastAsia="Arial" w:hAnsi="Arial"/>
                <w:sz w:val="17"/>
                <w:szCs w:val="17"/>
                <w:color w:val="auto"/>
                <w:w w:val="99"/>
              </w:rPr>
              <w:t>18.2%</w:t>
            </w:r>
          </w:p>
        </w:tc>
        <w:tc>
          <w:tcPr>
            <w:tcW w:w="1220" w:type="dxa"/>
            <w:vAlign w:val="bottom"/>
          </w:tcPr>
          <w:p>
            <w:pPr>
              <w:jc w:val="right"/>
              <w:ind w:right="76"/>
              <w:spacing w:after="0" w:line="189" w:lineRule="exact"/>
              <w:rPr>
                <w:sz w:val="20"/>
                <w:szCs w:val="20"/>
                <w:color w:val="auto"/>
              </w:rPr>
            </w:pPr>
            <w:r>
              <w:rPr>
                <w:rFonts w:ascii="Arial" w:cs="Arial" w:eastAsia="Arial" w:hAnsi="Arial"/>
                <w:sz w:val="17"/>
                <w:szCs w:val="17"/>
                <w:color w:val="auto"/>
              </w:rPr>
              <w:t>16,739,655</w:t>
            </w:r>
          </w:p>
        </w:tc>
        <w:tc>
          <w:tcPr>
            <w:tcW w:w="1080" w:type="dxa"/>
            <w:vAlign w:val="bottom"/>
          </w:tcPr>
          <w:p>
            <w:pPr>
              <w:jc w:val="right"/>
              <w:ind w:right="36"/>
              <w:spacing w:after="0" w:line="189" w:lineRule="exact"/>
              <w:rPr>
                <w:sz w:val="20"/>
                <w:szCs w:val="20"/>
                <w:color w:val="auto"/>
              </w:rPr>
            </w:pPr>
            <w:r>
              <w:rPr>
                <w:rFonts w:ascii="Arial" w:cs="Arial" w:eastAsia="Arial" w:hAnsi="Arial"/>
                <w:sz w:val="17"/>
                <w:szCs w:val="17"/>
                <w:color w:val="auto"/>
              </w:rPr>
              <w:t>19,269,608</w:t>
            </w:r>
          </w:p>
        </w:tc>
        <w:tc>
          <w:tcPr>
            <w:tcW w:w="1080" w:type="dxa"/>
            <w:vAlign w:val="bottom"/>
          </w:tcPr>
          <w:p>
            <w:pPr>
              <w:jc w:val="center"/>
              <w:spacing w:after="0" w:line="189" w:lineRule="exact"/>
              <w:rPr>
                <w:sz w:val="20"/>
                <w:szCs w:val="20"/>
                <w:color w:val="auto"/>
              </w:rPr>
            </w:pPr>
            <w:r>
              <w:rPr>
                <w:rFonts w:ascii="Arial" w:cs="Arial" w:eastAsia="Arial" w:hAnsi="Arial"/>
                <w:sz w:val="17"/>
                <w:szCs w:val="17"/>
                <w:color w:val="auto"/>
                <w:w w:val="99"/>
              </w:rPr>
              <w:t>15.1%</w:t>
            </w:r>
          </w:p>
        </w:tc>
      </w:tr>
      <w:tr>
        <w:trPr>
          <w:trHeight w:val="223"/>
        </w:trPr>
        <w:tc>
          <w:tcPr>
            <w:tcW w:w="2260" w:type="dxa"/>
            <w:vAlign w:val="bottom"/>
          </w:tcPr>
          <w:p>
            <w:pPr>
              <w:ind w:left="40"/>
              <w:spacing w:after="0" w:line="223" w:lineRule="exact"/>
              <w:rPr>
                <w:sz w:val="20"/>
                <w:szCs w:val="20"/>
                <w:color w:val="auto"/>
              </w:rPr>
            </w:pPr>
            <w:r>
              <w:rPr>
                <w:rFonts w:ascii="Arial" w:cs="Arial" w:eastAsia="Arial" w:hAnsi="Arial"/>
                <w:sz w:val="16"/>
                <w:szCs w:val="16"/>
                <w:color w:val="auto"/>
              </w:rPr>
              <w:t xml:space="preserve">Efficiency ratio </w:t>
            </w:r>
            <w:r>
              <w:rPr>
                <w:rFonts w:ascii="Arial" w:cs="Arial" w:eastAsia="Arial" w:hAnsi="Arial"/>
                <w:sz w:val="25"/>
                <w:szCs w:val="25"/>
                <w:color w:val="auto"/>
                <w:vertAlign w:val="superscript"/>
              </w:rPr>
              <w:t>(3)</w:t>
            </w:r>
          </w:p>
        </w:tc>
        <w:tc>
          <w:tcPr>
            <w:tcW w:w="1240" w:type="dxa"/>
            <w:vAlign w:val="bottom"/>
          </w:tcPr>
          <w:p>
            <w:pPr>
              <w:jc w:val="right"/>
              <w:ind w:right="56"/>
              <w:spacing w:after="0"/>
              <w:rPr>
                <w:sz w:val="20"/>
                <w:szCs w:val="20"/>
                <w:color w:val="auto"/>
              </w:rPr>
            </w:pPr>
            <w:r>
              <w:rPr>
                <w:rFonts w:ascii="Arial" w:cs="Arial" w:eastAsia="Arial" w:hAnsi="Arial"/>
                <w:sz w:val="17"/>
                <w:szCs w:val="17"/>
                <w:color w:val="auto"/>
              </w:rPr>
              <w:t>49.4%</w:t>
            </w:r>
          </w:p>
        </w:tc>
        <w:tc>
          <w:tcPr>
            <w:tcW w:w="1160" w:type="dxa"/>
            <w:vAlign w:val="bottom"/>
          </w:tcPr>
          <w:p>
            <w:pPr>
              <w:jc w:val="right"/>
              <w:ind w:right="76"/>
              <w:spacing w:after="0"/>
              <w:rPr>
                <w:sz w:val="20"/>
                <w:szCs w:val="20"/>
                <w:color w:val="auto"/>
              </w:rPr>
            </w:pPr>
            <w:r>
              <w:rPr>
                <w:rFonts w:ascii="Arial" w:cs="Arial" w:eastAsia="Arial" w:hAnsi="Arial"/>
                <w:sz w:val="17"/>
                <w:szCs w:val="17"/>
                <w:color w:val="auto"/>
              </w:rPr>
              <w:t>42.8%</w:t>
            </w: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46.0%</w:t>
            </w:r>
          </w:p>
        </w:tc>
        <w:tc>
          <w:tcPr>
            <w:tcW w:w="980" w:type="dxa"/>
            <w:vAlign w:val="bottom"/>
          </w:tcPr>
          <w:p>
            <w:pPr>
              <w:jc w:val="center"/>
              <w:ind w:right="16"/>
              <w:spacing w:after="0"/>
              <w:rPr>
                <w:sz w:val="20"/>
                <w:szCs w:val="20"/>
                <w:color w:val="auto"/>
              </w:rPr>
            </w:pPr>
            <w:r>
              <w:rPr>
                <w:rFonts w:ascii="Arial" w:cs="Arial" w:eastAsia="Arial" w:hAnsi="Arial"/>
                <w:sz w:val="17"/>
                <w:szCs w:val="17"/>
                <w:color w:val="auto"/>
                <w:w w:val="99"/>
              </w:rPr>
              <w:t>320 bps</w:t>
            </w:r>
          </w:p>
        </w:tc>
        <w:tc>
          <w:tcPr>
            <w:tcW w:w="1120" w:type="dxa"/>
            <w:vAlign w:val="bottom"/>
          </w:tcPr>
          <w:p>
            <w:pPr>
              <w:jc w:val="center"/>
              <w:spacing w:after="0"/>
              <w:rPr>
                <w:sz w:val="20"/>
                <w:szCs w:val="20"/>
                <w:color w:val="auto"/>
              </w:rPr>
            </w:pPr>
            <w:r>
              <w:rPr>
                <w:rFonts w:ascii="Arial" w:cs="Arial" w:eastAsia="Arial" w:hAnsi="Arial"/>
                <w:sz w:val="17"/>
                <w:szCs w:val="17"/>
                <w:color w:val="auto"/>
                <w:w w:val="99"/>
              </w:rPr>
              <w:t>-340 bps</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45.9%</w:t>
            </w:r>
          </w:p>
        </w:tc>
        <w:tc>
          <w:tcPr>
            <w:tcW w:w="1080" w:type="dxa"/>
            <w:vAlign w:val="bottom"/>
          </w:tcPr>
          <w:p>
            <w:pPr>
              <w:jc w:val="right"/>
              <w:spacing w:after="0"/>
              <w:rPr>
                <w:sz w:val="20"/>
                <w:szCs w:val="20"/>
                <w:color w:val="auto"/>
              </w:rPr>
            </w:pPr>
            <w:r>
              <w:rPr>
                <w:rFonts w:ascii="Arial" w:cs="Arial" w:eastAsia="Arial" w:hAnsi="Arial"/>
                <w:sz w:val="17"/>
                <w:szCs w:val="17"/>
                <w:color w:val="auto"/>
              </w:rPr>
              <w:t>44.4%</w:t>
            </w:r>
          </w:p>
        </w:tc>
        <w:tc>
          <w:tcPr>
            <w:tcW w:w="1080" w:type="dxa"/>
            <w:vAlign w:val="bottom"/>
          </w:tcPr>
          <w:p>
            <w:pPr>
              <w:jc w:val="center"/>
              <w:spacing w:after="0"/>
              <w:rPr>
                <w:sz w:val="20"/>
                <w:szCs w:val="20"/>
                <w:color w:val="auto"/>
              </w:rPr>
            </w:pPr>
            <w:r>
              <w:rPr>
                <w:rFonts w:ascii="Arial" w:cs="Arial" w:eastAsia="Arial" w:hAnsi="Arial"/>
                <w:sz w:val="17"/>
                <w:szCs w:val="17"/>
                <w:color w:val="auto"/>
                <w:w w:val="96"/>
              </w:rPr>
              <w:t>-150 bps</w:t>
            </w:r>
          </w:p>
        </w:tc>
      </w:tr>
    </w:tbl>
    <w:p>
      <w:pPr>
        <w:ind w:left="180" w:hanging="179"/>
        <w:spacing w:after="0" w:line="218" w:lineRule="auto"/>
        <w:tabs>
          <w:tab w:leader="none" w:pos="1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Operating expenses = Salaries and employees’ benefits + Administrative expenses + Depreciation and amortization + Association in participation + Acquisition cost.</w:t>
      </w:r>
    </w:p>
    <w:p>
      <w:pPr>
        <w:ind w:right="340" w:firstLine="1"/>
        <w:spacing w:after="0" w:line="218" w:lineRule="auto"/>
        <w:tabs>
          <w:tab w:leader="none" w:pos="176" w:val="left"/>
        </w:tabs>
        <w:numPr>
          <w:ilvl w:val="0"/>
          <w:numId w:val="38"/>
        </w:numPr>
        <w:rPr>
          <w:rFonts w:ascii="Arial" w:cs="Arial" w:eastAsia="Arial" w:hAnsi="Arial"/>
          <w:sz w:val="12"/>
          <w:szCs w:val="12"/>
          <w:color w:val="auto"/>
        </w:rPr>
      </w:pPr>
      <w:r>
        <w:rPr>
          <w:rFonts w:ascii="Arial" w:cs="Arial" w:eastAsia="Arial" w:hAnsi="Arial"/>
          <w:sz w:val="12"/>
          <w:szCs w:val="12"/>
          <w:color w:val="auto"/>
        </w:rPr>
        <w:t>Operating income = Net interest, similar income and expenses + Fee income + Net gain on foreign exchange transactions + Net gain from associates + Net gain on derivatives held for trading + Net gain from exchange differences + Net premiums earned</w:t>
      </w:r>
    </w:p>
    <w:p>
      <w:pPr>
        <w:ind w:left="180" w:hanging="179"/>
        <w:spacing w:after="0"/>
        <w:tabs>
          <w:tab w:leader="none" w:pos="18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Operating expenses / Operating income.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Efficiency ratio reported by subsidiary</w:t>
      </w:r>
    </w:p>
    <w:p>
      <w:pPr>
        <w:spacing w:after="0" w:line="179" w:lineRule="exact"/>
        <w:rPr>
          <w:sz w:val="20"/>
          <w:szCs w:val="20"/>
          <w:color w:val="auto"/>
        </w:rPr>
      </w:pPr>
    </w:p>
    <w:tbl>
      <w:tblPr>
        <w:tblLayout w:type="fixed"/>
        <w:tblInd w:w="470" w:type="dxa"/>
        <w:tblCellMar>
          <w:top w:w="0" w:type="dxa"/>
          <w:left w:w="0" w:type="dxa"/>
          <w:bottom w:w="0" w:type="dxa"/>
          <w:right w:w="0" w:type="dxa"/>
        </w:tblCellMar>
      </w:tblPr>
      <w:tr>
        <w:trPr>
          <w:trHeight w:val="218"/>
        </w:trPr>
        <w:tc>
          <w:tcPr>
            <w:tcW w:w="1700" w:type="dxa"/>
            <w:vAlign w:val="bottom"/>
            <w:tcBorders>
              <w:right w:val="single" w:sz="8" w:color="auto"/>
            </w:tcBorders>
          </w:tcPr>
          <w:p>
            <w:pPr>
              <w:spacing w:after="0"/>
              <w:rPr>
                <w:sz w:val="18"/>
                <w:szCs w:val="18"/>
                <w:color w:val="auto"/>
              </w:rPr>
            </w:pPr>
          </w:p>
        </w:tc>
        <w:tc>
          <w:tcPr>
            <w:tcW w:w="1300" w:type="dxa"/>
            <w:vAlign w:val="bottom"/>
            <w:tcBorders>
              <w:top w:val="single" w:sz="8" w:color="auto"/>
            </w:tcBorders>
            <w:shd w:val="clear" w:color="auto" w:fill="29D2C9"/>
          </w:tcPr>
          <w:p>
            <w:pPr>
              <w:jc w:val="center"/>
              <w:ind w:right="8"/>
              <w:spacing w:after="0"/>
              <w:rPr>
                <w:sz w:val="20"/>
                <w:szCs w:val="20"/>
                <w:color w:val="auto"/>
              </w:rPr>
            </w:pPr>
            <w:r>
              <w:rPr>
                <w:rFonts w:ascii="Arial" w:cs="Arial" w:eastAsia="Arial" w:hAnsi="Arial"/>
                <w:sz w:val="18"/>
                <w:szCs w:val="18"/>
                <w:b w:val="1"/>
                <w:bCs w:val="1"/>
                <w:color w:val="FFFFFF"/>
              </w:rPr>
              <w:t>BCP</w:t>
            </w:r>
          </w:p>
        </w:tc>
        <w:tc>
          <w:tcPr>
            <w:tcW w:w="1140" w:type="dxa"/>
            <w:vAlign w:val="bottom"/>
            <w:tcBorders>
              <w:top w:val="single" w:sz="8" w:color="auto"/>
            </w:tcBorders>
            <w:shd w:val="clear" w:color="auto" w:fill="29D2C9"/>
          </w:tcPr>
          <w:p>
            <w:pPr>
              <w:jc w:val="center"/>
              <w:spacing w:after="0"/>
              <w:rPr>
                <w:sz w:val="20"/>
                <w:szCs w:val="20"/>
                <w:color w:val="auto"/>
              </w:rPr>
            </w:pPr>
            <w:r>
              <w:rPr>
                <w:rFonts w:ascii="Arial" w:cs="Arial" w:eastAsia="Arial" w:hAnsi="Arial"/>
                <w:sz w:val="18"/>
                <w:szCs w:val="18"/>
                <w:b w:val="1"/>
                <w:bCs w:val="1"/>
                <w:color w:val="FFFFFF"/>
                <w:w w:val="99"/>
              </w:rPr>
              <w:t>BCP</w:t>
            </w:r>
          </w:p>
        </w:tc>
        <w:tc>
          <w:tcPr>
            <w:tcW w:w="1220" w:type="dxa"/>
            <w:vAlign w:val="bottom"/>
            <w:tcBorders>
              <w:top w:val="single" w:sz="8" w:color="auto"/>
            </w:tcBorders>
            <w:shd w:val="clear" w:color="auto" w:fill="29D2C9"/>
          </w:tcPr>
          <w:p>
            <w:pPr>
              <w:jc w:val="center"/>
              <w:spacing w:after="0"/>
              <w:rPr>
                <w:sz w:val="20"/>
                <w:szCs w:val="20"/>
                <w:color w:val="auto"/>
              </w:rPr>
            </w:pPr>
            <w:r>
              <w:rPr>
                <w:rFonts w:ascii="Arial" w:cs="Arial" w:eastAsia="Arial" w:hAnsi="Arial"/>
                <w:sz w:val="18"/>
                <w:szCs w:val="18"/>
                <w:b w:val="1"/>
                <w:bCs w:val="1"/>
                <w:color w:val="FFFFFF"/>
              </w:rPr>
              <w:t>Mibanco</w:t>
            </w:r>
          </w:p>
        </w:tc>
        <w:tc>
          <w:tcPr>
            <w:tcW w:w="1280" w:type="dxa"/>
            <w:vAlign w:val="bottom"/>
            <w:tcBorders>
              <w:top w:val="single" w:sz="8" w:color="auto"/>
            </w:tcBorders>
            <w:shd w:val="clear" w:color="auto" w:fill="29D2C9"/>
          </w:tcPr>
          <w:p>
            <w:pPr>
              <w:jc w:val="center"/>
              <w:spacing w:after="0"/>
              <w:rPr>
                <w:sz w:val="20"/>
                <w:szCs w:val="20"/>
                <w:color w:val="auto"/>
              </w:rPr>
            </w:pPr>
            <w:r>
              <w:rPr>
                <w:rFonts w:ascii="Arial" w:cs="Arial" w:eastAsia="Arial" w:hAnsi="Arial"/>
                <w:sz w:val="18"/>
                <w:szCs w:val="18"/>
                <w:b w:val="1"/>
                <w:bCs w:val="1"/>
                <w:color w:val="FFFFFF"/>
              </w:rPr>
              <w:t>Mibanco</w:t>
            </w:r>
          </w:p>
        </w:tc>
        <w:tc>
          <w:tcPr>
            <w:tcW w:w="1140" w:type="dxa"/>
            <w:vAlign w:val="bottom"/>
            <w:tcBorders>
              <w:top w:val="single" w:sz="8" w:color="auto"/>
            </w:tcBorders>
            <w:vMerge w:val="restart"/>
            <w:shd w:val="clear" w:color="auto" w:fill="29D2C9"/>
          </w:tcPr>
          <w:p>
            <w:pPr>
              <w:jc w:val="center"/>
              <w:spacing w:after="0"/>
              <w:rPr>
                <w:sz w:val="20"/>
                <w:szCs w:val="20"/>
                <w:color w:val="auto"/>
              </w:rPr>
            </w:pPr>
            <w:r>
              <w:rPr>
                <w:rFonts w:ascii="Arial" w:cs="Arial" w:eastAsia="Arial" w:hAnsi="Arial"/>
                <w:sz w:val="18"/>
                <w:szCs w:val="18"/>
                <w:b w:val="1"/>
                <w:bCs w:val="1"/>
                <w:color w:val="FFFFFF"/>
              </w:rPr>
              <w:t>Pacifico</w:t>
            </w:r>
          </w:p>
        </w:tc>
        <w:tc>
          <w:tcPr>
            <w:tcW w:w="1320" w:type="dxa"/>
            <w:vAlign w:val="bottom"/>
            <w:tcBorders>
              <w:top w:val="single" w:sz="8" w:color="auto"/>
              <w:right w:val="single" w:sz="8" w:color="auto"/>
            </w:tcBorders>
            <w:vMerge w:val="restart"/>
            <w:shd w:val="clear" w:color="auto" w:fill="29D2C9"/>
          </w:tcPr>
          <w:p>
            <w:pPr>
              <w:jc w:val="center"/>
              <w:spacing w:after="0"/>
              <w:rPr>
                <w:sz w:val="20"/>
                <w:szCs w:val="20"/>
                <w:color w:val="auto"/>
              </w:rPr>
            </w:pPr>
            <w:r>
              <w:rPr>
                <w:rFonts w:ascii="Arial" w:cs="Arial" w:eastAsia="Arial" w:hAnsi="Arial"/>
                <w:sz w:val="18"/>
                <w:szCs w:val="18"/>
                <w:b w:val="1"/>
                <w:bCs w:val="1"/>
                <w:color w:val="FFFFFF"/>
              </w:rPr>
              <w:t>Prima AFP</w:t>
            </w:r>
          </w:p>
        </w:tc>
        <w:tc>
          <w:tcPr>
            <w:tcW w:w="1240" w:type="dxa"/>
            <w:vAlign w:val="bottom"/>
            <w:tcBorders>
              <w:top w:val="single" w:sz="8" w:color="auto"/>
              <w:right w:val="single" w:sz="8" w:color="auto"/>
            </w:tcBorders>
            <w:vMerge w:val="restart"/>
            <w:shd w:val="clear" w:color="auto" w:fill="29D2C9"/>
          </w:tcPr>
          <w:p>
            <w:pPr>
              <w:jc w:val="center"/>
              <w:spacing w:after="0"/>
              <w:rPr>
                <w:sz w:val="20"/>
                <w:szCs w:val="20"/>
                <w:color w:val="auto"/>
              </w:rPr>
            </w:pPr>
            <w:r>
              <w:rPr>
                <w:rFonts w:ascii="Arial" w:cs="Arial" w:eastAsia="Arial" w:hAnsi="Arial"/>
                <w:sz w:val="18"/>
                <w:szCs w:val="18"/>
                <w:b w:val="1"/>
                <w:bCs w:val="1"/>
                <w:color w:val="FFFFFF"/>
              </w:rPr>
              <w:t>Credicorp</w:t>
            </w:r>
          </w:p>
        </w:tc>
        <w:tc>
          <w:tcPr>
            <w:tcW w:w="0" w:type="dxa"/>
            <w:vAlign w:val="bottom"/>
          </w:tcPr>
          <w:p>
            <w:pPr>
              <w:spacing w:after="0"/>
              <w:rPr>
                <w:sz w:val="1"/>
                <w:szCs w:val="1"/>
                <w:color w:val="auto"/>
              </w:rPr>
            </w:pPr>
          </w:p>
        </w:tc>
      </w:tr>
      <w:tr>
        <w:trPr>
          <w:trHeight w:val="152"/>
        </w:trPr>
        <w:tc>
          <w:tcPr>
            <w:tcW w:w="1700" w:type="dxa"/>
            <w:vAlign w:val="bottom"/>
            <w:tcBorders>
              <w:right w:val="single" w:sz="8" w:color="auto"/>
            </w:tcBorders>
          </w:tcPr>
          <w:p>
            <w:pPr>
              <w:spacing w:after="0"/>
              <w:rPr>
                <w:sz w:val="13"/>
                <w:szCs w:val="13"/>
                <w:color w:val="auto"/>
              </w:rPr>
            </w:pPr>
          </w:p>
        </w:tc>
        <w:tc>
          <w:tcPr>
            <w:tcW w:w="1300" w:type="dxa"/>
            <w:vAlign w:val="bottom"/>
            <w:vMerge w:val="restart"/>
            <w:shd w:val="clear" w:color="auto" w:fill="29D2C9"/>
          </w:tcPr>
          <w:p>
            <w:pPr>
              <w:jc w:val="center"/>
              <w:ind w:right="8"/>
              <w:spacing w:after="0"/>
              <w:rPr>
                <w:sz w:val="20"/>
                <w:szCs w:val="20"/>
                <w:color w:val="auto"/>
              </w:rPr>
            </w:pPr>
            <w:r>
              <w:rPr>
                <w:rFonts w:ascii="Arial" w:cs="Arial" w:eastAsia="Arial" w:hAnsi="Arial"/>
                <w:sz w:val="18"/>
                <w:szCs w:val="18"/>
                <w:b w:val="1"/>
                <w:bCs w:val="1"/>
                <w:color w:val="FFFFFF"/>
              </w:rPr>
              <w:t>Stand-alone</w:t>
            </w:r>
          </w:p>
        </w:tc>
        <w:tc>
          <w:tcPr>
            <w:tcW w:w="1140" w:type="dxa"/>
            <w:vAlign w:val="bottom"/>
            <w:vMerge w:val="restart"/>
            <w:shd w:val="clear" w:color="auto" w:fill="29D2C9"/>
          </w:tcPr>
          <w:p>
            <w:pPr>
              <w:jc w:val="center"/>
              <w:spacing w:after="0"/>
              <w:rPr>
                <w:sz w:val="20"/>
                <w:szCs w:val="20"/>
                <w:color w:val="auto"/>
              </w:rPr>
            </w:pPr>
            <w:r>
              <w:rPr>
                <w:rFonts w:ascii="Arial" w:cs="Arial" w:eastAsia="Arial" w:hAnsi="Arial"/>
                <w:sz w:val="18"/>
                <w:szCs w:val="18"/>
                <w:b w:val="1"/>
                <w:bCs w:val="1"/>
                <w:color w:val="FFFFFF"/>
              </w:rPr>
              <w:t>Bolivia</w:t>
            </w:r>
          </w:p>
        </w:tc>
        <w:tc>
          <w:tcPr>
            <w:tcW w:w="1220" w:type="dxa"/>
            <w:vAlign w:val="bottom"/>
            <w:vMerge w:val="restart"/>
            <w:shd w:val="clear" w:color="auto" w:fill="29D2C9"/>
          </w:tcPr>
          <w:p>
            <w:pPr>
              <w:jc w:val="center"/>
              <w:spacing w:after="0"/>
              <w:rPr>
                <w:sz w:val="20"/>
                <w:szCs w:val="20"/>
                <w:color w:val="auto"/>
              </w:rPr>
            </w:pPr>
            <w:r>
              <w:rPr>
                <w:rFonts w:ascii="Arial" w:cs="Arial" w:eastAsia="Arial" w:hAnsi="Arial"/>
                <w:sz w:val="18"/>
                <w:szCs w:val="18"/>
                <w:b w:val="1"/>
                <w:bCs w:val="1"/>
                <w:color w:val="FFFFFF"/>
                <w:w w:val="99"/>
              </w:rPr>
              <w:t>Peru</w:t>
            </w:r>
          </w:p>
        </w:tc>
        <w:tc>
          <w:tcPr>
            <w:tcW w:w="1280" w:type="dxa"/>
            <w:vAlign w:val="bottom"/>
            <w:vMerge w:val="restart"/>
            <w:shd w:val="clear" w:color="auto" w:fill="29D2C9"/>
          </w:tcPr>
          <w:p>
            <w:pPr>
              <w:jc w:val="center"/>
              <w:spacing w:after="0"/>
              <w:rPr>
                <w:sz w:val="20"/>
                <w:szCs w:val="20"/>
                <w:color w:val="auto"/>
              </w:rPr>
            </w:pPr>
            <w:r>
              <w:rPr>
                <w:rFonts w:ascii="Arial" w:cs="Arial" w:eastAsia="Arial" w:hAnsi="Arial"/>
                <w:sz w:val="18"/>
                <w:szCs w:val="18"/>
                <w:b w:val="1"/>
                <w:bCs w:val="1"/>
                <w:color w:val="FFFFFF"/>
              </w:rPr>
              <w:t>Colombia</w:t>
            </w:r>
          </w:p>
        </w:tc>
        <w:tc>
          <w:tcPr>
            <w:tcW w:w="1140" w:type="dxa"/>
            <w:vAlign w:val="bottom"/>
            <w:vMerge w:val="continue"/>
            <w:shd w:val="clear" w:color="auto" w:fill="29D2C9"/>
          </w:tcPr>
          <w:p>
            <w:pPr>
              <w:spacing w:after="0"/>
              <w:rPr>
                <w:sz w:val="13"/>
                <w:szCs w:val="13"/>
                <w:color w:val="auto"/>
              </w:rPr>
            </w:pPr>
          </w:p>
        </w:tc>
        <w:tc>
          <w:tcPr>
            <w:tcW w:w="1320" w:type="dxa"/>
            <w:vAlign w:val="bottom"/>
            <w:tcBorders>
              <w:right w:val="single" w:sz="8" w:color="auto"/>
            </w:tcBorders>
            <w:vMerge w:val="continue"/>
            <w:shd w:val="clear" w:color="auto" w:fill="29D2C9"/>
          </w:tcPr>
          <w:p>
            <w:pPr>
              <w:spacing w:after="0"/>
              <w:rPr>
                <w:sz w:val="13"/>
                <w:szCs w:val="13"/>
                <w:color w:val="auto"/>
              </w:rPr>
            </w:pPr>
          </w:p>
        </w:tc>
        <w:tc>
          <w:tcPr>
            <w:tcW w:w="1240" w:type="dxa"/>
            <w:vAlign w:val="bottom"/>
            <w:tcBorders>
              <w:right w:val="single" w:sz="8" w:color="auto"/>
            </w:tcBorders>
            <w:vMerge w:val="continue"/>
            <w:shd w:val="clear" w:color="auto" w:fill="29D2C9"/>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70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tcBorders>
            <w:vMerge w:val="continue"/>
            <w:shd w:val="clear" w:color="auto" w:fill="29D2C9"/>
          </w:tcPr>
          <w:p>
            <w:pPr>
              <w:spacing w:after="0"/>
              <w:rPr>
                <w:sz w:val="8"/>
                <w:szCs w:val="8"/>
                <w:color w:val="auto"/>
              </w:rPr>
            </w:pPr>
          </w:p>
        </w:tc>
        <w:tc>
          <w:tcPr>
            <w:tcW w:w="1140" w:type="dxa"/>
            <w:vAlign w:val="bottom"/>
            <w:tcBorders>
              <w:bottom w:val="single" w:sz="8" w:color="auto"/>
            </w:tcBorders>
            <w:vMerge w:val="continue"/>
            <w:shd w:val="clear" w:color="auto" w:fill="29D2C9"/>
          </w:tcPr>
          <w:p>
            <w:pPr>
              <w:spacing w:after="0"/>
              <w:rPr>
                <w:sz w:val="8"/>
                <w:szCs w:val="8"/>
                <w:color w:val="auto"/>
              </w:rPr>
            </w:pPr>
          </w:p>
        </w:tc>
        <w:tc>
          <w:tcPr>
            <w:tcW w:w="1220" w:type="dxa"/>
            <w:vAlign w:val="bottom"/>
            <w:tcBorders>
              <w:bottom w:val="single" w:sz="8" w:color="auto"/>
            </w:tcBorders>
            <w:vMerge w:val="continue"/>
            <w:shd w:val="clear" w:color="auto" w:fill="29D2C9"/>
          </w:tcPr>
          <w:p>
            <w:pPr>
              <w:spacing w:after="0"/>
              <w:rPr>
                <w:sz w:val="8"/>
                <w:szCs w:val="8"/>
                <w:color w:val="auto"/>
              </w:rPr>
            </w:pPr>
          </w:p>
        </w:tc>
        <w:tc>
          <w:tcPr>
            <w:tcW w:w="1280" w:type="dxa"/>
            <w:vAlign w:val="bottom"/>
            <w:tcBorders>
              <w:bottom w:val="single" w:sz="8" w:color="auto"/>
            </w:tcBorders>
            <w:vMerge w:val="continue"/>
            <w:shd w:val="clear" w:color="auto" w:fill="29D2C9"/>
          </w:tcPr>
          <w:p>
            <w:pPr>
              <w:spacing w:after="0"/>
              <w:rPr>
                <w:sz w:val="8"/>
                <w:szCs w:val="8"/>
                <w:color w:val="auto"/>
              </w:rPr>
            </w:pPr>
          </w:p>
        </w:tc>
        <w:tc>
          <w:tcPr>
            <w:tcW w:w="1140" w:type="dxa"/>
            <w:vAlign w:val="bottom"/>
            <w:tcBorders>
              <w:bottom w:val="single" w:sz="8" w:color="auto"/>
            </w:tcBorders>
            <w:shd w:val="clear" w:color="auto" w:fill="29D2C9"/>
          </w:tcPr>
          <w:p>
            <w:pPr>
              <w:spacing w:after="0"/>
              <w:rPr>
                <w:sz w:val="8"/>
                <w:szCs w:val="8"/>
                <w:color w:val="auto"/>
              </w:rPr>
            </w:pPr>
          </w:p>
        </w:tc>
        <w:tc>
          <w:tcPr>
            <w:tcW w:w="1320" w:type="dxa"/>
            <w:vAlign w:val="bottom"/>
            <w:tcBorders>
              <w:bottom w:val="single" w:sz="8" w:color="auto"/>
              <w:right w:val="single" w:sz="8" w:color="auto"/>
            </w:tcBorders>
            <w:shd w:val="clear" w:color="auto" w:fill="29D2C9"/>
          </w:tcPr>
          <w:p>
            <w:pPr>
              <w:spacing w:after="0"/>
              <w:rPr>
                <w:sz w:val="8"/>
                <w:szCs w:val="8"/>
                <w:color w:val="auto"/>
              </w:rPr>
            </w:pPr>
          </w:p>
        </w:tc>
        <w:tc>
          <w:tcPr>
            <w:tcW w:w="1240" w:type="dxa"/>
            <w:vAlign w:val="bottom"/>
            <w:tcBorders>
              <w:bottom w:val="single" w:sz="8" w:color="auto"/>
              <w:right w:val="single" w:sz="8" w:color="auto"/>
            </w:tcBorders>
            <w:shd w:val="clear" w:color="auto" w:fill="29D2C9"/>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4Q21</w:t>
            </w:r>
          </w:p>
        </w:tc>
        <w:tc>
          <w:tcPr>
            <w:tcW w:w="1300" w:type="dxa"/>
            <w:vAlign w:val="bottom"/>
          </w:tcPr>
          <w:p>
            <w:pPr>
              <w:jc w:val="center"/>
              <w:ind w:right="8"/>
              <w:spacing w:after="0"/>
              <w:rPr>
                <w:sz w:val="20"/>
                <w:szCs w:val="20"/>
                <w:color w:val="auto"/>
              </w:rPr>
            </w:pPr>
            <w:r>
              <w:rPr>
                <w:rFonts w:ascii="Arial" w:cs="Arial" w:eastAsia="Arial" w:hAnsi="Arial"/>
                <w:sz w:val="18"/>
                <w:szCs w:val="18"/>
                <w:color w:val="auto"/>
              </w:rPr>
              <w:t>47.4%</w:t>
            </w:r>
          </w:p>
        </w:tc>
        <w:tc>
          <w:tcPr>
            <w:tcW w:w="1140" w:type="dxa"/>
            <w:vAlign w:val="bottom"/>
          </w:tcPr>
          <w:p>
            <w:pPr>
              <w:jc w:val="center"/>
              <w:spacing w:after="0"/>
              <w:rPr>
                <w:sz w:val="20"/>
                <w:szCs w:val="20"/>
                <w:color w:val="auto"/>
              </w:rPr>
            </w:pPr>
            <w:r>
              <w:rPr>
                <w:rFonts w:ascii="Arial" w:cs="Arial" w:eastAsia="Arial" w:hAnsi="Arial"/>
                <w:sz w:val="18"/>
                <w:szCs w:val="18"/>
                <w:color w:val="auto"/>
              </w:rPr>
              <w:t>70.0%</w:t>
            </w:r>
          </w:p>
        </w:tc>
        <w:tc>
          <w:tcPr>
            <w:tcW w:w="1220" w:type="dxa"/>
            <w:vAlign w:val="bottom"/>
          </w:tcPr>
          <w:p>
            <w:pPr>
              <w:jc w:val="center"/>
              <w:spacing w:after="0"/>
              <w:rPr>
                <w:sz w:val="20"/>
                <w:szCs w:val="20"/>
                <w:color w:val="auto"/>
              </w:rPr>
            </w:pPr>
            <w:r>
              <w:rPr>
                <w:rFonts w:ascii="Arial" w:cs="Arial" w:eastAsia="Arial" w:hAnsi="Arial"/>
                <w:sz w:val="18"/>
                <w:szCs w:val="18"/>
                <w:color w:val="auto"/>
              </w:rPr>
              <w:t>55.6%</w:t>
            </w:r>
          </w:p>
        </w:tc>
        <w:tc>
          <w:tcPr>
            <w:tcW w:w="1280" w:type="dxa"/>
            <w:vAlign w:val="bottom"/>
          </w:tcPr>
          <w:p>
            <w:pPr>
              <w:jc w:val="center"/>
              <w:spacing w:after="0"/>
              <w:rPr>
                <w:sz w:val="20"/>
                <w:szCs w:val="20"/>
                <w:color w:val="auto"/>
              </w:rPr>
            </w:pPr>
            <w:r>
              <w:rPr>
                <w:rFonts w:ascii="Arial" w:cs="Arial" w:eastAsia="Arial" w:hAnsi="Arial"/>
                <w:sz w:val="18"/>
                <w:szCs w:val="18"/>
                <w:color w:val="auto"/>
              </w:rPr>
              <w:t>67.1%</w:t>
            </w:r>
          </w:p>
        </w:tc>
        <w:tc>
          <w:tcPr>
            <w:tcW w:w="1140" w:type="dxa"/>
            <w:vAlign w:val="bottom"/>
          </w:tcPr>
          <w:p>
            <w:pPr>
              <w:jc w:val="center"/>
              <w:spacing w:after="0"/>
              <w:rPr>
                <w:sz w:val="20"/>
                <w:szCs w:val="20"/>
                <w:color w:val="auto"/>
              </w:rPr>
            </w:pPr>
            <w:r>
              <w:rPr>
                <w:rFonts w:ascii="Arial" w:cs="Arial" w:eastAsia="Arial" w:hAnsi="Arial"/>
                <w:sz w:val="18"/>
                <w:szCs w:val="18"/>
                <w:color w:val="auto"/>
              </w:rPr>
              <w:t>35.2%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61.2%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52"/>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3Q22</w:t>
            </w:r>
          </w:p>
        </w:tc>
        <w:tc>
          <w:tcPr>
            <w:tcW w:w="1300" w:type="dxa"/>
            <w:vAlign w:val="bottom"/>
          </w:tcPr>
          <w:p>
            <w:pPr>
              <w:jc w:val="center"/>
              <w:ind w:right="8"/>
              <w:spacing w:after="0"/>
              <w:rPr>
                <w:sz w:val="20"/>
                <w:szCs w:val="20"/>
                <w:color w:val="auto"/>
              </w:rPr>
            </w:pPr>
            <w:r>
              <w:rPr>
                <w:rFonts w:ascii="Arial" w:cs="Arial" w:eastAsia="Arial" w:hAnsi="Arial"/>
                <w:sz w:val="18"/>
                <w:szCs w:val="18"/>
                <w:color w:val="auto"/>
              </w:rPr>
              <w:t>38.8%</w:t>
            </w:r>
          </w:p>
        </w:tc>
        <w:tc>
          <w:tcPr>
            <w:tcW w:w="1140" w:type="dxa"/>
            <w:vAlign w:val="bottom"/>
          </w:tcPr>
          <w:p>
            <w:pPr>
              <w:jc w:val="center"/>
              <w:spacing w:after="0"/>
              <w:rPr>
                <w:sz w:val="20"/>
                <w:szCs w:val="20"/>
                <w:color w:val="auto"/>
              </w:rPr>
            </w:pPr>
            <w:r>
              <w:rPr>
                <w:rFonts w:ascii="Arial" w:cs="Arial" w:eastAsia="Arial" w:hAnsi="Arial"/>
                <w:sz w:val="18"/>
                <w:szCs w:val="18"/>
                <w:color w:val="auto"/>
              </w:rPr>
              <w:t>61.3%</w:t>
            </w:r>
          </w:p>
        </w:tc>
        <w:tc>
          <w:tcPr>
            <w:tcW w:w="1220" w:type="dxa"/>
            <w:vAlign w:val="bottom"/>
          </w:tcPr>
          <w:p>
            <w:pPr>
              <w:jc w:val="center"/>
              <w:spacing w:after="0"/>
              <w:rPr>
                <w:sz w:val="20"/>
                <w:szCs w:val="20"/>
                <w:color w:val="auto"/>
              </w:rPr>
            </w:pPr>
            <w:r>
              <w:rPr>
                <w:rFonts w:ascii="Arial" w:cs="Arial" w:eastAsia="Arial" w:hAnsi="Arial"/>
                <w:sz w:val="18"/>
                <w:szCs w:val="18"/>
                <w:color w:val="auto"/>
              </w:rPr>
              <w:t>49.6%</w:t>
            </w:r>
          </w:p>
        </w:tc>
        <w:tc>
          <w:tcPr>
            <w:tcW w:w="1280" w:type="dxa"/>
            <w:vAlign w:val="bottom"/>
          </w:tcPr>
          <w:p>
            <w:pPr>
              <w:jc w:val="center"/>
              <w:spacing w:after="0"/>
              <w:rPr>
                <w:sz w:val="20"/>
                <w:szCs w:val="20"/>
                <w:color w:val="auto"/>
              </w:rPr>
            </w:pPr>
            <w:r>
              <w:rPr>
                <w:rFonts w:ascii="Arial" w:cs="Arial" w:eastAsia="Arial" w:hAnsi="Arial"/>
                <w:sz w:val="18"/>
                <w:szCs w:val="18"/>
                <w:color w:val="auto"/>
              </w:rPr>
              <w:t>80.6%</w:t>
            </w:r>
          </w:p>
        </w:tc>
        <w:tc>
          <w:tcPr>
            <w:tcW w:w="1140" w:type="dxa"/>
            <w:vAlign w:val="bottom"/>
          </w:tcPr>
          <w:p>
            <w:pPr>
              <w:jc w:val="center"/>
              <w:spacing w:after="0"/>
              <w:rPr>
                <w:sz w:val="20"/>
                <w:szCs w:val="20"/>
                <w:color w:val="auto"/>
              </w:rPr>
            </w:pPr>
            <w:r>
              <w:rPr>
                <w:rFonts w:ascii="Arial" w:cs="Arial" w:eastAsia="Arial" w:hAnsi="Arial"/>
                <w:sz w:val="18"/>
                <w:szCs w:val="18"/>
                <w:color w:val="auto"/>
              </w:rPr>
              <w:t>33.8%</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50.2%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8"/>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4Q22</w:t>
            </w:r>
          </w:p>
        </w:tc>
        <w:tc>
          <w:tcPr>
            <w:tcW w:w="1300" w:type="dxa"/>
            <w:vAlign w:val="bottom"/>
            <w:tcBorders>
              <w:bottom w:val="single" w:sz="8" w:color="auto"/>
            </w:tcBorders>
          </w:tcPr>
          <w:p>
            <w:pPr>
              <w:jc w:val="center"/>
              <w:ind w:right="8"/>
              <w:spacing w:after="0"/>
              <w:rPr>
                <w:sz w:val="20"/>
                <w:szCs w:val="20"/>
                <w:color w:val="auto"/>
              </w:rPr>
            </w:pPr>
            <w:r>
              <w:rPr>
                <w:rFonts w:ascii="Arial" w:cs="Arial" w:eastAsia="Arial" w:hAnsi="Arial"/>
                <w:sz w:val="18"/>
                <w:szCs w:val="18"/>
                <w:color w:val="auto"/>
              </w:rPr>
              <w:t>41.9%</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64.5%</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52.3%</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93.3%</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36.7%</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46.1%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Var. QoQ</w:t>
            </w:r>
          </w:p>
        </w:tc>
        <w:tc>
          <w:tcPr>
            <w:tcW w:w="1300" w:type="dxa"/>
            <w:vAlign w:val="bottom"/>
            <w:tcBorders>
              <w:bottom w:val="single" w:sz="8" w:color="auto"/>
            </w:tcBorders>
          </w:tcPr>
          <w:p>
            <w:pPr>
              <w:jc w:val="center"/>
              <w:ind w:right="8"/>
              <w:spacing w:after="0"/>
              <w:rPr>
                <w:sz w:val="20"/>
                <w:szCs w:val="20"/>
                <w:color w:val="auto"/>
              </w:rPr>
            </w:pPr>
            <w:r>
              <w:rPr>
                <w:rFonts w:ascii="Arial" w:cs="Arial" w:eastAsia="Arial" w:hAnsi="Arial"/>
                <w:sz w:val="18"/>
                <w:szCs w:val="18"/>
                <w:b w:val="1"/>
                <w:bCs w:val="1"/>
                <w:color w:val="auto"/>
              </w:rPr>
              <w:t>310 bps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320 bps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270 bps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1270 bps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290 bps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-410 bps</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320 bps</w:t>
            </w: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Var. YoY</w:t>
            </w:r>
          </w:p>
        </w:tc>
        <w:tc>
          <w:tcPr>
            <w:tcW w:w="1300" w:type="dxa"/>
            <w:vAlign w:val="bottom"/>
            <w:tcBorders>
              <w:bottom w:val="single" w:sz="8" w:color="auto"/>
            </w:tcBorders>
          </w:tcPr>
          <w:p>
            <w:pPr>
              <w:jc w:val="center"/>
              <w:ind w:right="8"/>
              <w:spacing w:after="0"/>
              <w:rPr>
                <w:sz w:val="20"/>
                <w:szCs w:val="20"/>
                <w:color w:val="auto"/>
              </w:rPr>
            </w:pPr>
            <w:r>
              <w:rPr>
                <w:rFonts w:ascii="Arial" w:cs="Arial" w:eastAsia="Arial" w:hAnsi="Arial"/>
                <w:sz w:val="18"/>
                <w:szCs w:val="18"/>
                <w:b w:val="1"/>
                <w:bCs w:val="1"/>
                <w:color w:val="auto"/>
              </w:rPr>
              <w:t>-550 bps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-550 bps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-330 bps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2620 bps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150 bps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-1510 bps</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-340 bps</w:t>
            </w:r>
          </w:p>
        </w:tc>
        <w:tc>
          <w:tcPr>
            <w:tcW w:w="0" w:type="dxa"/>
            <w:vAlign w:val="bottom"/>
          </w:tcPr>
          <w:p>
            <w:pPr>
              <w:spacing w:after="0"/>
              <w:rPr>
                <w:sz w:val="1"/>
                <w:szCs w:val="1"/>
                <w:color w:val="auto"/>
              </w:rPr>
            </w:pPr>
          </w:p>
        </w:tc>
      </w:tr>
      <w:tr>
        <w:trPr>
          <w:trHeight w:val="194"/>
        </w:trPr>
        <w:tc>
          <w:tcPr>
            <w:tcW w:w="17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300" w:type="dxa"/>
            <w:vAlign w:val="bottom"/>
          </w:tcPr>
          <w:p>
            <w:pPr>
              <w:jc w:val="center"/>
              <w:ind w:right="8"/>
              <w:spacing w:after="0"/>
              <w:rPr>
                <w:sz w:val="20"/>
                <w:szCs w:val="20"/>
                <w:color w:val="auto"/>
              </w:rPr>
            </w:pPr>
            <w:r>
              <w:rPr>
                <w:rFonts w:ascii="Arial" w:cs="Arial" w:eastAsia="Arial" w:hAnsi="Arial"/>
                <w:sz w:val="18"/>
                <w:szCs w:val="18"/>
                <w:color w:val="auto"/>
              </w:rPr>
              <w:t>43.4%</w:t>
            </w:r>
          </w:p>
        </w:tc>
        <w:tc>
          <w:tcPr>
            <w:tcW w:w="1140" w:type="dxa"/>
            <w:vAlign w:val="bottom"/>
          </w:tcPr>
          <w:p>
            <w:pPr>
              <w:jc w:val="center"/>
              <w:spacing w:after="0"/>
              <w:rPr>
                <w:sz w:val="20"/>
                <w:szCs w:val="20"/>
                <w:color w:val="auto"/>
              </w:rPr>
            </w:pPr>
            <w:r>
              <w:rPr>
                <w:rFonts w:ascii="Arial" w:cs="Arial" w:eastAsia="Arial" w:hAnsi="Arial"/>
                <w:sz w:val="18"/>
                <w:szCs w:val="18"/>
                <w:color w:val="auto"/>
              </w:rPr>
              <w:t>60.3%</w:t>
            </w:r>
          </w:p>
        </w:tc>
        <w:tc>
          <w:tcPr>
            <w:tcW w:w="1220" w:type="dxa"/>
            <w:vAlign w:val="bottom"/>
          </w:tcPr>
          <w:p>
            <w:pPr>
              <w:jc w:val="center"/>
              <w:spacing w:after="0"/>
              <w:rPr>
                <w:sz w:val="20"/>
                <w:szCs w:val="20"/>
                <w:color w:val="auto"/>
              </w:rPr>
            </w:pPr>
            <w:r>
              <w:rPr>
                <w:rFonts w:ascii="Arial" w:cs="Arial" w:eastAsia="Arial" w:hAnsi="Arial"/>
                <w:sz w:val="18"/>
                <w:szCs w:val="18"/>
                <w:color w:val="auto"/>
              </w:rPr>
              <w:t>55.4%</w:t>
            </w:r>
          </w:p>
        </w:tc>
        <w:tc>
          <w:tcPr>
            <w:tcW w:w="1280" w:type="dxa"/>
            <w:vAlign w:val="bottom"/>
          </w:tcPr>
          <w:p>
            <w:pPr>
              <w:jc w:val="center"/>
              <w:spacing w:after="0"/>
              <w:rPr>
                <w:sz w:val="20"/>
                <w:szCs w:val="20"/>
                <w:color w:val="auto"/>
              </w:rPr>
            </w:pPr>
            <w:r>
              <w:rPr>
                <w:rFonts w:ascii="Arial" w:cs="Arial" w:eastAsia="Arial" w:hAnsi="Arial"/>
                <w:sz w:val="18"/>
                <w:szCs w:val="18"/>
                <w:color w:val="auto"/>
              </w:rPr>
              <w:t>76.2%</w:t>
            </w:r>
          </w:p>
        </w:tc>
        <w:tc>
          <w:tcPr>
            <w:tcW w:w="1140" w:type="dxa"/>
            <w:vAlign w:val="bottom"/>
          </w:tcPr>
          <w:p>
            <w:pPr>
              <w:jc w:val="center"/>
              <w:spacing w:after="0"/>
              <w:rPr>
                <w:sz w:val="20"/>
                <w:szCs w:val="20"/>
                <w:color w:val="auto"/>
              </w:rPr>
            </w:pPr>
            <w:r>
              <w:rPr>
                <w:rFonts w:ascii="Arial" w:cs="Arial" w:eastAsia="Arial" w:hAnsi="Arial"/>
                <w:sz w:val="18"/>
                <w:szCs w:val="18"/>
                <w:color w:val="auto"/>
              </w:rPr>
              <w:t>35.4%</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50.7%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8"/>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2022</w:t>
            </w:r>
          </w:p>
        </w:tc>
        <w:tc>
          <w:tcPr>
            <w:tcW w:w="1300" w:type="dxa"/>
            <w:vAlign w:val="bottom"/>
            <w:tcBorders>
              <w:bottom w:val="single" w:sz="8" w:color="auto"/>
            </w:tcBorders>
          </w:tcPr>
          <w:p>
            <w:pPr>
              <w:jc w:val="center"/>
              <w:ind w:right="8"/>
              <w:spacing w:after="0"/>
              <w:rPr>
                <w:sz w:val="20"/>
                <w:szCs w:val="20"/>
                <w:color w:val="auto"/>
              </w:rPr>
            </w:pPr>
            <w:r>
              <w:rPr>
                <w:rFonts w:ascii="Arial" w:cs="Arial" w:eastAsia="Arial" w:hAnsi="Arial"/>
                <w:sz w:val="18"/>
                <w:szCs w:val="18"/>
                <w:color w:val="auto"/>
              </w:rPr>
              <w:t>40.7%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60.9%</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51.3%</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81.8%</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35.3%</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51.0%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198"/>
        </w:trPr>
        <w:tc>
          <w:tcPr>
            <w:tcW w:w="170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 change</w:t>
            </w:r>
          </w:p>
        </w:tc>
        <w:tc>
          <w:tcPr>
            <w:tcW w:w="1300" w:type="dxa"/>
            <w:vAlign w:val="bottom"/>
            <w:vMerge w:val="restart"/>
          </w:tcPr>
          <w:p>
            <w:pPr>
              <w:jc w:val="center"/>
              <w:ind w:right="8"/>
              <w:spacing w:after="0"/>
              <w:rPr>
                <w:sz w:val="20"/>
                <w:szCs w:val="20"/>
                <w:color w:val="auto"/>
              </w:rPr>
            </w:pPr>
            <w:r>
              <w:rPr>
                <w:rFonts w:ascii="Arial" w:cs="Arial" w:eastAsia="Arial" w:hAnsi="Arial"/>
                <w:sz w:val="18"/>
                <w:szCs w:val="18"/>
                <w:b w:val="1"/>
                <w:bCs w:val="1"/>
                <w:color w:val="auto"/>
              </w:rPr>
              <w:t>-270 bps</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60 bps</w:t>
            </w: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-410 bps</w:t>
            </w: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560 bps</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-10 bps</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30 bps</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-150 bps</w:t>
            </w:r>
          </w:p>
        </w:tc>
        <w:tc>
          <w:tcPr>
            <w:tcW w:w="0" w:type="dxa"/>
            <w:vAlign w:val="bottom"/>
          </w:tcPr>
          <w:p>
            <w:pPr>
              <w:spacing w:after="0"/>
              <w:rPr>
                <w:sz w:val="1"/>
                <w:szCs w:val="1"/>
                <w:color w:val="auto"/>
              </w:rPr>
            </w:pPr>
          </w:p>
        </w:tc>
      </w:tr>
      <w:tr>
        <w:trPr>
          <w:trHeight w:val="152"/>
        </w:trPr>
        <w:tc>
          <w:tcPr>
            <w:tcW w:w="1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2022 / 2021</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32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7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To analyze expenses, we use FY movements to eliminate the impact of seasonality between quarters and YoY movements.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FY, </w:t>
      </w:r>
      <w:r>
        <w:rPr>
          <w:rFonts w:ascii="Arial" w:cs="Arial" w:eastAsia="Arial" w:hAnsi="Arial"/>
          <w:sz w:val="17"/>
          <w:szCs w:val="17"/>
          <w:color w:val="auto"/>
        </w:rPr>
        <w:t>the efficiency ratio improved, driven primarily by an uptick in core income at</w:t>
      </w:r>
      <w:r>
        <w:rPr>
          <w:rFonts w:ascii="Arial" w:cs="Arial" w:eastAsia="Arial" w:hAnsi="Arial"/>
          <w:sz w:val="17"/>
          <w:szCs w:val="17"/>
          <w:b w:val="1"/>
          <w:bCs w:val="1"/>
          <w:color w:val="auto"/>
        </w:rPr>
        <w:t xml:space="preserve"> BCP Individual </w:t>
      </w:r>
      <w:r>
        <w:rPr>
          <w:rFonts w:ascii="Arial" w:cs="Arial" w:eastAsia="Arial" w:hAnsi="Arial"/>
          <w:sz w:val="17"/>
          <w:szCs w:val="17"/>
          <w:color w:val="auto"/>
        </w:rPr>
        <w:t>and</w:t>
      </w:r>
      <w:r>
        <w:rPr>
          <w:rFonts w:ascii="Arial" w:cs="Arial" w:eastAsia="Arial" w:hAnsi="Arial"/>
          <w:sz w:val="17"/>
          <w:szCs w:val="17"/>
          <w:b w:val="1"/>
          <w:bCs w:val="1"/>
          <w:color w:val="auto"/>
        </w:rPr>
        <w:t xml:space="preserve"> Mibanco</w:t>
      </w:r>
      <w:r>
        <w:rPr>
          <w:rFonts w:ascii="Arial" w:cs="Arial" w:eastAsia="Arial" w:hAnsi="Arial"/>
          <w:sz w:val="17"/>
          <w:szCs w:val="17"/>
          <w:color w:val="auto"/>
        </w:rPr>
        <w:t>. Within core income, growth was highest</w:t>
      </w:r>
      <w:r>
        <w:rPr>
          <w:rFonts w:ascii="Arial" w:cs="Arial" w:eastAsia="Arial" w:hAnsi="Arial"/>
          <w:sz w:val="17"/>
          <w:szCs w:val="17"/>
          <w:b w:val="1"/>
          <w:bCs w:val="1"/>
          <w:color w:val="auto"/>
        </w:rPr>
        <w:t xml:space="preserve"> </w:t>
      </w:r>
      <w:r>
        <w:rPr>
          <w:rFonts w:ascii="Arial" w:cs="Arial" w:eastAsia="Arial" w:hAnsi="Arial"/>
          <w:sz w:val="17"/>
          <w:szCs w:val="17"/>
          <w:color w:val="auto"/>
        </w:rPr>
        <w:t>for net interest income. This increase was fueled by an upturn in market rates and in the loan volume. Expansion in core income offset the increase registered for expenses.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If we exclude expenses related to internal disruptive initiatives (Yape) and our Corporate Venture Capital Center (Krealo) from calculation in 2022 and 2021, the efficiency ratio stands at 41.6%, which represents an improvement of 263 bps FY.</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0" w:name="page41"/>
    <w:bookmarkEnd w:id="40"/>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88900</wp:posOffset>
            </wp:positionV>
            <wp:extent cx="7141845" cy="535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9"/>
          <w:szCs w:val="49"/>
          <w:b w:val="1"/>
          <w:bCs w:val="1"/>
          <w:color w:val="E93CAC"/>
        </w:rPr>
        <w:t xml:space="preserve">10  </w:t>
      </w:r>
      <w:r>
        <w:rPr>
          <w:rFonts w:ascii="Arial" w:cs="Arial" w:eastAsia="Arial" w:hAnsi="Arial"/>
          <w:sz w:val="30"/>
          <w:szCs w:val="30"/>
          <w:color w:val="E93C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141845" cy="926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1845" cy="926465"/>
                    </a:xfrm>
                    <a:prstGeom prst="rect">
                      <a:avLst/>
                    </a:prstGeom>
                    <a:noFill/>
                  </pic:spPr>
                </pic:pic>
              </a:graphicData>
            </a:graphic>
          </wp:anchor>
        </w:drawing>
      </w:r>
    </w:p>
    <w:p>
      <w:pPr>
        <w:spacing w:after="0" w:line="355" w:lineRule="exact"/>
        <w:rPr>
          <w:sz w:val="20"/>
          <w:szCs w:val="20"/>
          <w:color w:val="auto"/>
        </w:rPr>
      </w:pPr>
    </w:p>
    <w:p>
      <w:pPr>
        <w:ind w:left="160"/>
        <w:spacing w:after="0"/>
        <w:rPr>
          <w:sz w:val="20"/>
          <w:szCs w:val="20"/>
          <w:color w:val="auto"/>
        </w:rPr>
      </w:pPr>
      <w:r>
        <w:rPr>
          <w:rFonts w:ascii="Arial" w:cs="Arial" w:eastAsia="Arial" w:hAnsi="Arial"/>
          <w:sz w:val="17"/>
          <w:szCs w:val="17"/>
          <w:color w:val="FFFFFF"/>
        </w:rPr>
        <w:t>Credicorp’s ReguIatory CapitaI Ratio stood 1.34 times above the IeveI required by the reguIator.</w:t>
      </w:r>
    </w:p>
    <w:p>
      <w:pPr>
        <w:spacing w:after="0" w:line="182" w:lineRule="exact"/>
        <w:rPr>
          <w:sz w:val="20"/>
          <w:szCs w:val="20"/>
          <w:color w:val="auto"/>
        </w:rPr>
      </w:pPr>
    </w:p>
    <w:p>
      <w:pPr>
        <w:ind w:left="160" w:right="160"/>
        <w:spacing w:after="0" w:line="263" w:lineRule="auto"/>
        <w:rPr>
          <w:sz w:val="20"/>
          <w:szCs w:val="20"/>
          <w:color w:val="auto"/>
        </w:rPr>
      </w:pPr>
      <w:r>
        <w:rPr>
          <w:rFonts w:ascii="Arial" w:cs="Arial" w:eastAsia="Arial" w:hAnsi="Arial"/>
          <w:sz w:val="17"/>
          <w:szCs w:val="17"/>
          <w:color w:val="FFFFFF"/>
        </w:rPr>
        <w:t>BCP Stand- aIone’s CET Ratio in creased 67 bps QoQ to stand at 12.6%. Growth in capital and reserves (+5.2%), coupled with an uptick FY results (+45.2%), offset growth in RWAs (+5.3%).</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7"/>
          <w:szCs w:val="17"/>
          <w:color w:val="FFFFFF"/>
        </w:rPr>
        <w:t>The CET1 Ratio at ratio at Mibanco increased 122 bps YoY to stand at 16.5%. An improvement in FY results offset growth in RWAs (+10.9%).</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 Credicorp’s Regulatory Capital</w:t>
      </w:r>
    </w:p>
    <w:p>
      <w:pPr>
        <w:spacing w:after="0" w:line="182" w:lineRule="exact"/>
        <w:rPr>
          <w:sz w:val="20"/>
          <w:szCs w:val="20"/>
          <w:color w:val="auto"/>
        </w:rPr>
      </w:pPr>
    </w:p>
    <w:p>
      <w:pPr>
        <w:jc w:val="both"/>
        <w:ind w:right="5840"/>
        <w:spacing w:after="0" w:line="234" w:lineRule="auto"/>
        <w:rPr>
          <w:sz w:val="20"/>
          <w:szCs w:val="20"/>
          <w:color w:val="auto"/>
        </w:rPr>
      </w:pPr>
      <w:r>
        <w:rPr>
          <w:rFonts w:ascii="Arial" w:cs="Arial" w:eastAsia="Arial" w:hAnsi="Arial"/>
          <w:sz w:val="17"/>
          <w:szCs w:val="17"/>
          <w:color w:val="auto"/>
        </w:rPr>
        <w:t>Credicrop’s regulatory capital ratio stood 1.34 times above the level required by the regulator at the end of 4Q22. In the QoQ analysis, the ratio fell 11 bps due to 6.9% growth in capital requirements, which was associated with an uptick in loans at BCP Stand-alone and Mibanco. The ratio’s evolution this quarter was driven by (i) a drop in the subordinated debt level (associated with the exchange rate effect)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-715010</wp:posOffset>
            </wp:positionV>
            <wp:extent cx="3195320" cy="20370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95320" cy="2037080"/>
                    </a:xfrm>
                    <a:prstGeom prst="rect">
                      <a:avLst/>
                    </a:prstGeom>
                    <a:noFill/>
                  </pic:spPr>
                </pic:pic>
              </a:graphicData>
            </a:graphic>
          </wp:anchor>
        </w:drawing>
      </w:r>
    </w:p>
    <w:p>
      <w:pPr>
        <w:ind w:right="5860" w:firstLine="1"/>
        <w:spacing w:after="0" w:line="244" w:lineRule="auto"/>
        <w:tabs>
          <w:tab w:leader="none" w:pos="239"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decrease in minority interests that are eligible for use as regulatory capital.</w:t>
      </w:r>
    </w:p>
    <w:p>
      <w:pPr>
        <w:spacing w:after="0" w:line="153" w:lineRule="exact"/>
        <w:rPr>
          <w:sz w:val="20"/>
          <w:szCs w:val="20"/>
          <w:color w:val="auto"/>
        </w:rPr>
      </w:pPr>
    </w:p>
    <w:p>
      <w:pPr>
        <w:jc w:val="both"/>
        <w:ind w:right="5840"/>
        <w:spacing w:after="0" w:line="237" w:lineRule="auto"/>
        <w:rPr>
          <w:sz w:val="20"/>
          <w:szCs w:val="20"/>
          <w:color w:val="auto"/>
        </w:rPr>
      </w:pPr>
      <w:r>
        <w:rPr>
          <w:rFonts w:ascii="Arial" w:cs="Arial" w:eastAsia="Arial" w:hAnsi="Arial"/>
          <w:sz w:val="17"/>
          <w:szCs w:val="17"/>
          <w:color w:val="auto"/>
        </w:rPr>
        <w:t>In the YoY analysis, the Regulatory Capital ratio fell 19 bps due to a 21.3% increase in capital requirements, which was associated with loan growth at BCP Stand-alone and Mibanco. This evolution was partially offset by (i) growth in discretionary and restricted reserves, which was attributable to partial capitalization of earnings in 2021 and, (ii) growth in the provisions eligible for use as regulatory capital, which reflected an uptick in loan growth.</w:t>
      </w:r>
    </w:p>
    <w:p>
      <w:pPr>
        <w:spacing w:after="0" w:line="394"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Figures in millions 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10.2 BCP Stand-alones’ Regulatory Capital</w:t>
      </w:r>
    </w:p>
    <w:p>
      <w:pPr>
        <w:spacing w:after="0" w:line="182" w:lineRule="exact"/>
        <w:rPr>
          <w:sz w:val="20"/>
          <w:szCs w:val="20"/>
          <w:color w:val="auto"/>
        </w:rPr>
      </w:pPr>
    </w:p>
    <w:p>
      <w:pPr>
        <w:jc w:val="both"/>
        <w:ind w:left="5840"/>
        <w:spacing w:after="0" w:line="236" w:lineRule="auto"/>
        <w:rPr>
          <w:sz w:val="20"/>
          <w:szCs w:val="20"/>
          <w:color w:val="auto"/>
        </w:rPr>
      </w:pPr>
      <w:r>
        <w:rPr>
          <w:rFonts w:ascii="Arial" w:cs="Arial" w:eastAsia="Arial" w:hAnsi="Arial"/>
          <w:sz w:val="17"/>
          <w:szCs w:val="17"/>
          <w:color w:val="auto"/>
        </w:rPr>
        <w:t>At the end of 4Q22, the Tier 1 and Global Capital Ratios at BCP Stand-alone stood at 10.0% (+8bps QoQ) and 14.4% (-50bps QoQ), respectively. This slight increase in the Tier 1 ratio was driven primarily by a drop in the volume of risk-weighted assets (RWAs). The decrease in the Global Capital Ratio was mainly associated with a drop in legal reserves, which was spurred by a declaration of extraordinary dividends in 3Q22. In the YoY analysis these ratios followed the same trajectories as those seen QoQ, and registered variations of +8 bps and -51 bps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478155</wp:posOffset>
            </wp:positionV>
            <wp:extent cx="6646545" cy="128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46545" cy="128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-1087120</wp:posOffset>
            </wp:positionV>
            <wp:extent cx="2955925" cy="127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55925" cy="127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41" w:name="page42"/>
    <w:bookmarkEnd w:id="41"/>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10. Regulatory Capital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Ratio Common Equity Tier 1 Ratio IFRS – BCP Stand-alone</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Theo Common Equity Tier 1 Ratio (CET 1) at BCP, which is calculated according to IFRS accounting, reported growth of 76 bps QoQ and stood at 12.59% at the end of 4Q22. This evolution was attributable to an uptick in FY Results (+25.4%) and by a decrease in the RWA volume (-1.5%), which reflected a drop in loan volumes. Finally, in the YoY analysis, the CET 1 Ratio increased 67 bps (which outpaced the 5.35 increase registered for RWAs), driven by (i) growth in Retained Earnings (+45.2%), which was associated with earnings generations in 2022 and (ii) Capital and Reserves (+5.2%), which reflected partial capitalization of results in 2021.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10.3 Mibanco’s Regulatory Capital</w:t>
      </w:r>
    </w:p>
    <w:p>
      <w:pPr>
        <w:spacing w:after="0" w:line="182" w:lineRule="exact"/>
        <w:rPr>
          <w:sz w:val="20"/>
          <w:szCs w:val="20"/>
          <w:color w:val="auto"/>
        </w:rPr>
      </w:pPr>
    </w:p>
    <w:p>
      <w:pPr>
        <w:jc w:val="both"/>
        <w:ind w:left="5840"/>
        <w:spacing w:after="0" w:line="242" w:lineRule="auto"/>
        <w:rPr>
          <w:sz w:val="20"/>
          <w:szCs w:val="20"/>
          <w:color w:val="auto"/>
        </w:rPr>
      </w:pPr>
      <w:r>
        <w:rPr>
          <w:rFonts w:ascii="Arial" w:cs="Arial" w:eastAsia="Arial" w:hAnsi="Arial"/>
          <w:sz w:val="17"/>
          <w:szCs w:val="17"/>
          <w:color w:val="auto"/>
        </w:rPr>
        <w:t>At the end of 4Q22, the Tier 1 and Global Capital Ratios at Mibanco stood at 12.4% (+2bps QoQ) and 14.7% (+8bps QoQ) respectively. These variations respond to a 1.2% decrease in risk-weighted assets (RWAs), which was attributable to a drop in the loan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-489585</wp:posOffset>
            </wp:positionV>
            <wp:extent cx="2715895" cy="14700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15895" cy="1470025"/>
                    </a:xfrm>
                    <a:prstGeom prst="rect">
                      <a:avLst/>
                    </a:prstGeom>
                    <a:noFill/>
                  </pic:spPr>
                </pic:pic>
              </a:graphicData>
            </a:graphic>
          </wp:anchor>
        </w:drawing>
      </w:r>
    </w:p>
    <w:p>
      <w:pPr>
        <w:spacing w:after="0" w:line="135" w:lineRule="exact"/>
        <w:rPr>
          <w:sz w:val="20"/>
          <w:szCs w:val="20"/>
          <w:color w:val="auto"/>
        </w:rPr>
      </w:pPr>
    </w:p>
    <w:p>
      <w:pPr>
        <w:jc w:val="both"/>
        <w:ind w:left="5840"/>
        <w:spacing w:after="0" w:line="242" w:lineRule="auto"/>
        <w:rPr>
          <w:sz w:val="20"/>
          <w:szCs w:val="20"/>
          <w:color w:val="auto"/>
        </w:rPr>
      </w:pPr>
      <w:r>
        <w:rPr>
          <w:rFonts w:ascii="Arial" w:cs="Arial" w:eastAsia="Arial" w:hAnsi="Arial"/>
          <w:sz w:val="17"/>
          <w:szCs w:val="17"/>
          <w:color w:val="auto"/>
        </w:rPr>
        <w:t>The YoY evolution shows that the Tier 1 and Global Capital Ratios fell 158 bps and 171 bps respectively. Both variations were attributable to growth of 12.8% in RWAs, which was in turn associated with loan growth.</w:t>
      </w:r>
    </w:p>
    <w:p>
      <w:pPr>
        <w:spacing w:after="0" w:line="155" w:lineRule="exact"/>
        <w:rPr>
          <w:sz w:val="20"/>
          <w:szCs w:val="20"/>
          <w:color w:val="auto"/>
        </w:rPr>
      </w:pPr>
    </w:p>
    <w:p>
      <w:pPr>
        <w:jc w:val="both"/>
        <w:ind w:left="5840"/>
        <w:spacing w:after="0" w:line="262" w:lineRule="auto"/>
        <w:rPr>
          <w:sz w:val="20"/>
          <w:szCs w:val="20"/>
          <w:color w:val="auto"/>
        </w:rPr>
      </w:pPr>
      <w:r>
        <w:rPr>
          <w:rFonts w:ascii="Arial" w:cs="Arial" w:eastAsia="Arial" w:hAnsi="Arial"/>
          <w:sz w:val="16"/>
          <w:szCs w:val="16"/>
          <w:color w:val="auto"/>
        </w:rPr>
        <w:t>Finally, the CET 1 ratio, calculated according to IFRS, reported growth of 46 bps QoQ and 122 bps YoY. The increase in the Common Equity Tier 1 Ratio (+19.8% YoY) completely offset growth in RWAs (+10.9% YoY), which was primarily attributable to an uptick in RWAs for credit risk.</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42" w:name="page43"/>
    <w:bookmarkEnd w:id="42"/>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328295</wp:posOffset>
            </wp:positionV>
            <wp:extent cx="7141845" cy="535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49"/>
          <w:szCs w:val="49"/>
          <w:b w:val="1"/>
          <w:bCs w:val="1"/>
          <w:color w:val="E93CAC"/>
        </w:rPr>
        <w:t xml:space="preserve">11 </w:t>
      </w:r>
      <w:r>
        <w:rPr>
          <w:rFonts w:ascii="Arial" w:cs="Arial" w:eastAsia="Arial" w:hAnsi="Arial"/>
          <w:sz w:val="30"/>
          <w:szCs w:val="30"/>
          <w:color w:val="E93C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141845" cy="1198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1845" cy="1198245"/>
                    </a:xfrm>
                    <a:prstGeom prst="rect">
                      <a:avLst/>
                    </a:prstGeom>
                    <a:noFill/>
                  </pic:spPr>
                </pic:pic>
              </a:graphicData>
            </a:graphic>
          </wp:anchor>
        </w:drawing>
      </w:r>
    </w:p>
    <w:p>
      <w:pPr>
        <w:spacing w:after="0" w:line="381" w:lineRule="exact"/>
        <w:rPr>
          <w:sz w:val="20"/>
          <w:szCs w:val="20"/>
          <w:color w:val="auto"/>
        </w:rPr>
      </w:pPr>
    </w:p>
    <w:p>
      <w:pPr>
        <w:ind w:left="180" w:right="180"/>
        <w:spacing w:after="0" w:line="263" w:lineRule="auto"/>
        <w:rPr>
          <w:sz w:val="20"/>
          <w:szCs w:val="20"/>
          <w:color w:val="auto"/>
        </w:rPr>
      </w:pPr>
      <w:r>
        <w:rPr>
          <w:rFonts w:ascii="Arial" w:cs="Arial" w:eastAsia="Arial" w:hAnsi="Arial"/>
          <w:sz w:val="17"/>
          <w:szCs w:val="17"/>
          <w:color w:val="FFFFFF"/>
        </w:rPr>
        <w:t>Estimates indicate that the Peruvian economy grew around 1.6% YoY in 4Q22, driven primarily by the mining sector. This was partially offset by the slowdown in non-primary activities due to less dynamism in private consumption and lower levels of private investment.</w:t>
      </w:r>
    </w:p>
    <w:p>
      <w:pPr>
        <w:spacing w:after="0" w:line="138" w:lineRule="exact"/>
        <w:rPr>
          <w:sz w:val="20"/>
          <w:szCs w:val="20"/>
          <w:color w:val="auto"/>
        </w:rPr>
      </w:pPr>
    </w:p>
    <w:p>
      <w:pPr>
        <w:ind w:left="180" w:right="200"/>
        <w:spacing w:after="0" w:line="263" w:lineRule="auto"/>
        <w:rPr>
          <w:sz w:val="20"/>
          <w:szCs w:val="20"/>
          <w:color w:val="auto"/>
        </w:rPr>
      </w:pPr>
      <w:r>
        <w:rPr>
          <w:rFonts w:ascii="Arial" w:cs="Arial" w:eastAsia="Arial" w:hAnsi="Arial"/>
          <w:sz w:val="17"/>
          <w:szCs w:val="17"/>
          <w:color w:val="FFFFFF"/>
        </w:rPr>
        <w:t>The annual Inflation rate closed the year at 8.5% YoY, after having reached a peak of 8.8% in 2Q22. On the other hand, it is estimated that real GDP will grow 2.0% this year.</w:t>
      </w:r>
    </w:p>
    <w:p>
      <w:pPr>
        <w:spacing w:after="0" w:line="138" w:lineRule="exact"/>
        <w:rPr>
          <w:sz w:val="20"/>
          <w:szCs w:val="20"/>
          <w:color w:val="auto"/>
        </w:rPr>
      </w:pPr>
    </w:p>
    <w:p>
      <w:pPr>
        <w:ind w:left="180" w:right="180"/>
        <w:spacing w:after="0" w:line="263" w:lineRule="auto"/>
        <w:rPr>
          <w:sz w:val="20"/>
          <w:szCs w:val="20"/>
          <w:color w:val="auto"/>
        </w:rPr>
      </w:pPr>
      <w:r>
        <w:rPr>
          <w:rFonts w:ascii="Arial" w:cs="Arial" w:eastAsia="Arial" w:hAnsi="Arial"/>
          <w:sz w:val="17"/>
          <w:szCs w:val="17"/>
          <w:color w:val="FFFFFF"/>
        </w:rPr>
        <w:t>According to BCRP, the Exchange rate closed at USPEN 3.813 in 4Q22, which represents an appreciation of 4.3% from the 3.982 registered in 3Q22.</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Peru: Economic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6431280</wp:posOffset>
            </wp:positionH>
            <wp:positionV relativeFrom="paragraph">
              <wp:posOffset>6350</wp:posOffset>
            </wp:positionV>
            <wp:extent cx="8255" cy="3276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327660"/>
                    </a:xfrm>
                    <a:prstGeom prst="rect">
                      <a:avLst/>
                    </a:prstGeom>
                    <a:noFill/>
                  </pic:spPr>
                </pic:pic>
              </a:graphicData>
            </a:graphic>
          </wp:anchor>
        </w:drawing>
        <w:drawing>
          <wp:anchor simplePos="0" relativeHeight="251657728" behindDoc="1" locked="0" layoutInCell="0" allowOverlap="1">
            <wp:simplePos x="0" y="0"/>
            <wp:positionH relativeFrom="column">
              <wp:posOffset>5720080</wp:posOffset>
            </wp:positionH>
            <wp:positionV relativeFrom="paragraph">
              <wp:posOffset>6350</wp:posOffset>
            </wp:positionV>
            <wp:extent cx="8255" cy="3276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327660"/>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6350</wp:posOffset>
            </wp:positionV>
            <wp:extent cx="8255" cy="3276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327660"/>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6350</wp:posOffset>
            </wp:positionV>
            <wp:extent cx="8255" cy="3276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32766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6350</wp:posOffset>
            </wp:positionV>
            <wp:extent cx="8255" cy="3276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327660"/>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6350</wp:posOffset>
            </wp:positionV>
            <wp:extent cx="8255" cy="3276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32766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514"/>
        </w:trPr>
        <w:tc>
          <w:tcPr>
            <w:tcW w:w="4960" w:type="dxa"/>
            <w:vAlign w:val="bottom"/>
            <w:tcBorders>
              <w:bottom w:val="single" w:sz="8" w:color="29D2C9"/>
            </w:tcBorders>
            <w:shd w:val="clear" w:color="auto" w:fill="29D2C9"/>
          </w:tcPr>
          <w:p>
            <w:pPr>
              <w:ind w:left="2300"/>
              <w:spacing w:after="0"/>
              <w:rPr>
                <w:sz w:val="20"/>
                <w:szCs w:val="20"/>
                <w:color w:val="auto"/>
              </w:rPr>
            </w:pPr>
            <w:r>
              <w:rPr>
                <w:rFonts w:ascii="Arial" w:cs="Arial" w:eastAsia="Arial" w:hAnsi="Arial"/>
                <w:sz w:val="17"/>
                <w:szCs w:val="17"/>
                <w:b w:val="1"/>
                <w:bCs w:val="1"/>
                <w:color w:val="FFFFFF"/>
              </w:rPr>
              <w:t>Peru</w:t>
            </w:r>
          </w:p>
        </w:tc>
        <w:tc>
          <w:tcPr>
            <w:tcW w:w="1020" w:type="dxa"/>
            <w:vAlign w:val="bottom"/>
            <w:tcBorders>
              <w:bottom w:val="single" w:sz="8" w:color="29D2C9"/>
            </w:tcBorders>
            <w:shd w:val="clear" w:color="auto" w:fill="29D2C9"/>
          </w:tcPr>
          <w:p>
            <w:pPr>
              <w:jc w:val="center"/>
              <w:spacing w:after="0"/>
              <w:rPr>
                <w:sz w:val="20"/>
                <w:szCs w:val="20"/>
                <w:color w:val="auto"/>
              </w:rPr>
            </w:pPr>
            <w:r>
              <w:rPr>
                <w:rFonts w:ascii="Arial" w:cs="Arial" w:eastAsia="Arial" w:hAnsi="Arial"/>
                <w:sz w:val="17"/>
                <w:szCs w:val="17"/>
                <w:b w:val="1"/>
                <w:bCs w:val="1"/>
                <w:color w:val="FFFFFF"/>
              </w:rPr>
              <w:t>2018</w:t>
            </w:r>
          </w:p>
        </w:tc>
        <w:tc>
          <w:tcPr>
            <w:tcW w:w="1020" w:type="dxa"/>
            <w:vAlign w:val="bottom"/>
            <w:tcBorders>
              <w:bottom w:val="single" w:sz="8" w:color="29D2C9"/>
            </w:tcBorders>
            <w:shd w:val="clear" w:color="auto" w:fill="29D2C9"/>
          </w:tcPr>
          <w:p>
            <w:pPr>
              <w:jc w:val="center"/>
              <w:spacing w:after="0"/>
              <w:rPr>
                <w:sz w:val="20"/>
                <w:szCs w:val="20"/>
                <w:color w:val="auto"/>
              </w:rPr>
            </w:pPr>
            <w:r>
              <w:rPr>
                <w:rFonts w:ascii="Arial" w:cs="Arial" w:eastAsia="Arial" w:hAnsi="Arial"/>
                <w:sz w:val="17"/>
                <w:szCs w:val="17"/>
                <w:b w:val="1"/>
                <w:bCs w:val="1"/>
                <w:color w:val="FFFFFF"/>
              </w:rPr>
              <w:t>2019</w:t>
            </w:r>
          </w:p>
        </w:tc>
        <w:tc>
          <w:tcPr>
            <w:tcW w:w="1000" w:type="dxa"/>
            <w:vAlign w:val="bottom"/>
            <w:tcBorders>
              <w:bottom w:val="single" w:sz="8" w:color="29D2C9"/>
            </w:tcBorders>
            <w:shd w:val="clear" w:color="auto" w:fill="29D2C9"/>
          </w:tcPr>
          <w:p>
            <w:pPr>
              <w:jc w:val="center"/>
              <w:spacing w:after="0"/>
              <w:rPr>
                <w:sz w:val="20"/>
                <w:szCs w:val="20"/>
                <w:color w:val="auto"/>
              </w:rPr>
            </w:pPr>
            <w:r>
              <w:rPr>
                <w:rFonts w:ascii="Arial" w:cs="Arial" w:eastAsia="Arial" w:hAnsi="Arial"/>
                <w:sz w:val="17"/>
                <w:szCs w:val="17"/>
                <w:b w:val="1"/>
                <w:bCs w:val="1"/>
                <w:color w:val="FFFFFF"/>
              </w:rPr>
              <w:t>2020</w:t>
            </w:r>
          </w:p>
        </w:tc>
        <w:tc>
          <w:tcPr>
            <w:tcW w:w="1040" w:type="dxa"/>
            <w:vAlign w:val="bottom"/>
            <w:tcBorders>
              <w:bottom w:val="single" w:sz="8" w:color="29D2C9"/>
            </w:tcBorders>
            <w:shd w:val="clear" w:color="auto" w:fill="29D2C9"/>
          </w:tcPr>
          <w:p>
            <w:pPr>
              <w:jc w:val="center"/>
              <w:spacing w:after="0"/>
              <w:rPr>
                <w:sz w:val="20"/>
                <w:szCs w:val="20"/>
                <w:color w:val="auto"/>
              </w:rPr>
            </w:pPr>
            <w:r>
              <w:rPr>
                <w:rFonts w:ascii="Arial" w:cs="Arial" w:eastAsia="Arial" w:hAnsi="Arial"/>
                <w:sz w:val="17"/>
                <w:szCs w:val="17"/>
                <w:b w:val="1"/>
                <w:bCs w:val="1"/>
                <w:color w:val="FFFFFF"/>
              </w:rPr>
              <w:t>2021</w:t>
            </w:r>
          </w:p>
        </w:tc>
        <w:tc>
          <w:tcPr>
            <w:tcW w:w="1080" w:type="dxa"/>
            <w:vAlign w:val="bottom"/>
            <w:tcBorders>
              <w:bottom w:val="single" w:sz="8" w:color="29D2C9"/>
            </w:tcBorders>
            <w:shd w:val="clear" w:color="auto" w:fill="29D2C9"/>
          </w:tcPr>
          <w:p>
            <w:pPr>
              <w:jc w:val="center"/>
              <w:spacing w:after="0"/>
              <w:rPr>
                <w:sz w:val="20"/>
                <w:szCs w:val="20"/>
                <w:color w:val="auto"/>
              </w:rPr>
            </w:pPr>
            <w:r>
              <w:rPr>
                <w:rFonts w:ascii="Arial" w:cs="Arial" w:eastAsia="Arial" w:hAnsi="Arial"/>
                <w:sz w:val="17"/>
                <w:szCs w:val="17"/>
                <w:b w:val="1"/>
                <w:bCs w:val="1"/>
                <w:color w:val="FFFFFF"/>
                <w:w w:val="89"/>
              </w:rPr>
              <w:t xml:space="preserve">2022 </w:t>
            </w:r>
            <w:r>
              <w:rPr>
                <w:rFonts w:ascii="Arial" w:cs="Arial" w:eastAsia="Arial" w:hAnsi="Arial"/>
                <w:sz w:val="27"/>
                <w:szCs w:val="27"/>
                <w:b w:val="1"/>
                <w:bCs w:val="1"/>
                <w:color w:val="FFFFFF"/>
                <w:w w:val="89"/>
                <w:vertAlign w:val="superscript"/>
              </w:rPr>
              <w:t>(3)</w:t>
            </w:r>
          </w:p>
        </w:tc>
        <w:tc>
          <w:tcPr>
            <w:tcW w:w="1120" w:type="dxa"/>
            <w:vAlign w:val="bottom"/>
            <w:tcBorders>
              <w:bottom w:val="single" w:sz="8" w:color="29D2C9"/>
            </w:tcBorders>
            <w:shd w:val="clear" w:color="auto" w:fill="29D2C9"/>
          </w:tcPr>
          <w:p>
            <w:pPr>
              <w:jc w:val="center"/>
              <w:spacing w:after="0"/>
              <w:rPr>
                <w:sz w:val="20"/>
                <w:szCs w:val="20"/>
                <w:color w:val="auto"/>
              </w:rPr>
            </w:pPr>
            <w:r>
              <w:rPr>
                <w:rFonts w:ascii="Arial" w:cs="Arial" w:eastAsia="Arial" w:hAnsi="Arial"/>
                <w:sz w:val="17"/>
                <w:szCs w:val="17"/>
                <w:b w:val="1"/>
                <w:bCs w:val="1"/>
                <w:color w:val="FFFFFF"/>
                <w:w w:val="89"/>
              </w:rPr>
              <w:t xml:space="preserve">2023 </w:t>
            </w:r>
            <w:r>
              <w:rPr>
                <w:rFonts w:ascii="Arial" w:cs="Arial" w:eastAsia="Arial" w:hAnsi="Arial"/>
                <w:sz w:val="27"/>
                <w:szCs w:val="27"/>
                <w:b w:val="1"/>
                <w:bCs w:val="1"/>
                <w:color w:val="FFFFFF"/>
                <w:w w:val="89"/>
                <w:vertAlign w:val="superscript"/>
              </w:rPr>
              <w:t>(4)</w:t>
            </w:r>
          </w:p>
        </w:tc>
      </w:tr>
      <w:tr>
        <w:trPr>
          <w:trHeight w:val="210"/>
        </w:trPr>
        <w:tc>
          <w:tcPr>
            <w:tcW w:w="4960" w:type="dxa"/>
            <w:vAlign w:val="bottom"/>
          </w:tcPr>
          <w:p>
            <w:pPr>
              <w:ind w:left="40"/>
              <w:spacing w:after="0"/>
              <w:rPr>
                <w:sz w:val="20"/>
                <w:szCs w:val="20"/>
                <w:color w:val="auto"/>
              </w:rPr>
            </w:pPr>
            <w:r>
              <w:rPr>
                <w:rFonts w:ascii="Arial" w:cs="Arial" w:eastAsia="Arial" w:hAnsi="Arial"/>
                <w:sz w:val="17"/>
                <w:szCs w:val="17"/>
                <w:color w:val="auto"/>
              </w:rPr>
              <w:t>GDP (US$ Millions)</w:t>
            </w:r>
          </w:p>
        </w:tc>
        <w:tc>
          <w:tcPr>
            <w:tcW w:w="1020" w:type="dxa"/>
            <w:vAlign w:val="bottom"/>
          </w:tcPr>
          <w:p>
            <w:pPr>
              <w:jc w:val="center"/>
              <w:spacing w:after="0"/>
              <w:rPr>
                <w:sz w:val="20"/>
                <w:szCs w:val="20"/>
                <w:color w:val="auto"/>
              </w:rPr>
            </w:pPr>
            <w:r>
              <w:rPr>
                <w:rFonts w:ascii="Arial" w:cs="Arial" w:eastAsia="Arial" w:hAnsi="Arial"/>
                <w:sz w:val="17"/>
                <w:szCs w:val="17"/>
                <w:color w:val="auto"/>
                <w:w w:val="97"/>
              </w:rPr>
              <w:t>226,856</w:t>
            </w:r>
          </w:p>
        </w:tc>
        <w:tc>
          <w:tcPr>
            <w:tcW w:w="1020" w:type="dxa"/>
            <w:vAlign w:val="bottom"/>
          </w:tcPr>
          <w:p>
            <w:pPr>
              <w:jc w:val="center"/>
              <w:spacing w:after="0"/>
              <w:rPr>
                <w:sz w:val="20"/>
                <w:szCs w:val="20"/>
                <w:color w:val="auto"/>
              </w:rPr>
            </w:pPr>
            <w:r>
              <w:rPr>
                <w:rFonts w:ascii="Arial" w:cs="Arial" w:eastAsia="Arial" w:hAnsi="Arial"/>
                <w:sz w:val="17"/>
                <w:szCs w:val="17"/>
                <w:color w:val="auto"/>
                <w:w w:val="97"/>
              </w:rPr>
              <w:t>232,447</w:t>
            </w:r>
          </w:p>
        </w:tc>
        <w:tc>
          <w:tcPr>
            <w:tcW w:w="1000" w:type="dxa"/>
            <w:vAlign w:val="bottom"/>
          </w:tcPr>
          <w:p>
            <w:pPr>
              <w:jc w:val="center"/>
              <w:spacing w:after="0"/>
              <w:rPr>
                <w:sz w:val="20"/>
                <w:szCs w:val="20"/>
                <w:color w:val="auto"/>
              </w:rPr>
            </w:pPr>
            <w:r>
              <w:rPr>
                <w:rFonts w:ascii="Arial" w:cs="Arial" w:eastAsia="Arial" w:hAnsi="Arial"/>
                <w:sz w:val="17"/>
                <w:szCs w:val="17"/>
                <w:color w:val="auto"/>
                <w:w w:val="97"/>
              </w:rPr>
              <w:t>205,553</w:t>
            </w: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225,861</w:t>
            </w:r>
          </w:p>
        </w:tc>
        <w:tc>
          <w:tcPr>
            <w:tcW w:w="1080" w:type="dxa"/>
            <w:vAlign w:val="bottom"/>
          </w:tcPr>
          <w:p>
            <w:pPr>
              <w:jc w:val="center"/>
              <w:spacing w:after="0"/>
              <w:rPr>
                <w:sz w:val="20"/>
                <w:szCs w:val="20"/>
                <w:color w:val="auto"/>
              </w:rPr>
            </w:pPr>
            <w:r>
              <w:rPr>
                <w:rFonts w:ascii="Arial" w:cs="Arial" w:eastAsia="Arial" w:hAnsi="Arial"/>
                <w:sz w:val="17"/>
                <w:szCs w:val="17"/>
                <w:color w:val="auto"/>
              </w:rPr>
              <w:t>241,146</w:t>
            </w:r>
          </w:p>
        </w:tc>
        <w:tc>
          <w:tcPr>
            <w:tcW w:w="1120" w:type="dxa"/>
            <w:vAlign w:val="bottom"/>
          </w:tcPr>
          <w:p>
            <w:pPr>
              <w:jc w:val="center"/>
              <w:spacing w:after="0"/>
              <w:rPr>
                <w:sz w:val="20"/>
                <w:szCs w:val="20"/>
                <w:color w:val="auto"/>
              </w:rPr>
            </w:pPr>
            <w:r>
              <w:rPr>
                <w:rFonts w:ascii="Arial" w:cs="Arial" w:eastAsia="Arial" w:hAnsi="Arial"/>
                <w:sz w:val="17"/>
                <w:szCs w:val="17"/>
                <w:color w:val="auto"/>
              </w:rPr>
              <w:t>256,369</w:t>
            </w:r>
          </w:p>
        </w:tc>
      </w:tr>
      <w:tr>
        <w:trPr>
          <w:trHeight w:val="214"/>
        </w:trPr>
        <w:tc>
          <w:tcPr>
            <w:tcW w:w="4960" w:type="dxa"/>
            <w:vAlign w:val="bottom"/>
          </w:tcPr>
          <w:p>
            <w:pPr>
              <w:ind w:left="40"/>
              <w:spacing w:after="0"/>
              <w:rPr>
                <w:sz w:val="20"/>
                <w:szCs w:val="20"/>
                <w:color w:val="auto"/>
              </w:rPr>
            </w:pPr>
            <w:r>
              <w:rPr>
                <w:rFonts w:ascii="Arial" w:cs="Arial" w:eastAsia="Arial" w:hAnsi="Arial"/>
                <w:sz w:val="17"/>
                <w:szCs w:val="17"/>
                <w:color w:val="auto"/>
              </w:rPr>
              <w:t>Real GDP (% change)</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4.0</w:t>
            </w:r>
          </w:p>
        </w:tc>
        <w:tc>
          <w:tcPr>
            <w:tcW w:w="1020" w:type="dxa"/>
            <w:vAlign w:val="bottom"/>
          </w:tcPr>
          <w:p>
            <w:pPr>
              <w:jc w:val="center"/>
              <w:spacing w:after="0"/>
              <w:rPr>
                <w:sz w:val="20"/>
                <w:szCs w:val="20"/>
                <w:color w:val="auto"/>
              </w:rPr>
            </w:pPr>
            <w:r>
              <w:rPr>
                <w:rFonts w:ascii="Arial" w:cs="Arial" w:eastAsia="Arial" w:hAnsi="Arial"/>
                <w:sz w:val="17"/>
                <w:szCs w:val="17"/>
                <w:color w:val="auto"/>
              </w:rPr>
              <w:t>2.2</w:t>
            </w:r>
          </w:p>
        </w:tc>
        <w:tc>
          <w:tcPr>
            <w:tcW w:w="1000" w:type="dxa"/>
            <w:vAlign w:val="bottom"/>
          </w:tcPr>
          <w:p>
            <w:pPr>
              <w:jc w:val="center"/>
              <w:spacing w:after="0"/>
              <w:rPr>
                <w:sz w:val="20"/>
                <w:szCs w:val="20"/>
                <w:color w:val="auto"/>
              </w:rPr>
            </w:pPr>
            <w:r>
              <w:rPr>
                <w:rFonts w:ascii="Arial" w:cs="Arial" w:eastAsia="Arial" w:hAnsi="Arial"/>
                <w:sz w:val="17"/>
                <w:szCs w:val="17"/>
                <w:color w:val="auto"/>
                <w:w w:val="92"/>
              </w:rPr>
              <w:t>-11.0</w:t>
            </w: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13.6</w:t>
            </w:r>
          </w:p>
        </w:tc>
        <w:tc>
          <w:tcPr>
            <w:tcW w:w="1080" w:type="dxa"/>
            <w:vAlign w:val="bottom"/>
          </w:tcPr>
          <w:p>
            <w:pPr>
              <w:jc w:val="center"/>
              <w:spacing w:after="0"/>
              <w:rPr>
                <w:sz w:val="20"/>
                <w:szCs w:val="20"/>
                <w:color w:val="auto"/>
              </w:rPr>
            </w:pPr>
            <w:r>
              <w:rPr>
                <w:rFonts w:ascii="Arial" w:cs="Arial" w:eastAsia="Arial" w:hAnsi="Arial"/>
                <w:sz w:val="17"/>
                <w:szCs w:val="17"/>
                <w:color w:val="auto"/>
                <w:w w:val="92"/>
              </w:rPr>
              <w:t>2.6</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2.0</w:t>
            </w:r>
          </w:p>
        </w:tc>
      </w:tr>
      <w:tr>
        <w:trPr>
          <w:trHeight w:val="214"/>
        </w:trPr>
        <w:tc>
          <w:tcPr>
            <w:tcW w:w="4960" w:type="dxa"/>
            <w:vAlign w:val="bottom"/>
          </w:tcPr>
          <w:p>
            <w:pPr>
              <w:ind w:left="40"/>
              <w:spacing w:after="0"/>
              <w:rPr>
                <w:sz w:val="20"/>
                <w:szCs w:val="20"/>
                <w:color w:val="auto"/>
              </w:rPr>
            </w:pPr>
            <w:r>
              <w:rPr>
                <w:rFonts w:ascii="Arial" w:cs="Arial" w:eastAsia="Arial" w:hAnsi="Arial"/>
                <w:sz w:val="17"/>
                <w:szCs w:val="17"/>
                <w:color w:val="auto"/>
              </w:rPr>
              <w:t>GDP per capita (US$)</w:t>
            </w:r>
          </w:p>
        </w:tc>
        <w:tc>
          <w:tcPr>
            <w:tcW w:w="1020" w:type="dxa"/>
            <w:vAlign w:val="bottom"/>
          </w:tcPr>
          <w:p>
            <w:pPr>
              <w:jc w:val="center"/>
              <w:spacing w:after="0"/>
              <w:rPr>
                <w:sz w:val="20"/>
                <w:szCs w:val="20"/>
                <w:color w:val="auto"/>
              </w:rPr>
            </w:pPr>
            <w:r>
              <w:rPr>
                <w:rFonts w:ascii="Arial" w:cs="Arial" w:eastAsia="Arial" w:hAnsi="Arial"/>
                <w:sz w:val="17"/>
                <w:szCs w:val="17"/>
                <w:color w:val="auto"/>
                <w:w w:val="98"/>
              </w:rPr>
              <w:t>7,045</w:t>
            </w:r>
          </w:p>
        </w:tc>
        <w:tc>
          <w:tcPr>
            <w:tcW w:w="1020" w:type="dxa"/>
            <w:vAlign w:val="bottom"/>
          </w:tcPr>
          <w:p>
            <w:pPr>
              <w:jc w:val="center"/>
              <w:spacing w:after="0"/>
              <w:rPr>
                <w:sz w:val="20"/>
                <w:szCs w:val="20"/>
                <w:color w:val="auto"/>
              </w:rPr>
            </w:pPr>
            <w:r>
              <w:rPr>
                <w:rFonts w:ascii="Arial" w:cs="Arial" w:eastAsia="Arial" w:hAnsi="Arial"/>
                <w:sz w:val="17"/>
                <w:szCs w:val="17"/>
                <w:color w:val="auto"/>
                <w:w w:val="98"/>
              </w:rPr>
              <w:t>7,152</w:t>
            </w:r>
          </w:p>
        </w:tc>
        <w:tc>
          <w:tcPr>
            <w:tcW w:w="1000" w:type="dxa"/>
            <w:vAlign w:val="bottom"/>
          </w:tcPr>
          <w:p>
            <w:pPr>
              <w:jc w:val="center"/>
              <w:spacing w:after="0"/>
              <w:rPr>
                <w:sz w:val="20"/>
                <w:szCs w:val="20"/>
                <w:color w:val="auto"/>
              </w:rPr>
            </w:pPr>
            <w:r>
              <w:rPr>
                <w:rFonts w:ascii="Arial" w:cs="Arial" w:eastAsia="Arial" w:hAnsi="Arial"/>
                <w:sz w:val="17"/>
                <w:szCs w:val="17"/>
                <w:color w:val="auto"/>
                <w:w w:val="98"/>
              </w:rPr>
              <w:t>6,300</w:t>
            </w:r>
          </w:p>
        </w:tc>
        <w:tc>
          <w:tcPr>
            <w:tcW w:w="1040" w:type="dxa"/>
            <w:vAlign w:val="bottom"/>
          </w:tcPr>
          <w:p>
            <w:pPr>
              <w:jc w:val="center"/>
              <w:spacing w:after="0"/>
              <w:rPr>
                <w:sz w:val="20"/>
                <w:szCs w:val="20"/>
                <w:color w:val="auto"/>
              </w:rPr>
            </w:pPr>
            <w:r>
              <w:rPr>
                <w:rFonts w:ascii="Arial" w:cs="Arial" w:eastAsia="Arial" w:hAnsi="Arial"/>
                <w:sz w:val="17"/>
                <w:szCs w:val="17"/>
                <w:color w:val="auto"/>
                <w:w w:val="98"/>
              </w:rPr>
              <w:t>6,837</w:t>
            </w:r>
          </w:p>
        </w:tc>
        <w:tc>
          <w:tcPr>
            <w:tcW w:w="1080" w:type="dxa"/>
            <w:vAlign w:val="bottom"/>
          </w:tcPr>
          <w:p>
            <w:pPr>
              <w:jc w:val="center"/>
              <w:spacing w:after="0"/>
              <w:rPr>
                <w:sz w:val="20"/>
                <w:szCs w:val="20"/>
                <w:color w:val="auto"/>
              </w:rPr>
            </w:pPr>
            <w:r>
              <w:rPr>
                <w:rFonts w:ascii="Arial" w:cs="Arial" w:eastAsia="Arial" w:hAnsi="Arial"/>
                <w:sz w:val="17"/>
                <w:szCs w:val="17"/>
                <w:color w:val="auto"/>
                <w:w w:val="98"/>
              </w:rPr>
              <w:t>7,221</w:t>
            </w:r>
          </w:p>
        </w:tc>
        <w:tc>
          <w:tcPr>
            <w:tcW w:w="1120" w:type="dxa"/>
            <w:vAlign w:val="bottom"/>
          </w:tcPr>
          <w:p>
            <w:pPr>
              <w:jc w:val="center"/>
              <w:spacing w:after="0"/>
              <w:rPr>
                <w:sz w:val="20"/>
                <w:szCs w:val="20"/>
                <w:color w:val="auto"/>
              </w:rPr>
            </w:pPr>
            <w:r>
              <w:rPr>
                <w:rFonts w:ascii="Arial" w:cs="Arial" w:eastAsia="Arial" w:hAnsi="Arial"/>
                <w:sz w:val="17"/>
                <w:szCs w:val="17"/>
                <w:color w:val="auto"/>
                <w:w w:val="98"/>
              </w:rPr>
              <w:t>7,587</w:t>
            </w:r>
          </w:p>
        </w:tc>
      </w:tr>
      <w:tr>
        <w:trPr>
          <w:trHeight w:val="214"/>
        </w:trPr>
        <w:tc>
          <w:tcPr>
            <w:tcW w:w="4960" w:type="dxa"/>
            <w:vAlign w:val="bottom"/>
          </w:tcPr>
          <w:p>
            <w:pPr>
              <w:ind w:left="40"/>
              <w:spacing w:after="0"/>
              <w:rPr>
                <w:sz w:val="20"/>
                <w:szCs w:val="20"/>
                <w:color w:val="auto"/>
              </w:rPr>
            </w:pPr>
            <w:r>
              <w:rPr>
                <w:rFonts w:ascii="Arial" w:cs="Arial" w:eastAsia="Arial" w:hAnsi="Arial"/>
                <w:sz w:val="17"/>
                <w:szCs w:val="17"/>
                <w:color w:val="auto"/>
              </w:rPr>
              <w:t>Domestic demand (% change)</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020" w:type="dxa"/>
            <w:vAlign w:val="bottom"/>
          </w:tcPr>
          <w:p>
            <w:pPr>
              <w:jc w:val="center"/>
              <w:spacing w:after="0"/>
              <w:rPr>
                <w:sz w:val="20"/>
                <w:szCs w:val="20"/>
                <w:color w:val="auto"/>
              </w:rPr>
            </w:pPr>
            <w:r>
              <w:rPr>
                <w:rFonts w:ascii="Arial" w:cs="Arial" w:eastAsia="Arial" w:hAnsi="Arial"/>
                <w:sz w:val="17"/>
                <w:szCs w:val="17"/>
                <w:color w:val="auto"/>
              </w:rPr>
              <w:t>2.2</w:t>
            </w:r>
          </w:p>
        </w:tc>
        <w:tc>
          <w:tcPr>
            <w:tcW w:w="1000" w:type="dxa"/>
            <w:vAlign w:val="bottom"/>
          </w:tcPr>
          <w:p>
            <w:pPr>
              <w:jc w:val="center"/>
              <w:spacing w:after="0"/>
              <w:rPr>
                <w:sz w:val="20"/>
                <w:szCs w:val="20"/>
                <w:color w:val="auto"/>
              </w:rPr>
            </w:pPr>
            <w:r>
              <w:rPr>
                <w:rFonts w:ascii="Arial" w:cs="Arial" w:eastAsia="Arial" w:hAnsi="Arial"/>
                <w:sz w:val="17"/>
                <w:szCs w:val="17"/>
                <w:color w:val="auto"/>
                <w:w w:val="95"/>
              </w:rPr>
              <w:t>-9.9</w:t>
            </w: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14.7</w:t>
            </w:r>
          </w:p>
        </w:tc>
        <w:tc>
          <w:tcPr>
            <w:tcW w:w="1080" w:type="dxa"/>
            <w:vAlign w:val="bottom"/>
          </w:tcPr>
          <w:p>
            <w:pPr>
              <w:jc w:val="center"/>
              <w:spacing w:after="0"/>
              <w:rPr>
                <w:sz w:val="20"/>
                <w:szCs w:val="20"/>
                <w:color w:val="auto"/>
              </w:rPr>
            </w:pPr>
            <w:r>
              <w:rPr>
                <w:rFonts w:ascii="Arial" w:cs="Arial" w:eastAsia="Arial" w:hAnsi="Arial"/>
                <w:sz w:val="17"/>
                <w:szCs w:val="17"/>
                <w:color w:val="auto"/>
                <w:w w:val="92"/>
              </w:rPr>
              <w:t>2.4</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1.3</w:t>
            </w:r>
          </w:p>
        </w:tc>
      </w:tr>
      <w:tr>
        <w:trPr>
          <w:trHeight w:val="203"/>
        </w:trPr>
        <w:tc>
          <w:tcPr>
            <w:tcW w:w="4960" w:type="dxa"/>
            <w:vAlign w:val="bottom"/>
          </w:tcPr>
          <w:p>
            <w:pPr>
              <w:ind w:left="40"/>
              <w:spacing w:after="0"/>
              <w:rPr>
                <w:sz w:val="20"/>
                <w:szCs w:val="20"/>
                <w:color w:val="auto"/>
              </w:rPr>
            </w:pPr>
            <w:r>
              <w:rPr>
                <w:rFonts w:ascii="Arial" w:cs="Arial" w:eastAsia="Arial" w:hAnsi="Arial"/>
                <w:sz w:val="17"/>
                <w:szCs w:val="17"/>
                <w:color w:val="auto"/>
              </w:rPr>
              <w:t>Gross fixed investment (as % GDP)</w:t>
            </w:r>
          </w:p>
        </w:tc>
        <w:tc>
          <w:tcPr>
            <w:tcW w:w="1020" w:type="dxa"/>
            <w:vAlign w:val="bottom"/>
          </w:tcPr>
          <w:p>
            <w:pPr>
              <w:jc w:val="center"/>
              <w:spacing w:after="0"/>
              <w:rPr>
                <w:sz w:val="20"/>
                <w:szCs w:val="20"/>
                <w:color w:val="auto"/>
              </w:rPr>
            </w:pPr>
            <w:r>
              <w:rPr>
                <w:rFonts w:ascii="Arial" w:cs="Arial" w:eastAsia="Arial" w:hAnsi="Arial"/>
                <w:sz w:val="17"/>
                <w:szCs w:val="17"/>
                <w:color w:val="auto"/>
              </w:rPr>
              <w:t>22.2</w:t>
            </w:r>
          </w:p>
        </w:tc>
        <w:tc>
          <w:tcPr>
            <w:tcW w:w="1020" w:type="dxa"/>
            <w:vAlign w:val="bottom"/>
          </w:tcPr>
          <w:p>
            <w:pPr>
              <w:jc w:val="center"/>
              <w:spacing w:after="0"/>
              <w:rPr>
                <w:sz w:val="20"/>
                <w:szCs w:val="20"/>
                <w:color w:val="auto"/>
              </w:rPr>
            </w:pPr>
            <w:r>
              <w:rPr>
                <w:rFonts w:ascii="Arial" w:cs="Arial" w:eastAsia="Arial" w:hAnsi="Arial"/>
                <w:sz w:val="17"/>
                <w:szCs w:val="17"/>
                <w:color w:val="auto"/>
                <w:w w:val="96"/>
              </w:rPr>
              <w:t>22.5</w:t>
            </w:r>
          </w:p>
        </w:tc>
        <w:tc>
          <w:tcPr>
            <w:tcW w:w="1000" w:type="dxa"/>
            <w:vAlign w:val="bottom"/>
          </w:tcPr>
          <w:p>
            <w:pPr>
              <w:jc w:val="center"/>
              <w:spacing w:after="0"/>
              <w:rPr>
                <w:sz w:val="20"/>
                <w:szCs w:val="20"/>
                <w:color w:val="auto"/>
              </w:rPr>
            </w:pPr>
            <w:r>
              <w:rPr>
                <w:rFonts w:ascii="Arial" w:cs="Arial" w:eastAsia="Arial" w:hAnsi="Arial"/>
                <w:sz w:val="17"/>
                <w:szCs w:val="17"/>
                <w:color w:val="auto"/>
                <w:w w:val="96"/>
              </w:rPr>
              <w:t>21.1</w:t>
            </w: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25.2</w:t>
            </w:r>
          </w:p>
        </w:tc>
        <w:tc>
          <w:tcPr>
            <w:tcW w:w="1080" w:type="dxa"/>
            <w:vAlign w:val="bottom"/>
          </w:tcPr>
          <w:p>
            <w:pPr>
              <w:jc w:val="center"/>
              <w:spacing w:after="0"/>
              <w:rPr>
                <w:sz w:val="20"/>
                <w:szCs w:val="20"/>
                <w:color w:val="auto"/>
              </w:rPr>
            </w:pPr>
            <w:r>
              <w:rPr>
                <w:rFonts w:ascii="Arial" w:cs="Arial" w:eastAsia="Arial" w:hAnsi="Arial"/>
                <w:sz w:val="17"/>
                <w:szCs w:val="17"/>
                <w:color w:val="auto"/>
              </w:rPr>
              <w:t>24.7</w:t>
            </w:r>
          </w:p>
        </w:tc>
        <w:tc>
          <w:tcPr>
            <w:tcW w:w="1120" w:type="dxa"/>
            <w:vAlign w:val="bottom"/>
          </w:tcPr>
          <w:p>
            <w:pPr>
              <w:jc w:val="center"/>
              <w:spacing w:after="0"/>
              <w:rPr>
                <w:sz w:val="20"/>
                <w:szCs w:val="20"/>
                <w:color w:val="auto"/>
              </w:rPr>
            </w:pPr>
            <w:r>
              <w:rPr>
                <w:rFonts w:ascii="Arial" w:cs="Arial" w:eastAsia="Arial" w:hAnsi="Arial"/>
                <w:sz w:val="17"/>
                <w:szCs w:val="17"/>
                <w:color w:val="auto"/>
              </w:rPr>
              <w:t>23.6</w:t>
            </w:r>
          </w:p>
        </w:tc>
      </w:tr>
      <w:tr>
        <w:trPr>
          <w:trHeight w:val="229"/>
        </w:trPr>
        <w:tc>
          <w:tcPr>
            <w:tcW w:w="4960" w:type="dxa"/>
            <w:vAlign w:val="bottom"/>
            <w:tcBorders>
              <w:bottom w:val="single" w:sz="8" w:color="29D2C9"/>
            </w:tcBorders>
          </w:tcPr>
          <w:p>
            <w:pPr>
              <w:ind w:left="40"/>
              <w:spacing w:after="0" w:line="228" w:lineRule="exact"/>
              <w:rPr>
                <w:sz w:val="20"/>
                <w:szCs w:val="20"/>
                <w:color w:val="auto"/>
              </w:rPr>
            </w:pPr>
            <w:r>
              <w:rPr>
                <w:rFonts w:ascii="Arial" w:cs="Arial" w:eastAsia="Arial" w:hAnsi="Arial"/>
                <w:sz w:val="16"/>
                <w:szCs w:val="16"/>
                <w:color w:val="auto"/>
              </w:rPr>
              <w:t xml:space="preserve">Financial system loan without Reactiva (% change) </w:t>
            </w:r>
            <w:r>
              <w:rPr>
                <w:rFonts w:ascii="Arial" w:cs="Arial" w:eastAsia="Arial" w:hAnsi="Arial"/>
                <w:sz w:val="26"/>
                <w:szCs w:val="26"/>
                <w:color w:val="auto"/>
                <w:vertAlign w:val="superscript"/>
              </w:rPr>
              <w:t>(1)</w:t>
            </w:r>
          </w:p>
        </w:tc>
        <w:tc>
          <w:tcPr>
            <w:tcW w:w="10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10.3</w:t>
            </w:r>
          </w:p>
        </w:tc>
        <w:tc>
          <w:tcPr>
            <w:tcW w:w="10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6.4</w:t>
            </w:r>
          </w:p>
        </w:tc>
        <w:tc>
          <w:tcPr>
            <w:tcW w:w="100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5"/>
              </w:rPr>
              <w:t>-4.3</w:t>
            </w:r>
          </w:p>
        </w:tc>
        <w:tc>
          <w:tcPr>
            <w:tcW w:w="104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6"/>
              </w:rPr>
              <w:t>12.6</w:t>
            </w:r>
          </w:p>
        </w:tc>
        <w:tc>
          <w:tcPr>
            <w:tcW w:w="108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10.1</w:t>
            </w:r>
          </w:p>
        </w:tc>
        <w:tc>
          <w:tcPr>
            <w:tcW w:w="11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2"/>
              </w:rPr>
              <w:t>7.0</w:t>
            </w:r>
          </w:p>
        </w:tc>
      </w:tr>
      <w:tr>
        <w:trPr>
          <w:trHeight w:val="206"/>
        </w:trPr>
        <w:tc>
          <w:tcPr>
            <w:tcW w:w="4960" w:type="dxa"/>
            <w:vAlign w:val="bottom"/>
            <w:tcBorders>
              <w:bottom w:val="single" w:sz="8" w:color="29D2C9"/>
            </w:tcBorders>
          </w:tcPr>
          <w:p>
            <w:pPr>
              <w:ind w:left="40"/>
              <w:spacing w:after="0" w:line="207" w:lineRule="exact"/>
              <w:rPr>
                <w:sz w:val="20"/>
                <w:szCs w:val="20"/>
                <w:color w:val="auto"/>
              </w:rPr>
            </w:pPr>
            <w:r>
              <w:rPr>
                <w:rFonts w:ascii="Arial" w:cs="Arial" w:eastAsia="Arial" w:hAnsi="Arial"/>
                <w:sz w:val="15"/>
                <w:szCs w:val="15"/>
                <w:color w:val="auto"/>
              </w:rPr>
              <w:t>Inflation, end of period</w:t>
            </w:r>
            <w:r>
              <w:rPr>
                <w:rFonts w:ascii="Arial" w:cs="Arial" w:eastAsia="Arial" w:hAnsi="Arial"/>
                <w:sz w:val="23"/>
                <w:szCs w:val="23"/>
                <w:color w:val="auto"/>
                <w:vertAlign w:val="superscript"/>
              </w:rPr>
              <w:t>(2)</w:t>
            </w:r>
          </w:p>
        </w:tc>
        <w:tc>
          <w:tcPr>
            <w:tcW w:w="10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2"/>
              </w:rPr>
              <w:t>2.2</w:t>
            </w:r>
          </w:p>
        </w:tc>
        <w:tc>
          <w:tcPr>
            <w:tcW w:w="10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1.9</w:t>
            </w:r>
          </w:p>
        </w:tc>
        <w:tc>
          <w:tcPr>
            <w:tcW w:w="100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2.0</w:t>
            </w:r>
          </w:p>
        </w:tc>
        <w:tc>
          <w:tcPr>
            <w:tcW w:w="104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6.4</w:t>
            </w:r>
          </w:p>
        </w:tc>
        <w:tc>
          <w:tcPr>
            <w:tcW w:w="108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2"/>
              </w:rPr>
              <w:t>8.5</w:t>
            </w:r>
          </w:p>
        </w:tc>
        <w:tc>
          <w:tcPr>
            <w:tcW w:w="11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2"/>
              </w:rPr>
              <w:t>4.5</w:t>
            </w:r>
          </w:p>
        </w:tc>
      </w:tr>
      <w:tr>
        <w:trPr>
          <w:trHeight w:val="206"/>
        </w:trPr>
        <w:tc>
          <w:tcPr>
            <w:tcW w:w="4960" w:type="dxa"/>
            <w:vAlign w:val="bottom"/>
            <w:tcBorders>
              <w:bottom w:val="single" w:sz="8" w:color="29D2C9"/>
            </w:tcBorders>
          </w:tcPr>
          <w:p>
            <w:pPr>
              <w:ind w:left="40"/>
              <w:spacing w:after="0"/>
              <w:rPr>
                <w:sz w:val="20"/>
                <w:szCs w:val="20"/>
                <w:color w:val="auto"/>
              </w:rPr>
            </w:pPr>
            <w:r>
              <w:rPr>
                <w:rFonts w:ascii="Arial" w:cs="Arial" w:eastAsia="Arial" w:hAnsi="Arial"/>
                <w:sz w:val="17"/>
                <w:szCs w:val="17"/>
                <w:color w:val="auto"/>
              </w:rPr>
              <w:t>Reference Rate, end of period</w:t>
            </w:r>
          </w:p>
        </w:tc>
        <w:tc>
          <w:tcPr>
            <w:tcW w:w="10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2.75</w:t>
            </w:r>
          </w:p>
        </w:tc>
        <w:tc>
          <w:tcPr>
            <w:tcW w:w="10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6"/>
              </w:rPr>
              <w:t>2.25</w:t>
            </w:r>
          </w:p>
        </w:tc>
        <w:tc>
          <w:tcPr>
            <w:tcW w:w="100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6"/>
              </w:rPr>
              <w:t>0.25</w:t>
            </w:r>
          </w:p>
        </w:tc>
        <w:tc>
          <w:tcPr>
            <w:tcW w:w="104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6"/>
              </w:rPr>
              <w:t>2.50</w:t>
            </w:r>
          </w:p>
        </w:tc>
        <w:tc>
          <w:tcPr>
            <w:tcW w:w="108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7.50</w:t>
            </w:r>
          </w:p>
        </w:tc>
        <w:tc>
          <w:tcPr>
            <w:tcW w:w="11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6.75</w:t>
            </w:r>
          </w:p>
        </w:tc>
      </w:tr>
      <w:tr>
        <w:trPr>
          <w:trHeight w:val="202"/>
        </w:trPr>
        <w:tc>
          <w:tcPr>
            <w:tcW w:w="4960" w:type="dxa"/>
            <w:vAlign w:val="bottom"/>
          </w:tcPr>
          <w:p>
            <w:pPr>
              <w:ind w:left="40"/>
              <w:spacing w:after="0"/>
              <w:rPr>
                <w:sz w:val="20"/>
                <w:szCs w:val="20"/>
                <w:color w:val="auto"/>
              </w:rPr>
            </w:pPr>
            <w:r>
              <w:rPr>
                <w:rFonts w:ascii="Arial" w:cs="Arial" w:eastAsia="Arial" w:hAnsi="Arial"/>
                <w:sz w:val="17"/>
                <w:szCs w:val="17"/>
                <w:color w:val="auto"/>
              </w:rPr>
              <w:t>Exchange rate, end of period</w:t>
            </w:r>
          </w:p>
        </w:tc>
        <w:tc>
          <w:tcPr>
            <w:tcW w:w="1020" w:type="dxa"/>
            <w:vAlign w:val="bottom"/>
          </w:tcPr>
          <w:p>
            <w:pPr>
              <w:jc w:val="center"/>
              <w:spacing w:after="0"/>
              <w:rPr>
                <w:sz w:val="20"/>
                <w:szCs w:val="20"/>
                <w:color w:val="auto"/>
              </w:rPr>
            </w:pPr>
            <w:r>
              <w:rPr>
                <w:rFonts w:ascii="Arial" w:cs="Arial" w:eastAsia="Arial" w:hAnsi="Arial"/>
                <w:sz w:val="17"/>
                <w:szCs w:val="17"/>
                <w:color w:val="auto"/>
              </w:rPr>
              <w:t>3.37</w:t>
            </w:r>
          </w:p>
        </w:tc>
        <w:tc>
          <w:tcPr>
            <w:tcW w:w="1020" w:type="dxa"/>
            <w:vAlign w:val="bottom"/>
          </w:tcPr>
          <w:p>
            <w:pPr>
              <w:jc w:val="center"/>
              <w:spacing w:after="0"/>
              <w:rPr>
                <w:sz w:val="20"/>
                <w:szCs w:val="20"/>
                <w:color w:val="auto"/>
              </w:rPr>
            </w:pPr>
            <w:r>
              <w:rPr>
                <w:rFonts w:ascii="Arial" w:cs="Arial" w:eastAsia="Arial" w:hAnsi="Arial"/>
                <w:sz w:val="17"/>
                <w:szCs w:val="17"/>
                <w:color w:val="auto"/>
                <w:w w:val="96"/>
              </w:rPr>
              <w:t>3.31</w:t>
            </w:r>
          </w:p>
        </w:tc>
        <w:tc>
          <w:tcPr>
            <w:tcW w:w="1000" w:type="dxa"/>
            <w:vAlign w:val="bottom"/>
          </w:tcPr>
          <w:p>
            <w:pPr>
              <w:jc w:val="center"/>
              <w:spacing w:after="0"/>
              <w:rPr>
                <w:sz w:val="20"/>
                <w:szCs w:val="20"/>
                <w:color w:val="auto"/>
              </w:rPr>
            </w:pPr>
            <w:r>
              <w:rPr>
                <w:rFonts w:ascii="Arial" w:cs="Arial" w:eastAsia="Arial" w:hAnsi="Arial"/>
                <w:sz w:val="17"/>
                <w:szCs w:val="17"/>
                <w:color w:val="auto"/>
                <w:w w:val="96"/>
              </w:rPr>
              <w:t>3.62</w:t>
            </w: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3.99</w:t>
            </w:r>
          </w:p>
        </w:tc>
        <w:tc>
          <w:tcPr>
            <w:tcW w:w="1080" w:type="dxa"/>
            <w:vAlign w:val="bottom"/>
          </w:tcPr>
          <w:p>
            <w:pPr>
              <w:jc w:val="center"/>
              <w:spacing w:after="0"/>
              <w:rPr>
                <w:sz w:val="20"/>
                <w:szCs w:val="20"/>
                <w:color w:val="auto"/>
              </w:rPr>
            </w:pPr>
            <w:r>
              <w:rPr>
                <w:rFonts w:ascii="Arial" w:cs="Arial" w:eastAsia="Arial" w:hAnsi="Arial"/>
                <w:sz w:val="17"/>
                <w:szCs w:val="17"/>
                <w:color w:val="auto"/>
              </w:rPr>
              <w:t>3.81</w:t>
            </w:r>
          </w:p>
        </w:tc>
        <w:tc>
          <w:tcPr>
            <w:tcW w:w="1120" w:type="dxa"/>
            <w:vAlign w:val="bottom"/>
          </w:tcPr>
          <w:p>
            <w:pPr>
              <w:jc w:val="center"/>
              <w:spacing w:after="0"/>
              <w:rPr>
                <w:sz w:val="20"/>
                <w:szCs w:val="20"/>
                <w:color w:val="auto"/>
              </w:rPr>
            </w:pPr>
            <w:r>
              <w:rPr>
                <w:rFonts w:ascii="Arial" w:cs="Arial" w:eastAsia="Arial" w:hAnsi="Arial"/>
                <w:sz w:val="17"/>
                <w:szCs w:val="17"/>
                <w:color w:val="auto"/>
              </w:rPr>
              <w:t>3.85</w:t>
            </w:r>
          </w:p>
        </w:tc>
      </w:tr>
      <w:tr>
        <w:trPr>
          <w:trHeight w:val="218"/>
        </w:trPr>
        <w:tc>
          <w:tcPr>
            <w:tcW w:w="4960" w:type="dxa"/>
            <w:vAlign w:val="bottom"/>
            <w:tcBorders>
              <w:bottom w:val="single" w:sz="8" w:color="29D2C9"/>
            </w:tcBorders>
          </w:tcPr>
          <w:p>
            <w:pPr>
              <w:ind w:left="40"/>
              <w:spacing w:after="0"/>
              <w:rPr>
                <w:sz w:val="20"/>
                <w:szCs w:val="20"/>
                <w:color w:val="auto"/>
              </w:rPr>
            </w:pPr>
            <w:r>
              <w:rPr>
                <w:rFonts w:ascii="Arial" w:cs="Arial" w:eastAsia="Arial" w:hAnsi="Arial"/>
                <w:sz w:val="17"/>
                <w:szCs w:val="17"/>
                <w:color w:val="auto"/>
              </w:rPr>
              <w:t>Exchange rate, (% change)</w:t>
            </w:r>
          </w:p>
        </w:tc>
        <w:tc>
          <w:tcPr>
            <w:tcW w:w="10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7"/>
              </w:rPr>
              <w:t>4.0%</w:t>
            </w:r>
          </w:p>
        </w:tc>
        <w:tc>
          <w:tcPr>
            <w:tcW w:w="10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8"/>
              </w:rPr>
              <w:t>-1.8%</w:t>
            </w:r>
          </w:p>
        </w:tc>
        <w:tc>
          <w:tcPr>
            <w:tcW w:w="100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7"/>
              </w:rPr>
              <w:t>9.3%</w:t>
            </w:r>
          </w:p>
        </w:tc>
        <w:tc>
          <w:tcPr>
            <w:tcW w:w="104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9"/>
              </w:rPr>
              <w:t>10.3%</w:t>
            </w:r>
          </w:p>
        </w:tc>
        <w:tc>
          <w:tcPr>
            <w:tcW w:w="108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8"/>
              </w:rPr>
              <w:t>-4.5%</w:t>
            </w:r>
          </w:p>
        </w:tc>
        <w:tc>
          <w:tcPr>
            <w:tcW w:w="11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7"/>
              </w:rPr>
              <w:t>1.0%</w:t>
            </w:r>
          </w:p>
        </w:tc>
      </w:tr>
      <w:tr>
        <w:trPr>
          <w:trHeight w:val="202"/>
        </w:trPr>
        <w:tc>
          <w:tcPr>
            <w:tcW w:w="4960" w:type="dxa"/>
            <w:vAlign w:val="bottom"/>
          </w:tcPr>
          <w:p>
            <w:pPr>
              <w:ind w:left="40"/>
              <w:spacing w:after="0"/>
              <w:rPr>
                <w:sz w:val="20"/>
                <w:szCs w:val="20"/>
                <w:color w:val="auto"/>
              </w:rPr>
            </w:pPr>
            <w:r>
              <w:rPr>
                <w:rFonts w:ascii="Arial" w:cs="Arial" w:eastAsia="Arial" w:hAnsi="Arial"/>
                <w:sz w:val="17"/>
                <w:szCs w:val="17"/>
                <w:color w:val="auto"/>
              </w:rPr>
              <w:t>Fiscal balance (% GDP)</w:t>
            </w:r>
          </w:p>
        </w:tc>
        <w:tc>
          <w:tcPr>
            <w:tcW w:w="1020" w:type="dxa"/>
            <w:vAlign w:val="bottom"/>
          </w:tcPr>
          <w:p>
            <w:pPr>
              <w:jc w:val="center"/>
              <w:spacing w:after="0"/>
              <w:rPr>
                <w:sz w:val="20"/>
                <w:szCs w:val="20"/>
                <w:color w:val="auto"/>
              </w:rPr>
            </w:pPr>
            <w:r>
              <w:rPr>
                <w:rFonts w:ascii="Arial" w:cs="Arial" w:eastAsia="Arial" w:hAnsi="Arial"/>
                <w:sz w:val="17"/>
                <w:szCs w:val="17"/>
                <w:color w:val="auto"/>
              </w:rPr>
              <w:t>-2.3</w:t>
            </w:r>
          </w:p>
        </w:tc>
        <w:tc>
          <w:tcPr>
            <w:tcW w:w="1020" w:type="dxa"/>
            <w:vAlign w:val="bottom"/>
          </w:tcPr>
          <w:p>
            <w:pPr>
              <w:jc w:val="center"/>
              <w:spacing w:after="0"/>
              <w:rPr>
                <w:sz w:val="20"/>
                <w:szCs w:val="20"/>
                <w:color w:val="auto"/>
              </w:rPr>
            </w:pPr>
            <w:r>
              <w:rPr>
                <w:rFonts w:ascii="Arial" w:cs="Arial" w:eastAsia="Arial" w:hAnsi="Arial"/>
                <w:sz w:val="17"/>
                <w:szCs w:val="17"/>
                <w:color w:val="auto"/>
              </w:rPr>
              <w:t>-1.6</w:t>
            </w:r>
          </w:p>
        </w:tc>
        <w:tc>
          <w:tcPr>
            <w:tcW w:w="1000" w:type="dxa"/>
            <w:vAlign w:val="bottom"/>
          </w:tcPr>
          <w:p>
            <w:pPr>
              <w:jc w:val="center"/>
              <w:spacing w:after="0"/>
              <w:rPr>
                <w:sz w:val="20"/>
                <w:szCs w:val="20"/>
                <w:color w:val="auto"/>
              </w:rPr>
            </w:pPr>
            <w:r>
              <w:rPr>
                <w:rFonts w:ascii="Arial" w:cs="Arial" w:eastAsia="Arial" w:hAnsi="Arial"/>
                <w:sz w:val="17"/>
                <w:szCs w:val="17"/>
                <w:color w:val="auto"/>
                <w:w w:val="95"/>
              </w:rPr>
              <w:t>-8.9</w:t>
            </w: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-2.5</w:t>
            </w:r>
          </w:p>
        </w:tc>
        <w:tc>
          <w:tcPr>
            <w:tcW w:w="1080" w:type="dxa"/>
            <w:vAlign w:val="bottom"/>
          </w:tcPr>
          <w:p>
            <w:pPr>
              <w:jc w:val="center"/>
              <w:spacing w:after="0"/>
              <w:rPr>
                <w:sz w:val="20"/>
                <w:szCs w:val="20"/>
                <w:color w:val="auto"/>
              </w:rPr>
            </w:pPr>
            <w:r>
              <w:rPr>
                <w:rFonts w:ascii="Arial" w:cs="Arial" w:eastAsia="Arial" w:hAnsi="Arial"/>
                <w:sz w:val="17"/>
                <w:szCs w:val="17"/>
                <w:color w:val="auto"/>
              </w:rPr>
              <w:t>-1.6</w:t>
            </w:r>
          </w:p>
        </w:tc>
        <w:tc>
          <w:tcPr>
            <w:tcW w:w="1120" w:type="dxa"/>
            <w:vAlign w:val="bottom"/>
          </w:tcPr>
          <w:p>
            <w:pPr>
              <w:jc w:val="center"/>
              <w:spacing w:after="0"/>
              <w:rPr>
                <w:sz w:val="20"/>
                <w:szCs w:val="20"/>
                <w:color w:val="auto"/>
              </w:rPr>
            </w:pPr>
            <w:r>
              <w:rPr>
                <w:rFonts w:ascii="Arial" w:cs="Arial" w:eastAsia="Arial" w:hAnsi="Arial"/>
                <w:sz w:val="17"/>
                <w:szCs w:val="17"/>
                <w:color w:val="auto"/>
              </w:rPr>
              <w:t>-1.5</w:t>
            </w:r>
          </w:p>
        </w:tc>
      </w:tr>
      <w:tr>
        <w:trPr>
          <w:trHeight w:val="218"/>
        </w:trPr>
        <w:tc>
          <w:tcPr>
            <w:tcW w:w="4960" w:type="dxa"/>
            <w:vAlign w:val="bottom"/>
            <w:tcBorders>
              <w:bottom w:val="single" w:sz="8" w:color="29D2C9"/>
            </w:tcBorders>
          </w:tcPr>
          <w:p>
            <w:pPr>
              <w:ind w:left="40"/>
              <w:spacing w:after="0"/>
              <w:rPr>
                <w:sz w:val="20"/>
                <w:szCs w:val="20"/>
                <w:color w:val="auto"/>
              </w:rPr>
            </w:pPr>
            <w:r>
              <w:rPr>
                <w:rFonts w:ascii="Arial" w:cs="Arial" w:eastAsia="Arial" w:hAnsi="Arial"/>
                <w:sz w:val="17"/>
                <w:szCs w:val="17"/>
                <w:color w:val="auto"/>
              </w:rPr>
              <w:t>Public Debt (as % GDP)</w:t>
            </w:r>
          </w:p>
        </w:tc>
        <w:tc>
          <w:tcPr>
            <w:tcW w:w="10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25.6</w:t>
            </w:r>
          </w:p>
        </w:tc>
        <w:tc>
          <w:tcPr>
            <w:tcW w:w="10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6"/>
              </w:rPr>
              <w:t>26.6</w:t>
            </w:r>
          </w:p>
        </w:tc>
        <w:tc>
          <w:tcPr>
            <w:tcW w:w="100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6"/>
              </w:rPr>
              <w:t>34.6</w:t>
            </w:r>
          </w:p>
        </w:tc>
        <w:tc>
          <w:tcPr>
            <w:tcW w:w="104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w w:val="96"/>
              </w:rPr>
              <w:t>35.9</w:t>
            </w:r>
          </w:p>
        </w:tc>
        <w:tc>
          <w:tcPr>
            <w:tcW w:w="108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34.0</w:t>
            </w:r>
          </w:p>
        </w:tc>
        <w:tc>
          <w:tcPr>
            <w:tcW w:w="1120" w:type="dxa"/>
            <w:vAlign w:val="bottom"/>
            <w:tcBorders>
              <w:bottom w:val="single" w:sz="8" w:color="29D2C9"/>
            </w:tcBorders>
          </w:tcPr>
          <w:p>
            <w:pPr>
              <w:jc w:val="center"/>
              <w:spacing w:after="0"/>
              <w:rPr>
                <w:sz w:val="20"/>
                <w:szCs w:val="20"/>
                <w:color w:val="auto"/>
              </w:rPr>
            </w:pPr>
            <w:r>
              <w:rPr>
                <w:rFonts w:ascii="Arial" w:cs="Arial" w:eastAsia="Arial" w:hAnsi="Arial"/>
                <w:sz w:val="17"/>
                <w:szCs w:val="17"/>
                <w:color w:val="auto"/>
              </w:rPr>
              <w:t>33.7</w:t>
            </w:r>
          </w:p>
        </w:tc>
      </w:tr>
      <w:tr>
        <w:trPr>
          <w:trHeight w:val="202"/>
        </w:trPr>
        <w:tc>
          <w:tcPr>
            <w:tcW w:w="4960" w:type="dxa"/>
            <w:vAlign w:val="bottom"/>
          </w:tcPr>
          <w:p>
            <w:pPr>
              <w:ind w:left="40"/>
              <w:spacing w:after="0"/>
              <w:rPr>
                <w:sz w:val="20"/>
                <w:szCs w:val="20"/>
                <w:color w:val="auto"/>
              </w:rPr>
            </w:pPr>
            <w:r>
              <w:rPr>
                <w:rFonts w:ascii="Arial" w:cs="Arial" w:eastAsia="Arial" w:hAnsi="Arial"/>
                <w:sz w:val="17"/>
                <w:szCs w:val="17"/>
                <w:color w:val="auto"/>
              </w:rPr>
              <w:t>Trade balance (US$ Millions)</w:t>
            </w:r>
          </w:p>
        </w:tc>
        <w:tc>
          <w:tcPr>
            <w:tcW w:w="1020" w:type="dxa"/>
            <w:vAlign w:val="bottom"/>
          </w:tcPr>
          <w:p>
            <w:pPr>
              <w:jc w:val="center"/>
              <w:spacing w:after="0"/>
              <w:rPr>
                <w:sz w:val="20"/>
                <w:szCs w:val="20"/>
                <w:color w:val="auto"/>
              </w:rPr>
            </w:pPr>
            <w:r>
              <w:rPr>
                <w:rFonts w:ascii="Arial" w:cs="Arial" w:eastAsia="Arial" w:hAnsi="Arial"/>
                <w:sz w:val="17"/>
                <w:szCs w:val="17"/>
                <w:color w:val="auto"/>
                <w:w w:val="98"/>
              </w:rPr>
              <w:t>7,201</w:t>
            </w:r>
          </w:p>
        </w:tc>
        <w:tc>
          <w:tcPr>
            <w:tcW w:w="1020" w:type="dxa"/>
            <w:vAlign w:val="bottom"/>
          </w:tcPr>
          <w:p>
            <w:pPr>
              <w:jc w:val="center"/>
              <w:spacing w:after="0"/>
              <w:rPr>
                <w:sz w:val="20"/>
                <w:szCs w:val="20"/>
                <w:color w:val="auto"/>
              </w:rPr>
            </w:pPr>
            <w:r>
              <w:rPr>
                <w:rFonts w:ascii="Arial" w:cs="Arial" w:eastAsia="Arial" w:hAnsi="Arial"/>
                <w:sz w:val="17"/>
                <w:szCs w:val="17"/>
                <w:color w:val="auto"/>
                <w:w w:val="98"/>
              </w:rPr>
              <w:t>6,879</w:t>
            </w:r>
          </w:p>
        </w:tc>
        <w:tc>
          <w:tcPr>
            <w:tcW w:w="1000" w:type="dxa"/>
            <w:vAlign w:val="bottom"/>
          </w:tcPr>
          <w:p>
            <w:pPr>
              <w:jc w:val="center"/>
              <w:spacing w:after="0"/>
              <w:rPr>
                <w:sz w:val="20"/>
                <w:szCs w:val="20"/>
                <w:color w:val="auto"/>
              </w:rPr>
            </w:pPr>
            <w:r>
              <w:rPr>
                <w:rFonts w:ascii="Arial" w:cs="Arial" w:eastAsia="Arial" w:hAnsi="Arial"/>
                <w:sz w:val="17"/>
                <w:szCs w:val="17"/>
                <w:color w:val="auto"/>
                <w:w w:val="98"/>
              </w:rPr>
              <w:t>8,196</w:t>
            </w:r>
          </w:p>
        </w:tc>
        <w:tc>
          <w:tcPr>
            <w:tcW w:w="1040" w:type="dxa"/>
            <w:vAlign w:val="bottom"/>
          </w:tcPr>
          <w:p>
            <w:pPr>
              <w:jc w:val="center"/>
              <w:spacing w:after="0"/>
              <w:rPr>
                <w:sz w:val="20"/>
                <w:szCs w:val="20"/>
                <w:color w:val="auto"/>
              </w:rPr>
            </w:pPr>
            <w:r>
              <w:rPr>
                <w:rFonts w:ascii="Arial" w:cs="Arial" w:eastAsia="Arial" w:hAnsi="Arial"/>
                <w:sz w:val="17"/>
                <w:szCs w:val="17"/>
                <w:color w:val="auto"/>
                <w:w w:val="99"/>
              </w:rPr>
              <w:t>14,833</w:t>
            </w:r>
          </w:p>
        </w:tc>
        <w:tc>
          <w:tcPr>
            <w:tcW w:w="1080" w:type="dxa"/>
            <w:vAlign w:val="bottom"/>
          </w:tcPr>
          <w:p>
            <w:pPr>
              <w:jc w:val="center"/>
              <w:spacing w:after="0"/>
              <w:rPr>
                <w:sz w:val="20"/>
                <w:szCs w:val="20"/>
                <w:color w:val="auto"/>
              </w:rPr>
            </w:pPr>
            <w:r>
              <w:rPr>
                <w:rFonts w:ascii="Arial" w:cs="Arial" w:eastAsia="Arial" w:hAnsi="Arial"/>
                <w:sz w:val="17"/>
                <w:szCs w:val="17"/>
                <w:color w:val="auto"/>
                <w:w w:val="98"/>
              </w:rPr>
              <w:t>9,500</w:t>
            </w:r>
          </w:p>
        </w:tc>
        <w:tc>
          <w:tcPr>
            <w:tcW w:w="1120" w:type="dxa"/>
            <w:vAlign w:val="bottom"/>
          </w:tcPr>
          <w:p>
            <w:pPr>
              <w:jc w:val="center"/>
              <w:spacing w:after="0"/>
              <w:rPr>
                <w:sz w:val="20"/>
                <w:szCs w:val="20"/>
                <w:color w:val="auto"/>
              </w:rPr>
            </w:pPr>
            <w:r>
              <w:rPr>
                <w:rFonts w:ascii="Arial" w:cs="Arial" w:eastAsia="Arial" w:hAnsi="Arial"/>
                <w:sz w:val="17"/>
                <w:szCs w:val="17"/>
                <w:color w:val="auto"/>
                <w:w w:val="98"/>
              </w:rPr>
              <w:t>9,500</w:t>
            </w:r>
          </w:p>
        </w:tc>
      </w:tr>
      <w:tr>
        <w:trPr>
          <w:trHeight w:val="214"/>
        </w:trPr>
        <w:tc>
          <w:tcPr>
            <w:tcW w:w="4960" w:type="dxa"/>
            <w:vAlign w:val="bottom"/>
          </w:tcPr>
          <w:p>
            <w:pPr>
              <w:ind w:left="40"/>
              <w:spacing w:after="0"/>
              <w:rPr>
                <w:sz w:val="20"/>
                <w:szCs w:val="20"/>
                <w:color w:val="auto"/>
              </w:rPr>
            </w:pPr>
            <w:r>
              <w:rPr>
                <w:rFonts w:ascii="Arial" w:cs="Arial" w:eastAsia="Arial" w:hAnsi="Arial"/>
                <w:sz w:val="17"/>
                <w:szCs w:val="17"/>
                <w:color w:val="auto"/>
              </w:rPr>
              <w:t>(As % GDP)</w:t>
            </w:r>
          </w:p>
        </w:tc>
        <w:tc>
          <w:tcPr>
            <w:tcW w:w="1020" w:type="dxa"/>
            <w:vAlign w:val="bottom"/>
          </w:tcPr>
          <w:p>
            <w:pPr>
              <w:jc w:val="center"/>
              <w:spacing w:after="0"/>
              <w:rPr>
                <w:sz w:val="20"/>
                <w:szCs w:val="20"/>
                <w:color w:val="auto"/>
              </w:rPr>
            </w:pPr>
            <w:r>
              <w:rPr>
                <w:rFonts w:ascii="Arial" w:cs="Arial" w:eastAsia="Arial" w:hAnsi="Arial"/>
                <w:sz w:val="17"/>
                <w:szCs w:val="17"/>
                <w:color w:val="auto"/>
                <w:w w:val="97"/>
              </w:rPr>
              <w:t>3.2%</w:t>
            </w:r>
          </w:p>
        </w:tc>
        <w:tc>
          <w:tcPr>
            <w:tcW w:w="1020" w:type="dxa"/>
            <w:vAlign w:val="bottom"/>
          </w:tcPr>
          <w:p>
            <w:pPr>
              <w:jc w:val="center"/>
              <w:spacing w:after="0"/>
              <w:rPr>
                <w:sz w:val="20"/>
                <w:szCs w:val="20"/>
                <w:color w:val="auto"/>
              </w:rPr>
            </w:pPr>
            <w:r>
              <w:rPr>
                <w:rFonts w:ascii="Arial" w:cs="Arial" w:eastAsia="Arial" w:hAnsi="Arial"/>
                <w:sz w:val="17"/>
                <w:szCs w:val="17"/>
                <w:color w:val="auto"/>
                <w:w w:val="97"/>
              </w:rPr>
              <w:t>3.0%</w:t>
            </w:r>
          </w:p>
        </w:tc>
        <w:tc>
          <w:tcPr>
            <w:tcW w:w="1000" w:type="dxa"/>
            <w:vAlign w:val="bottom"/>
          </w:tcPr>
          <w:p>
            <w:pPr>
              <w:jc w:val="center"/>
              <w:spacing w:after="0"/>
              <w:rPr>
                <w:sz w:val="20"/>
                <w:szCs w:val="20"/>
                <w:color w:val="auto"/>
              </w:rPr>
            </w:pPr>
            <w:r>
              <w:rPr>
                <w:rFonts w:ascii="Arial" w:cs="Arial" w:eastAsia="Arial" w:hAnsi="Arial"/>
                <w:sz w:val="17"/>
                <w:szCs w:val="17"/>
                <w:color w:val="auto"/>
                <w:w w:val="97"/>
              </w:rPr>
              <w:t>4.0%</w:t>
            </w: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6.6%</w:t>
            </w:r>
          </w:p>
        </w:tc>
        <w:tc>
          <w:tcPr>
            <w:tcW w:w="1080" w:type="dxa"/>
            <w:vAlign w:val="bottom"/>
          </w:tcPr>
          <w:p>
            <w:pPr>
              <w:jc w:val="center"/>
              <w:spacing w:after="0"/>
              <w:rPr>
                <w:sz w:val="20"/>
                <w:szCs w:val="20"/>
                <w:color w:val="auto"/>
              </w:rPr>
            </w:pPr>
            <w:r>
              <w:rPr>
                <w:rFonts w:ascii="Arial" w:cs="Arial" w:eastAsia="Arial" w:hAnsi="Arial"/>
                <w:sz w:val="17"/>
                <w:szCs w:val="17"/>
                <w:color w:val="auto"/>
                <w:w w:val="97"/>
              </w:rPr>
              <w:t>3.9%</w:t>
            </w:r>
          </w:p>
        </w:tc>
        <w:tc>
          <w:tcPr>
            <w:tcW w:w="1120" w:type="dxa"/>
            <w:vAlign w:val="bottom"/>
          </w:tcPr>
          <w:p>
            <w:pPr>
              <w:jc w:val="center"/>
              <w:spacing w:after="0"/>
              <w:rPr>
                <w:sz w:val="20"/>
                <w:szCs w:val="20"/>
                <w:color w:val="auto"/>
              </w:rPr>
            </w:pPr>
            <w:r>
              <w:rPr>
                <w:rFonts w:ascii="Arial" w:cs="Arial" w:eastAsia="Arial" w:hAnsi="Arial"/>
                <w:sz w:val="17"/>
                <w:szCs w:val="17"/>
                <w:color w:val="auto"/>
                <w:w w:val="97"/>
              </w:rPr>
              <w:t>3.7%</w:t>
            </w:r>
          </w:p>
        </w:tc>
      </w:tr>
      <w:tr>
        <w:trPr>
          <w:trHeight w:val="214"/>
        </w:trPr>
        <w:tc>
          <w:tcPr>
            <w:tcW w:w="4960" w:type="dxa"/>
            <w:vAlign w:val="bottom"/>
          </w:tcPr>
          <w:p>
            <w:pPr>
              <w:ind w:left="40"/>
              <w:spacing w:after="0"/>
              <w:rPr>
                <w:sz w:val="20"/>
                <w:szCs w:val="20"/>
                <w:color w:val="auto"/>
              </w:rPr>
            </w:pPr>
            <w:r>
              <w:rPr>
                <w:rFonts w:ascii="Arial" w:cs="Arial" w:eastAsia="Arial" w:hAnsi="Arial"/>
                <w:sz w:val="17"/>
                <w:szCs w:val="17"/>
                <w:color w:val="auto"/>
              </w:rPr>
              <w:t>Exports</w:t>
            </w:r>
          </w:p>
        </w:tc>
        <w:tc>
          <w:tcPr>
            <w:tcW w:w="1020" w:type="dxa"/>
            <w:vAlign w:val="bottom"/>
          </w:tcPr>
          <w:p>
            <w:pPr>
              <w:jc w:val="center"/>
              <w:spacing w:after="0"/>
              <w:rPr>
                <w:sz w:val="20"/>
                <w:szCs w:val="20"/>
                <w:color w:val="auto"/>
              </w:rPr>
            </w:pPr>
            <w:r>
              <w:rPr>
                <w:rFonts w:ascii="Arial" w:cs="Arial" w:eastAsia="Arial" w:hAnsi="Arial"/>
                <w:sz w:val="17"/>
                <w:szCs w:val="17"/>
                <w:color w:val="auto"/>
                <w:w w:val="96"/>
              </w:rPr>
              <w:t>49,066</w:t>
            </w:r>
          </w:p>
        </w:tc>
        <w:tc>
          <w:tcPr>
            <w:tcW w:w="1020" w:type="dxa"/>
            <w:vAlign w:val="bottom"/>
          </w:tcPr>
          <w:p>
            <w:pPr>
              <w:jc w:val="center"/>
              <w:spacing w:after="0"/>
              <w:rPr>
                <w:sz w:val="20"/>
                <w:szCs w:val="20"/>
                <w:color w:val="auto"/>
              </w:rPr>
            </w:pPr>
            <w:r>
              <w:rPr>
                <w:rFonts w:ascii="Arial" w:cs="Arial" w:eastAsia="Arial" w:hAnsi="Arial"/>
                <w:sz w:val="17"/>
                <w:szCs w:val="17"/>
                <w:color w:val="auto"/>
                <w:w w:val="99"/>
              </w:rPr>
              <w:t>47,980</w:t>
            </w:r>
          </w:p>
        </w:tc>
        <w:tc>
          <w:tcPr>
            <w:tcW w:w="1000" w:type="dxa"/>
            <w:vAlign w:val="bottom"/>
          </w:tcPr>
          <w:p>
            <w:pPr>
              <w:jc w:val="center"/>
              <w:spacing w:after="0"/>
              <w:rPr>
                <w:sz w:val="20"/>
                <w:szCs w:val="20"/>
                <w:color w:val="auto"/>
              </w:rPr>
            </w:pPr>
            <w:r>
              <w:rPr>
                <w:rFonts w:ascii="Arial" w:cs="Arial" w:eastAsia="Arial" w:hAnsi="Arial"/>
                <w:sz w:val="17"/>
                <w:szCs w:val="17"/>
                <w:color w:val="auto"/>
                <w:w w:val="99"/>
              </w:rPr>
              <w:t>42,905</w:t>
            </w:r>
          </w:p>
        </w:tc>
        <w:tc>
          <w:tcPr>
            <w:tcW w:w="1040" w:type="dxa"/>
            <w:vAlign w:val="bottom"/>
          </w:tcPr>
          <w:p>
            <w:pPr>
              <w:jc w:val="center"/>
              <w:spacing w:after="0"/>
              <w:rPr>
                <w:sz w:val="20"/>
                <w:szCs w:val="20"/>
                <w:color w:val="auto"/>
              </w:rPr>
            </w:pPr>
            <w:r>
              <w:rPr>
                <w:rFonts w:ascii="Arial" w:cs="Arial" w:eastAsia="Arial" w:hAnsi="Arial"/>
                <w:sz w:val="17"/>
                <w:szCs w:val="17"/>
                <w:color w:val="auto"/>
                <w:w w:val="99"/>
              </w:rPr>
              <w:t>63,151</w:t>
            </w:r>
          </w:p>
        </w:tc>
        <w:tc>
          <w:tcPr>
            <w:tcW w:w="1080" w:type="dxa"/>
            <w:vAlign w:val="bottom"/>
          </w:tcPr>
          <w:p>
            <w:pPr>
              <w:jc w:val="center"/>
              <w:spacing w:after="0"/>
              <w:rPr>
                <w:sz w:val="20"/>
                <w:szCs w:val="20"/>
                <w:color w:val="auto"/>
              </w:rPr>
            </w:pPr>
            <w:r>
              <w:rPr>
                <w:rFonts w:ascii="Arial" w:cs="Arial" w:eastAsia="Arial" w:hAnsi="Arial"/>
                <w:sz w:val="17"/>
                <w:szCs w:val="17"/>
                <w:color w:val="auto"/>
                <w:w w:val="96"/>
              </w:rPr>
              <w:t>65,730</w:t>
            </w:r>
          </w:p>
        </w:tc>
        <w:tc>
          <w:tcPr>
            <w:tcW w:w="1120" w:type="dxa"/>
            <w:vAlign w:val="bottom"/>
          </w:tcPr>
          <w:p>
            <w:pPr>
              <w:jc w:val="center"/>
              <w:spacing w:after="0"/>
              <w:rPr>
                <w:sz w:val="20"/>
                <w:szCs w:val="20"/>
                <w:color w:val="auto"/>
              </w:rPr>
            </w:pPr>
            <w:r>
              <w:rPr>
                <w:rFonts w:ascii="Arial" w:cs="Arial" w:eastAsia="Arial" w:hAnsi="Arial"/>
                <w:sz w:val="17"/>
                <w:szCs w:val="17"/>
                <w:color w:val="auto"/>
                <w:w w:val="96"/>
              </w:rPr>
              <w:t>63,460</w:t>
            </w:r>
          </w:p>
        </w:tc>
      </w:tr>
      <w:tr>
        <w:trPr>
          <w:trHeight w:val="214"/>
        </w:trPr>
        <w:tc>
          <w:tcPr>
            <w:tcW w:w="4960" w:type="dxa"/>
            <w:vAlign w:val="bottom"/>
          </w:tcPr>
          <w:p>
            <w:pPr>
              <w:ind w:left="40"/>
              <w:spacing w:after="0"/>
              <w:rPr>
                <w:sz w:val="20"/>
                <w:szCs w:val="20"/>
                <w:color w:val="auto"/>
              </w:rPr>
            </w:pPr>
            <w:r>
              <w:rPr>
                <w:rFonts w:ascii="Arial" w:cs="Arial" w:eastAsia="Arial" w:hAnsi="Arial"/>
                <w:sz w:val="17"/>
                <w:szCs w:val="17"/>
                <w:color w:val="auto"/>
              </w:rPr>
              <w:t>Imports</w:t>
            </w:r>
          </w:p>
        </w:tc>
        <w:tc>
          <w:tcPr>
            <w:tcW w:w="1020" w:type="dxa"/>
            <w:vAlign w:val="bottom"/>
          </w:tcPr>
          <w:p>
            <w:pPr>
              <w:jc w:val="center"/>
              <w:spacing w:after="0"/>
              <w:rPr>
                <w:sz w:val="20"/>
                <w:szCs w:val="20"/>
                <w:color w:val="auto"/>
              </w:rPr>
            </w:pPr>
            <w:r>
              <w:rPr>
                <w:rFonts w:ascii="Arial" w:cs="Arial" w:eastAsia="Arial" w:hAnsi="Arial"/>
                <w:sz w:val="17"/>
                <w:szCs w:val="17"/>
                <w:color w:val="auto"/>
                <w:w w:val="96"/>
              </w:rPr>
              <w:t>41,866</w:t>
            </w:r>
          </w:p>
        </w:tc>
        <w:tc>
          <w:tcPr>
            <w:tcW w:w="1020" w:type="dxa"/>
            <w:vAlign w:val="bottom"/>
          </w:tcPr>
          <w:p>
            <w:pPr>
              <w:jc w:val="center"/>
              <w:spacing w:after="0"/>
              <w:rPr>
                <w:sz w:val="20"/>
                <w:szCs w:val="20"/>
                <w:color w:val="auto"/>
              </w:rPr>
            </w:pPr>
            <w:r>
              <w:rPr>
                <w:rFonts w:ascii="Arial" w:cs="Arial" w:eastAsia="Arial" w:hAnsi="Arial"/>
                <w:sz w:val="17"/>
                <w:szCs w:val="17"/>
                <w:color w:val="auto"/>
                <w:w w:val="99"/>
              </w:rPr>
              <w:t>41,101</w:t>
            </w:r>
          </w:p>
        </w:tc>
        <w:tc>
          <w:tcPr>
            <w:tcW w:w="1000" w:type="dxa"/>
            <w:vAlign w:val="bottom"/>
          </w:tcPr>
          <w:p>
            <w:pPr>
              <w:jc w:val="center"/>
              <w:spacing w:after="0"/>
              <w:rPr>
                <w:sz w:val="20"/>
                <w:szCs w:val="20"/>
                <w:color w:val="auto"/>
              </w:rPr>
            </w:pPr>
            <w:r>
              <w:rPr>
                <w:rFonts w:ascii="Arial" w:cs="Arial" w:eastAsia="Arial" w:hAnsi="Arial"/>
                <w:sz w:val="17"/>
                <w:szCs w:val="17"/>
                <w:color w:val="auto"/>
                <w:w w:val="99"/>
              </w:rPr>
              <w:t>34,709</w:t>
            </w:r>
          </w:p>
        </w:tc>
        <w:tc>
          <w:tcPr>
            <w:tcW w:w="1040" w:type="dxa"/>
            <w:vAlign w:val="bottom"/>
          </w:tcPr>
          <w:p>
            <w:pPr>
              <w:jc w:val="center"/>
              <w:spacing w:after="0"/>
              <w:rPr>
                <w:sz w:val="20"/>
                <w:szCs w:val="20"/>
                <w:color w:val="auto"/>
              </w:rPr>
            </w:pPr>
            <w:r>
              <w:rPr>
                <w:rFonts w:ascii="Arial" w:cs="Arial" w:eastAsia="Arial" w:hAnsi="Arial"/>
                <w:sz w:val="17"/>
                <w:szCs w:val="17"/>
                <w:color w:val="auto"/>
                <w:w w:val="99"/>
              </w:rPr>
              <w:t>48,317</w:t>
            </w:r>
          </w:p>
        </w:tc>
        <w:tc>
          <w:tcPr>
            <w:tcW w:w="1080" w:type="dxa"/>
            <w:vAlign w:val="bottom"/>
          </w:tcPr>
          <w:p>
            <w:pPr>
              <w:jc w:val="center"/>
              <w:spacing w:after="0"/>
              <w:rPr>
                <w:sz w:val="20"/>
                <w:szCs w:val="20"/>
                <w:color w:val="auto"/>
              </w:rPr>
            </w:pPr>
            <w:r>
              <w:rPr>
                <w:rFonts w:ascii="Arial" w:cs="Arial" w:eastAsia="Arial" w:hAnsi="Arial"/>
                <w:sz w:val="17"/>
                <w:szCs w:val="17"/>
                <w:color w:val="auto"/>
                <w:w w:val="96"/>
              </w:rPr>
              <w:t>56,230</w:t>
            </w:r>
          </w:p>
        </w:tc>
        <w:tc>
          <w:tcPr>
            <w:tcW w:w="1120" w:type="dxa"/>
            <w:vAlign w:val="bottom"/>
          </w:tcPr>
          <w:p>
            <w:pPr>
              <w:jc w:val="center"/>
              <w:spacing w:after="0"/>
              <w:rPr>
                <w:sz w:val="20"/>
                <w:szCs w:val="20"/>
                <w:color w:val="auto"/>
              </w:rPr>
            </w:pPr>
            <w:r>
              <w:rPr>
                <w:rFonts w:ascii="Arial" w:cs="Arial" w:eastAsia="Arial" w:hAnsi="Arial"/>
                <w:sz w:val="17"/>
                <w:szCs w:val="17"/>
                <w:color w:val="auto"/>
                <w:w w:val="96"/>
              </w:rPr>
              <w:t>53,960</w:t>
            </w:r>
          </w:p>
        </w:tc>
      </w:tr>
      <w:tr>
        <w:trPr>
          <w:trHeight w:val="214"/>
        </w:trPr>
        <w:tc>
          <w:tcPr>
            <w:tcW w:w="4960" w:type="dxa"/>
            <w:vAlign w:val="bottom"/>
          </w:tcPr>
          <w:p>
            <w:pPr>
              <w:ind w:left="40"/>
              <w:spacing w:after="0"/>
              <w:rPr>
                <w:sz w:val="20"/>
                <w:szCs w:val="20"/>
                <w:color w:val="auto"/>
              </w:rPr>
            </w:pPr>
            <w:r>
              <w:rPr>
                <w:rFonts w:ascii="Arial" w:cs="Arial" w:eastAsia="Arial" w:hAnsi="Arial"/>
                <w:sz w:val="17"/>
                <w:szCs w:val="17"/>
                <w:color w:val="auto"/>
              </w:rPr>
              <w:t>Current account balance (US$ Millions)</w:t>
            </w:r>
          </w:p>
        </w:tc>
        <w:tc>
          <w:tcPr>
            <w:tcW w:w="1020" w:type="dxa"/>
            <w:vAlign w:val="bottom"/>
          </w:tcPr>
          <w:p>
            <w:pPr>
              <w:jc w:val="center"/>
              <w:spacing w:after="0"/>
              <w:rPr>
                <w:sz w:val="20"/>
                <w:szCs w:val="20"/>
                <w:color w:val="auto"/>
              </w:rPr>
            </w:pPr>
            <w:r>
              <w:rPr>
                <w:rFonts w:ascii="Arial" w:cs="Arial" w:eastAsia="Arial" w:hAnsi="Arial"/>
                <w:sz w:val="17"/>
                <w:szCs w:val="17"/>
                <w:color w:val="auto"/>
                <w:w w:val="99"/>
              </w:rPr>
              <w:t>-3,915</w:t>
            </w:r>
          </w:p>
        </w:tc>
        <w:tc>
          <w:tcPr>
            <w:tcW w:w="1020" w:type="dxa"/>
            <w:vAlign w:val="bottom"/>
          </w:tcPr>
          <w:p>
            <w:pPr>
              <w:jc w:val="center"/>
              <w:spacing w:after="0"/>
              <w:rPr>
                <w:sz w:val="20"/>
                <w:szCs w:val="20"/>
                <w:color w:val="auto"/>
              </w:rPr>
            </w:pPr>
            <w:r>
              <w:rPr>
                <w:rFonts w:ascii="Arial" w:cs="Arial" w:eastAsia="Arial" w:hAnsi="Arial"/>
                <w:sz w:val="17"/>
                <w:szCs w:val="17"/>
                <w:color w:val="auto"/>
                <w:w w:val="99"/>
              </w:rPr>
              <w:t>-2,397</w:t>
            </w:r>
          </w:p>
        </w:tc>
        <w:tc>
          <w:tcPr>
            <w:tcW w:w="1000" w:type="dxa"/>
            <w:vAlign w:val="bottom"/>
          </w:tcPr>
          <w:p>
            <w:pPr>
              <w:jc w:val="center"/>
              <w:spacing w:after="0"/>
              <w:rPr>
                <w:sz w:val="20"/>
                <w:szCs w:val="20"/>
                <w:color w:val="auto"/>
              </w:rPr>
            </w:pPr>
            <w:r>
              <w:rPr>
                <w:rFonts w:ascii="Arial" w:cs="Arial" w:eastAsia="Arial" w:hAnsi="Arial"/>
                <w:sz w:val="17"/>
                <w:szCs w:val="17"/>
                <w:color w:val="auto"/>
                <w:w w:val="98"/>
              </w:rPr>
              <w:t>2,398</w:t>
            </w:r>
          </w:p>
        </w:tc>
        <w:tc>
          <w:tcPr>
            <w:tcW w:w="1040" w:type="dxa"/>
            <w:vAlign w:val="bottom"/>
          </w:tcPr>
          <w:p>
            <w:pPr>
              <w:jc w:val="center"/>
              <w:spacing w:after="0"/>
              <w:rPr>
                <w:sz w:val="20"/>
                <w:szCs w:val="20"/>
                <w:color w:val="auto"/>
              </w:rPr>
            </w:pPr>
            <w:r>
              <w:rPr>
                <w:rFonts w:ascii="Arial" w:cs="Arial" w:eastAsia="Arial" w:hAnsi="Arial"/>
                <w:sz w:val="17"/>
                <w:szCs w:val="17"/>
                <w:color w:val="auto"/>
                <w:w w:val="99"/>
              </w:rPr>
              <w:t>-5,273</w:t>
            </w:r>
          </w:p>
        </w:tc>
        <w:tc>
          <w:tcPr>
            <w:tcW w:w="1080" w:type="dxa"/>
            <w:vAlign w:val="bottom"/>
          </w:tcPr>
          <w:p>
            <w:pPr>
              <w:jc w:val="center"/>
              <w:spacing w:after="0"/>
              <w:rPr>
                <w:sz w:val="20"/>
                <w:szCs w:val="20"/>
                <w:color w:val="auto"/>
              </w:rPr>
            </w:pPr>
            <w:r>
              <w:rPr>
                <w:rFonts w:ascii="Arial" w:cs="Arial" w:eastAsia="Arial" w:hAnsi="Arial"/>
                <w:sz w:val="17"/>
                <w:szCs w:val="17"/>
                <w:color w:val="auto"/>
              </w:rPr>
              <w:t>-12,169</w:t>
            </w:r>
          </w:p>
        </w:tc>
        <w:tc>
          <w:tcPr>
            <w:tcW w:w="1120" w:type="dxa"/>
            <w:vAlign w:val="bottom"/>
          </w:tcPr>
          <w:p>
            <w:pPr>
              <w:jc w:val="center"/>
              <w:spacing w:after="0"/>
              <w:rPr>
                <w:sz w:val="20"/>
                <w:szCs w:val="20"/>
                <w:color w:val="auto"/>
              </w:rPr>
            </w:pPr>
            <w:r>
              <w:rPr>
                <w:rFonts w:ascii="Arial" w:cs="Arial" w:eastAsia="Arial" w:hAnsi="Arial"/>
                <w:sz w:val="17"/>
                <w:szCs w:val="17"/>
                <w:color w:val="auto"/>
              </w:rPr>
              <w:t>-10,200</w:t>
            </w:r>
          </w:p>
        </w:tc>
      </w:tr>
      <w:tr>
        <w:trPr>
          <w:trHeight w:val="214"/>
        </w:trPr>
        <w:tc>
          <w:tcPr>
            <w:tcW w:w="4960" w:type="dxa"/>
            <w:vAlign w:val="bottom"/>
          </w:tcPr>
          <w:p>
            <w:pPr>
              <w:ind w:left="40"/>
              <w:spacing w:after="0"/>
              <w:rPr>
                <w:sz w:val="20"/>
                <w:szCs w:val="20"/>
                <w:color w:val="auto"/>
              </w:rPr>
            </w:pPr>
            <w:r>
              <w:rPr>
                <w:rFonts w:ascii="Arial" w:cs="Arial" w:eastAsia="Arial" w:hAnsi="Arial"/>
                <w:sz w:val="17"/>
                <w:szCs w:val="17"/>
                <w:color w:val="auto"/>
              </w:rPr>
              <w:t>Current account balance (As % GDP)</w:t>
            </w:r>
          </w:p>
        </w:tc>
        <w:tc>
          <w:tcPr>
            <w:tcW w:w="1020" w:type="dxa"/>
            <w:vAlign w:val="bottom"/>
          </w:tcPr>
          <w:p>
            <w:pPr>
              <w:jc w:val="center"/>
              <w:spacing w:after="0"/>
              <w:rPr>
                <w:sz w:val="20"/>
                <w:szCs w:val="20"/>
                <w:color w:val="auto"/>
              </w:rPr>
            </w:pPr>
            <w:r>
              <w:rPr>
                <w:rFonts w:ascii="Arial" w:cs="Arial" w:eastAsia="Arial" w:hAnsi="Arial"/>
                <w:sz w:val="17"/>
                <w:szCs w:val="17"/>
                <w:color w:val="auto"/>
                <w:w w:val="98"/>
              </w:rPr>
              <w:t>-1.3%</w:t>
            </w:r>
          </w:p>
        </w:tc>
        <w:tc>
          <w:tcPr>
            <w:tcW w:w="1020" w:type="dxa"/>
            <w:vAlign w:val="bottom"/>
          </w:tcPr>
          <w:p>
            <w:pPr>
              <w:jc w:val="center"/>
              <w:spacing w:after="0"/>
              <w:rPr>
                <w:sz w:val="20"/>
                <w:szCs w:val="20"/>
                <w:color w:val="auto"/>
              </w:rPr>
            </w:pPr>
            <w:r>
              <w:rPr>
                <w:rFonts w:ascii="Arial" w:cs="Arial" w:eastAsia="Arial" w:hAnsi="Arial"/>
                <w:sz w:val="17"/>
                <w:szCs w:val="17"/>
                <w:color w:val="auto"/>
                <w:w w:val="98"/>
              </w:rPr>
              <w:t>-0.7%</w:t>
            </w:r>
          </w:p>
        </w:tc>
        <w:tc>
          <w:tcPr>
            <w:tcW w:w="1000" w:type="dxa"/>
            <w:vAlign w:val="bottom"/>
          </w:tcPr>
          <w:p>
            <w:pPr>
              <w:jc w:val="center"/>
              <w:spacing w:after="0"/>
              <w:rPr>
                <w:sz w:val="20"/>
                <w:szCs w:val="20"/>
                <w:color w:val="auto"/>
              </w:rPr>
            </w:pPr>
            <w:r>
              <w:rPr>
                <w:rFonts w:ascii="Arial" w:cs="Arial" w:eastAsia="Arial" w:hAnsi="Arial"/>
                <w:sz w:val="17"/>
                <w:szCs w:val="17"/>
                <w:color w:val="auto"/>
                <w:w w:val="97"/>
              </w:rPr>
              <w:t>1.2%</w:t>
            </w:r>
          </w:p>
        </w:tc>
        <w:tc>
          <w:tcPr>
            <w:tcW w:w="1040" w:type="dxa"/>
            <w:vAlign w:val="bottom"/>
          </w:tcPr>
          <w:p>
            <w:pPr>
              <w:jc w:val="center"/>
              <w:spacing w:after="0"/>
              <w:rPr>
                <w:sz w:val="20"/>
                <w:szCs w:val="20"/>
                <w:color w:val="auto"/>
              </w:rPr>
            </w:pPr>
            <w:r>
              <w:rPr>
                <w:rFonts w:ascii="Arial" w:cs="Arial" w:eastAsia="Arial" w:hAnsi="Arial"/>
                <w:sz w:val="17"/>
                <w:szCs w:val="17"/>
                <w:color w:val="auto"/>
                <w:w w:val="98"/>
              </w:rPr>
              <w:t>-2.3%</w:t>
            </w:r>
          </w:p>
        </w:tc>
        <w:tc>
          <w:tcPr>
            <w:tcW w:w="1080" w:type="dxa"/>
            <w:vAlign w:val="bottom"/>
          </w:tcPr>
          <w:p>
            <w:pPr>
              <w:jc w:val="center"/>
              <w:spacing w:after="0"/>
              <w:rPr>
                <w:sz w:val="20"/>
                <w:szCs w:val="20"/>
                <w:color w:val="auto"/>
              </w:rPr>
            </w:pPr>
            <w:r>
              <w:rPr>
                <w:rFonts w:ascii="Arial" w:cs="Arial" w:eastAsia="Arial" w:hAnsi="Arial"/>
                <w:sz w:val="17"/>
                <w:szCs w:val="17"/>
                <w:color w:val="auto"/>
                <w:w w:val="98"/>
              </w:rPr>
              <w:t>-5.0%</w:t>
            </w:r>
          </w:p>
        </w:tc>
        <w:tc>
          <w:tcPr>
            <w:tcW w:w="1120" w:type="dxa"/>
            <w:vAlign w:val="bottom"/>
          </w:tcPr>
          <w:p>
            <w:pPr>
              <w:jc w:val="center"/>
              <w:spacing w:after="0"/>
              <w:rPr>
                <w:sz w:val="20"/>
                <w:szCs w:val="20"/>
                <w:color w:val="auto"/>
              </w:rPr>
            </w:pPr>
            <w:r>
              <w:rPr>
                <w:rFonts w:ascii="Arial" w:cs="Arial" w:eastAsia="Arial" w:hAnsi="Arial"/>
                <w:sz w:val="17"/>
                <w:szCs w:val="17"/>
                <w:color w:val="auto"/>
                <w:w w:val="98"/>
              </w:rPr>
              <w:t>-4.0%</w:t>
            </w:r>
          </w:p>
        </w:tc>
      </w:tr>
      <w:tr>
        <w:trPr>
          <w:trHeight w:val="214"/>
        </w:trPr>
        <w:tc>
          <w:tcPr>
            <w:tcW w:w="4960" w:type="dxa"/>
            <w:vAlign w:val="bottom"/>
          </w:tcPr>
          <w:p>
            <w:pPr>
              <w:ind w:left="40"/>
              <w:spacing w:after="0"/>
              <w:rPr>
                <w:sz w:val="20"/>
                <w:szCs w:val="20"/>
                <w:color w:val="auto"/>
              </w:rPr>
            </w:pPr>
            <w:r>
              <w:rPr>
                <w:rFonts w:ascii="Arial" w:cs="Arial" w:eastAsia="Arial" w:hAnsi="Arial"/>
                <w:sz w:val="17"/>
                <w:szCs w:val="17"/>
                <w:color w:val="auto"/>
              </w:rPr>
              <w:t>Net international reserves (US$ Millions)</w:t>
            </w:r>
          </w:p>
        </w:tc>
        <w:tc>
          <w:tcPr>
            <w:tcW w:w="1020" w:type="dxa"/>
            <w:vAlign w:val="bottom"/>
          </w:tcPr>
          <w:p>
            <w:pPr>
              <w:jc w:val="center"/>
              <w:spacing w:after="0"/>
              <w:rPr>
                <w:sz w:val="20"/>
                <w:szCs w:val="20"/>
                <w:color w:val="auto"/>
              </w:rPr>
            </w:pPr>
            <w:r>
              <w:rPr>
                <w:rFonts w:ascii="Arial" w:cs="Arial" w:eastAsia="Arial" w:hAnsi="Arial"/>
                <w:sz w:val="17"/>
                <w:szCs w:val="17"/>
                <w:color w:val="auto"/>
                <w:w w:val="96"/>
              </w:rPr>
              <w:t>60,121</w:t>
            </w:r>
          </w:p>
        </w:tc>
        <w:tc>
          <w:tcPr>
            <w:tcW w:w="1020" w:type="dxa"/>
            <w:vAlign w:val="bottom"/>
          </w:tcPr>
          <w:p>
            <w:pPr>
              <w:jc w:val="center"/>
              <w:spacing w:after="0"/>
              <w:rPr>
                <w:sz w:val="20"/>
                <w:szCs w:val="20"/>
                <w:color w:val="auto"/>
              </w:rPr>
            </w:pPr>
            <w:r>
              <w:rPr>
                <w:rFonts w:ascii="Arial" w:cs="Arial" w:eastAsia="Arial" w:hAnsi="Arial"/>
                <w:sz w:val="17"/>
                <w:szCs w:val="17"/>
                <w:color w:val="auto"/>
                <w:w w:val="99"/>
              </w:rPr>
              <w:t>68,316</w:t>
            </w:r>
          </w:p>
        </w:tc>
        <w:tc>
          <w:tcPr>
            <w:tcW w:w="1000" w:type="dxa"/>
            <w:vAlign w:val="bottom"/>
          </w:tcPr>
          <w:p>
            <w:pPr>
              <w:jc w:val="center"/>
              <w:spacing w:after="0"/>
              <w:rPr>
                <w:sz w:val="20"/>
                <w:szCs w:val="20"/>
                <w:color w:val="auto"/>
              </w:rPr>
            </w:pPr>
            <w:r>
              <w:rPr>
                <w:rFonts w:ascii="Arial" w:cs="Arial" w:eastAsia="Arial" w:hAnsi="Arial"/>
                <w:sz w:val="17"/>
                <w:szCs w:val="17"/>
                <w:color w:val="auto"/>
                <w:w w:val="99"/>
              </w:rPr>
              <w:t>74,707</w:t>
            </w:r>
          </w:p>
        </w:tc>
        <w:tc>
          <w:tcPr>
            <w:tcW w:w="1040" w:type="dxa"/>
            <w:vAlign w:val="bottom"/>
          </w:tcPr>
          <w:p>
            <w:pPr>
              <w:jc w:val="center"/>
              <w:spacing w:after="0"/>
              <w:rPr>
                <w:sz w:val="20"/>
                <w:szCs w:val="20"/>
                <w:color w:val="auto"/>
              </w:rPr>
            </w:pPr>
            <w:r>
              <w:rPr>
                <w:rFonts w:ascii="Arial" w:cs="Arial" w:eastAsia="Arial" w:hAnsi="Arial"/>
                <w:sz w:val="17"/>
                <w:szCs w:val="17"/>
                <w:color w:val="auto"/>
                <w:w w:val="99"/>
              </w:rPr>
              <w:t>78,495</w:t>
            </w:r>
          </w:p>
        </w:tc>
        <w:tc>
          <w:tcPr>
            <w:tcW w:w="1080" w:type="dxa"/>
            <w:vAlign w:val="bottom"/>
          </w:tcPr>
          <w:p>
            <w:pPr>
              <w:jc w:val="center"/>
              <w:spacing w:after="0"/>
              <w:rPr>
                <w:sz w:val="20"/>
                <w:szCs w:val="20"/>
                <w:color w:val="auto"/>
              </w:rPr>
            </w:pPr>
            <w:r>
              <w:rPr>
                <w:rFonts w:ascii="Arial" w:cs="Arial" w:eastAsia="Arial" w:hAnsi="Arial"/>
                <w:sz w:val="17"/>
                <w:szCs w:val="17"/>
                <w:color w:val="auto"/>
                <w:w w:val="96"/>
              </w:rPr>
              <w:t>71,883</w:t>
            </w:r>
          </w:p>
        </w:tc>
        <w:tc>
          <w:tcPr>
            <w:tcW w:w="1120" w:type="dxa"/>
            <w:vAlign w:val="bottom"/>
          </w:tcPr>
          <w:p>
            <w:pPr>
              <w:jc w:val="center"/>
              <w:spacing w:after="0"/>
              <w:rPr>
                <w:sz w:val="20"/>
                <w:szCs w:val="20"/>
                <w:color w:val="auto"/>
              </w:rPr>
            </w:pPr>
            <w:r>
              <w:rPr>
                <w:rFonts w:ascii="Arial" w:cs="Arial" w:eastAsia="Arial" w:hAnsi="Arial"/>
                <w:sz w:val="17"/>
                <w:szCs w:val="17"/>
                <w:color w:val="auto"/>
                <w:w w:val="96"/>
              </w:rPr>
              <w:t>72,000</w:t>
            </w:r>
          </w:p>
        </w:tc>
      </w:tr>
      <w:tr>
        <w:trPr>
          <w:trHeight w:val="214"/>
        </w:trPr>
        <w:tc>
          <w:tcPr>
            <w:tcW w:w="4960" w:type="dxa"/>
            <w:vAlign w:val="bottom"/>
          </w:tcPr>
          <w:p>
            <w:pPr>
              <w:ind w:left="40"/>
              <w:spacing w:after="0"/>
              <w:rPr>
                <w:sz w:val="20"/>
                <w:szCs w:val="20"/>
                <w:color w:val="auto"/>
              </w:rPr>
            </w:pPr>
            <w:r>
              <w:rPr>
                <w:rFonts w:ascii="Arial" w:cs="Arial" w:eastAsia="Arial" w:hAnsi="Arial"/>
                <w:sz w:val="17"/>
                <w:szCs w:val="17"/>
                <w:color w:val="auto"/>
              </w:rPr>
              <w:t>(As % GDP)</w:t>
            </w:r>
          </w:p>
        </w:tc>
        <w:tc>
          <w:tcPr>
            <w:tcW w:w="1020" w:type="dxa"/>
            <w:vAlign w:val="bottom"/>
          </w:tcPr>
          <w:p>
            <w:pPr>
              <w:jc w:val="center"/>
              <w:spacing w:after="0"/>
              <w:rPr>
                <w:sz w:val="20"/>
                <w:szCs w:val="20"/>
                <w:color w:val="auto"/>
              </w:rPr>
            </w:pPr>
            <w:r>
              <w:rPr>
                <w:rFonts w:ascii="Arial" w:cs="Arial" w:eastAsia="Arial" w:hAnsi="Arial"/>
                <w:sz w:val="17"/>
                <w:szCs w:val="17"/>
                <w:color w:val="auto"/>
                <w:w w:val="99"/>
              </w:rPr>
              <w:t>26.5%</w:t>
            </w:r>
          </w:p>
        </w:tc>
        <w:tc>
          <w:tcPr>
            <w:tcW w:w="1020" w:type="dxa"/>
            <w:vAlign w:val="bottom"/>
          </w:tcPr>
          <w:p>
            <w:pPr>
              <w:jc w:val="center"/>
              <w:spacing w:after="0"/>
              <w:rPr>
                <w:sz w:val="20"/>
                <w:szCs w:val="20"/>
                <w:color w:val="auto"/>
              </w:rPr>
            </w:pPr>
            <w:r>
              <w:rPr>
                <w:rFonts w:ascii="Arial" w:cs="Arial" w:eastAsia="Arial" w:hAnsi="Arial"/>
                <w:sz w:val="17"/>
                <w:szCs w:val="17"/>
                <w:color w:val="auto"/>
                <w:w w:val="99"/>
              </w:rPr>
              <w:t>29.4%</w:t>
            </w:r>
          </w:p>
        </w:tc>
        <w:tc>
          <w:tcPr>
            <w:tcW w:w="1000" w:type="dxa"/>
            <w:vAlign w:val="bottom"/>
          </w:tcPr>
          <w:p>
            <w:pPr>
              <w:jc w:val="center"/>
              <w:spacing w:after="0"/>
              <w:rPr>
                <w:sz w:val="20"/>
                <w:szCs w:val="20"/>
                <w:color w:val="auto"/>
              </w:rPr>
            </w:pPr>
            <w:r>
              <w:rPr>
                <w:rFonts w:ascii="Arial" w:cs="Arial" w:eastAsia="Arial" w:hAnsi="Arial"/>
                <w:sz w:val="17"/>
                <w:szCs w:val="17"/>
                <w:color w:val="auto"/>
                <w:w w:val="99"/>
              </w:rPr>
              <w:t>36.3%</w:t>
            </w:r>
          </w:p>
        </w:tc>
        <w:tc>
          <w:tcPr>
            <w:tcW w:w="1040" w:type="dxa"/>
            <w:vAlign w:val="bottom"/>
          </w:tcPr>
          <w:p>
            <w:pPr>
              <w:jc w:val="center"/>
              <w:spacing w:after="0"/>
              <w:rPr>
                <w:sz w:val="20"/>
                <w:szCs w:val="20"/>
                <w:color w:val="auto"/>
              </w:rPr>
            </w:pPr>
            <w:r>
              <w:rPr>
                <w:rFonts w:ascii="Arial" w:cs="Arial" w:eastAsia="Arial" w:hAnsi="Arial"/>
                <w:sz w:val="17"/>
                <w:szCs w:val="17"/>
                <w:color w:val="auto"/>
                <w:w w:val="99"/>
              </w:rPr>
              <w:t>34.8%</w:t>
            </w:r>
          </w:p>
        </w:tc>
        <w:tc>
          <w:tcPr>
            <w:tcW w:w="1080" w:type="dxa"/>
            <w:vAlign w:val="bottom"/>
          </w:tcPr>
          <w:p>
            <w:pPr>
              <w:jc w:val="center"/>
              <w:spacing w:after="0"/>
              <w:rPr>
                <w:sz w:val="20"/>
                <w:szCs w:val="20"/>
                <w:color w:val="auto"/>
              </w:rPr>
            </w:pPr>
            <w:r>
              <w:rPr>
                <w:rFonts w:ascii="Arial" w:cs="Arial" w:eastAsia="Arial" w:hAnsi="Arial"/>
                <w:sz w:val="17"/>
                <w:szCs w:val="17"/>
                <w:color w:val="auto"/>
                <w:w w:val="95"/>
              </w:rPr>
              <w:t>29.8%</w:t>
            </w:r>
          </w:p>
        </w:tc>
        <w:tc>
          <w:tcPr>
            <w:tcW w:w="1120" w:type="dxa"/>
            <w:vAlign w:val="bottom"/>
          </w:tcPr>
          <w:p>
            <w:pPr>
              <w:jc w:val="center"/>
              <w:spacing w:after="0"/>
              <w:rPr>
                <w:sz w:val="20"/>
                <w:szCs w:val="20"/>
                <w:color w:val="auto"/>
              </w:rPr>
            </w:pPr>
            <w:r>
              <w:rPr>
                <w:rFonts w:ascii="Arial" w:cs="Arial" w:eastAsia="Arial" w:hAnsi="Arial"/>
                <w:sz w:val="17"/>
                <w:szCs w:val="17"/>
                <w:color w:val="auto"/>
                <w:w w:val="99"/>
              </w:rPr>
              <w:t>28.1%</w:t>
            </w:r>
          </w:p>
        </w:tc>
      </w:tr>
      <w:tr>
        <w:trPr>
          <w:trHeight w:val="222"/>
        </w:trPr>
        <w:tc>
          <w:tcPr>
            <w:tcW w:w="4960" w:type="dxa"/>
            <w:vAlign w:val="bottom"/>
          </w:tcPr>
          <w:p>
            <w:pPr>
              <w:ind w:left="40"/>
              <w:spacing w:after="0"/>
              <w:rPr>
                <w:sz w:val="20"/>
                <w:szCs w:val="20"/>
                <w:color w:val="auto"/>
              </w:rPr>
            </w:pPr>
            <w:r>
              <w:rPr>
                <w:rFonts w:ascii="Arial" w:cs="Arial" w:eastAsia="Arial" w:hAnsi="Arial"/>
                <w:sz w:val="17"/>
                <w:szCs w:val="17"/>
                <w:color w:val="auto"/>
              </w:rPr>
              <w:t>(As months of imports)</w:t>
            </w:r>
          </w:p>
        </w:tc>
        <w:tc>
          <w:tcPr>
            <w:tcW w:w="1020" w:type="dxa"/>
            <w:vAlign w:val="bottom"/>
          </w:tcPr>
          <w:p>
            <w:pPr>
              <w:jc w:val="center"/>
              <w:spacing w:after="0"/>
              <w:rPr>
                <w:sz w:val="20"/>
                <w:szCs w:val="20"/>
                <w:color w:val="auto"/>
              </w:rPr>
            </w:pPr>
            <w:r>
              <w:rPr>
                <w:rFonts w:ascii="Arial" w:cs="Arial" w:eastAsia="Arial" w:hAnsi="Arial"/>
                <w:sz w:val="17"/>
                <w:szCs w:val="17"/>
                <w:color w:val="auto"/>
                <w:w w:val="94"/>
              </w:rPr>
              <w:t>17</w:t>
            </w:r>
          </w:p>
        </w:tc>
        <w:tc>
          <w:tcPr>
            <w:tcW w:w="1020" w:type="dxa"/>
            <w:vAlign w:val="bottom"/>
          </w:tcPr>
          <w:p>
            <w:pPr>
              <w:jc w:val="center"/>
              <w:spacing w:after="0"/>
              <w:rPr>
                <w:sz w:val="20"/>
                <w:szCs w:val="20"/>
                <w:color w:val="auto"/>
              </w:rPr>
            </w:pPr>
            <w:r>
              <w:rPr>
                <w:rFonts w:ascii="Arial" w:cs="Arial" w:eastAsia="Arial" w:hAnsi="Arial"/>
                <w:sz w:val="17"/>
                <w:szCs w:val="17"/>
                <w:color w:val="auto"/>
                <w:w w:val="94"/>
              </w:rPr>
              <w:t>20</w:t>
            </w:r>
          </w:p>
        </w:tc>
        <w:tc>
          <w:tcPr>
            <w:tcW w:w="1000" w:type="dxa"/>
            <w:vAlign w:val="bottom"/>
          </w:tcPr>
          <w:p>
            <w:pPr>
              <w:jc w:val="center"/>
              <w:spacing w:after="0"/>
              <w:rPr>
                <w:sz w:val="20"/>
                <w:szCs w:val="20"/>
                <w:color w:val="auto"/>
              </w:rPr>
            </w:pPr>
            <w:r>
              <w:rPr>
                <w:rFonts w:ascii="Arial" w:cs="Arial" w:eastAsia="Arial" w:hAnsi="Arial"/>
                <w:sz w:val="17"/>
                <w:szCs w:val="17"/>
                <w:color w:val="auto"/>
              </w:rPr>
              <w:t>26</w:t>
            </w: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19</w:t>
            </w:r>
          </w:p>
        </w:tc>
        <w:tc>
          <w:tcPr>
            <w:tcW w:w="108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71418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24" w:lineRule="auto"/>
        <w:rPr>
          <w:sz w:val="20"/>
          <w:szCs w:val="20"/>
          <w:color w:val="auto"/>
        </w:rPr>
      </w:pPr>
      <w:r>
        <w:rPr>
          <w:rFonts w:ascii="Arial" w:cs="Arial" w:eastAsia="Arial" w:hAnsi="Arial"/>
          <w:sz w:val="12"/>
          <w:szCs w:val="12"/>
          <w:i w:val="1"/>
          <w:iCs w:val="1"/>
          <w:color w:val="auto"/>
        </w:rPr>
        <w:t>Sources: INEI, BCRP, y SBS.</w:t>
      </w:r>
    </w:p>
    <w:p>
      <w:pPr>
        <w:ind w:left="180" w:hanging="179"/>
        <w:spacing w:after="0" w:line="219" w:lineRule="auto"/>
        <w:tabs>
          <w:tab w:leader="none" w:pos="1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Financial System, Current Exchange Rate</w:t>
      </w:r>
    </w:p>
    <w:p>
      <w:pPr>
        <w:ind w:left="180" w:hanging="179"/>
        <w:spacing w:after="0" w:line="218" w:lineRule="auto"/>
        <w:tabs>
          <w:tab w:leader="none" w:pos="1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Inflation target: 1% - 3%</w:t>
      </w:r>
    </w:p>
    <w:p>
      <w:pPr>
        <w:ind w:left="180" w:hanging="179"/>
        <w:spacing w:after="0" w:line="218" w:lineRule="auto"/>
        <w:tabs>
          <w:tab w:leader="none" w:pos="1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Estimates by BCP Economic Research as of January 2023</w:t>
      </w:r>
    </w:p>
    <w:p>
      <w:pPr>
        <w:ind w:left="180" w:hanging="179"/>
        <w:spacing w:after="0"/>
        <w:tabs>
          <w:tab w:leader="none" w:pos="1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BCP Economic Research estimates as of January 2023, subject to revision</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3" w:name="page44"/>
    <w:bookmarkEnd w:id="43"/>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11. Economic Outlook</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Main Macroeconomic Variables</w:t>
      </w:r>
    </w:p>
    <w:p>
      <w:pPr>
        <w:spacing w:after="0" w:line="182"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Gross Domestic Product</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(Annual Variations,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116205</wp:posOffset>
            </wp:positionV>
            <wp:extent cx="3994150" cy="15894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994150" cy="158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940"/>
        <w:spacing w:after="0"/>
        <w:rPr>
          <w:sz w:val="20"/>
          <w:szCs w:val="20"/>
          <w:color w:val="auto"/>
        </w:rPr>
      </w:pPr>
      <w:r>
        <w:rPr>
          <w:rFonts w:ascii="Arial" w:cs="Arial" w:eastAsia="Arial" w:hAnsi="Arial"/>
          <w:sz w:val="13"/>
          <w:szCs w:val="13"/>
          <w:color w:val="auto"/>
        </w:rPr>
        <w:t>Sources: BCRP</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Q422, the Peruvian economy is expected to grow around 1.6% YoY (Q322 1.7% YoY). Estimates indicate that recovery in the primary sectors is primarily attributable to the launch of commercial operations at Quellaveco while growth in the primary sectors has continued to slow as private consumption and private investment weaken. According to INEI, the monthly economic activity index grew 1.7% YoY in November (2.0% YoY in October) and 2.7% YoY in the period January to November.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Inflation and Central Bank Reference Rate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-3175</wp:posOffset>
            </wp:positionV>
            <wp:extent cx="4792980" cy="21012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9298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Sources: BCRP and INEI</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Inflation, measured through the Consumer Price index for Metropolitan Lima, closed Q422 at 8.5%, the highest print in 26 years and above the upper boundary of the BCRP´s target range of 1%3% for the second year in a row. In the same period, core inflation (excludes food and energy) rose to 5.6%, which is close the highest print registered in the past 22 years.</w:t>
      </w:r>
    </w:p>
    <w:p>
      <w:pPr>
        <w:spacing w:after="0" w:line="151" w:lineRule="exact"/>
        <w:rPr>
          <w:sz w:val="20"/>
          <w:szCs w:val="20"/>
          <w:color w:val="auto"/>
        </w:rPr>
      </w:pPr>
    </w:p>
    <w:p>
      <w:pPr>
        <w:jc w:val="both"/>
        <w:spacing w:after="0" w:line="214" w:lineRule="auto"/>
        <w:rPr>
          <w:sz w:val="20"/>
          <w:szCs w:val="20"/>
          <w:color w:val="auto"/>
        </w:rPr>
      </w:pPr>
      <w:r>
        <w:rPr>
          <w:rFonts w:ascii="Arial" w:cs="Arial" w:eastAsia="Arial" w:hAnsi="Arial"/>
          <w:sz w:val="17"/>
          <w:szCs w:val="17"/>
          <w:color w:val="auto"/>
        </w:rPr>
        <w:t>The Central Bank of Perú (BCRP) increased its monetary policy rate from 0.25% in July 2021 to 7.50% in December 2022. In its meeting on January 12</w:t>
      </w:r>
      <w:r>
        <w:rPr>
          <w:rFonts w:ascii="Arial" w:cs="Arial" w:eastAsia="Arial" w:hAnsi="Arial"/>
          <w:sz w:val="27"/>
          <w:szCs w:val="27"/>
          <w:color w:val="auto"/>
          <w:vertAlign w:val="superscript"/>
        </w:rPr>
        <w:t>th</w:t>
      </w:r>
      <w:r>
        <w:rPr>
          <w:rFonts w:ascii="Arial" w:cs="Arial" w:eastAsia="Arial" w:hAnsi="Arial"/>
          <w:sz w:val="17"/>
          <w:szCs w:val="17"/>
          <w:color w:val="auto"/>
        </w:rPr>
        <w:t>, BCRP raised its rate again by 25 basis points to 7.75%, a new historical high. The entity began to slow the pace of interest rate hikes in September, cutting its increases from 50 basis points to 25 basis points. Its objective is to bring inflation expectations back into the target range. As of December 2022, inflation expectations among agents in the financial system and economic analysts for the end of 2023 stood at 4.30% (end of 2024 between 3.00% - 3.50%).</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44" w:name="page45"/>
    <w:bookmarkEnd w:id="44"/>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11. Economic Outlook</w:t>
      </w:r>
    </w:p>
    <w:p>
      <w:pPr>
        <w:spacing w:after="0" w:line="38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Fiscal Balance and Current Account Balance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2795905" cy="15576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95905" cy="1557655"/>
                    </a:xfrm>
                    <a:prstGeom prst="rect">
                      <a:avLst/>
                    </a:prstGeom>
                    <a:noFill/>
                  </pic:spPr>
                </pic:pic>
              </a:graphicData>
            </a:graphic>
          </wp:anchor>
        </w:drawing>
      </w:r>
    </w:p>
    <w:p>
      <w:pPr>
        <w:spacing w:after="0" w:line="209" w:lineRule="exact"/>
        <w:rPr>
          <w:sz w:val="20"/>
          <w:szCs w:val="20"/>
          <w:color w:val="auto"/>
        </w:rPr>
      </w:pPr>
    </w:p>
    <w:p>
      <w:pPr>
        <w:jc w:val="both"/>
        <w:ind w:left="5860"/>
        <w:spacing w:after="0" w:line="238" w:lineRule="auto"/>
        <w:rPr>
          <w:sz w:val="20"/>
          <w:szCs w:val="20"/>
          <w:color w:val="auto"/>
        </w:rPr>
      </w:pPr>
      <w:r>
        <w:rPr>
          <w:rFonts w:ascii="Arial" w:cs="Arial" w:eastAsia="Arial" w:hAnsi="Arial"/>
          <w:sz w:val="17"/>
          <w:szCs w:val="17"/>
          <w:color w:val="auto"/>
        </w:rPr>
        <w:t>The annualized fiscal deficit to December was 1.6% of GDP, compared to 2.5% of GDP at the end of 2021. This reduction was primarily driven by an increase in tax revenues (12.7%). Over the same period, current expenditures fell 0.9% due to a decrease in expenses related to COVID-19 while expenses for gross capital formation for public investment rose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Source: BCRP</w:t>
      </w:r>
      <w:r>
        <w:rPr>
          <w:rFonts w:ascii="Arial" w:cs="Arial" w:eastAsia="Arial" w:hAnsi="Arial"/>
          <w:sz w:val="13"/>
          <w:szCs w:val="13"/>
          <w:i w:val="1"/>
          <w:iCs w:val="1"/>
          <w:color w:val="auto"/>
        </w:rPr>
        <w:t>*</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Estimate: BCP</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 December, Standard &amp; Poor´s lowered the outlook for Peru´s long-term debt in foreign currency from stable to negative (and kept the credit rating at</w:t>
      </w:r>
    </w:p>
    <w:p>
      <w:pPr>
        <w:spacing w:after="0" w:line="21" w:lineRule="exact"/>
        <w:rPr>
          <w:sz w:val="20"/>
          <w:szCs w:val="20"/>
          <w:color w:val="auto"/>
        </w:rPr>
      </w:pPr>
    </w:p>
    <w:p>
      <w:pPr>
        <w:jc w:val="both"/>
        <w:ind w:firstLine="1"/>
        <w:spacing w:after="0" w:line="238" w:lineRule="auto"/>
        <w:tabs>
          <w:tab w:leader="none" w:pos="438" w:val="left"/>
        </w:tabs>
        <w:numPr>
          <w:ilvl w:val="0"/>
          <w:numId w:val="41"/>
        </w:numPr>
        <w:rPr>
          <w:rFonts w:ascii="Arial" w:cs="Arial" w:eastAsia="Arial" w:hAnsi="Arial"/>
          <w:sz w:val="17"/>
          <w:szCs w:val="17"/>
          <w:color w:val="auto"/>
        </w:rPr>
      </w:pPr>
      <w:r>
        <w:rPr>
          <w:rFonts w:ascii="Arial" w:cs="Arial" w:eastAsia="Arial" w:hAnsi="Arial"/>
          <w:sz w:val="17"/>
          <w:szCs w:val="17"/>
          <w:color w:val="auto"/>
        </w:rPr>
        <w:t>due to conflict between the executive and legislative branches, which threatens to weaken the government’s ability to implement timely policies. In October, Fitch followed by changing the outlook to negative and holding the rating at BBB. Moody’s, in turn, assigned a credit rating of Baa1 with stable outlook.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Regarding external accounts, the current account deficit closed Q322 at 4.4% of GDP in accumulated terms for the last 4 quarters.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12-month accumulated trade balance surplus to November 2022 was USD 9.7 billion, which falls below the USD 11.4 billion registered in October and far from the historical record of USD 16.1 billion reported in March 2022. Over the same period, exports grew 6.7% YoY to USD 65.9 billion and imports reached a historic high of USD 56.2 billion (18.3% YoY).</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Terms of trade fell 17.6% YoY in November 2022 due to a 12.7% YoY drop in export prices. This drop was driven mainly by a decrease in prices for natural gas and copper and an increase of 5.9% YoY in imports prices. In November, the terms of trade stood around the levels posted in late 2019 and early 2020 and was 19% below the all-time high reached in June 2021.</w:t>
      </w:r>
    </w:p>
    <w:p>
      <w:pPr>
        <w:spacing w:after="0" w:line="151"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Exchange Rate</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(PEN per USD)</w:t>
      </w:r>
    </w:p>
    <w:p>
      <w:pPr>
        <w:spacing w:after="0" w:line="166" w:lineRule="exact"/>
        <w:rPr>
          <w:sz w:val="20"/>
          <w:szCs w:val="20"/>
          <w:color w:val="auto"/>
        </w:rPr>
      </w:pPr>
    </w:p>
    <w:p>
      <w:pPr>
        <w:jc w:val="both"/>
        <w:ind w:left="5860"/>
        <w:spacing w:after="0" w:line="251" w:lineRule="auto"/>
        <w:rPr>
          <w:sz w:val="20"/>
          <w:szCs w:val="20"/>
          <w:color w:val="auto"/>
        </w:rPr>
      </w:pPr>
      <w:r>
        <w:rPr>
          <w:rFonts w:ascii="Arial" w:cs="Arial" w:eastAsia="Arial" w:hAnsi="Arial"/>
          <w:sz w:val="16"/>
          <w:szCs w:val="16"/>
          <w:color w:val="auto"/>
        </w:rPr>
        <w:t>According to BCRP, the exchange rate closed 4Q22 in USDPEN 3.8125, which represents an appreciation of 4.3% compared to the figure at the end of Q322, and 4.1% compared to the print at the end of 2021. The political events of December 2022 (the attempted coup of Pedro Castillo, his subsequent impeachment and the swearing in of Dina Boluarte as the new president of Peru) had a limited effect on the exchange rate. In Q422, the main currencies of Latam appreciated compared to Q322 due to a global weakening of the dollar. The exception was the Colombian peso, which depreciated 5.3%. The Chilean peso, Mexican peso and Brazilian real appreciated 12.2%, 3.2% and 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-1210310</wp:posOffset>
            </wp:positionV>
            <wp:extent cx="2795905" cy="16535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95905" cy="165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Net International Reserves closed Q422 at USD 71.9 billion, which falls below the falls below the figure reported in Q322 (USD 74.0 billion) and the print at end of 2021 (USD 78.5 billion). The Central Bank’s foreign exchange position stood at USD 52.0 billion, which reflects a marginal drop of USD 0.4 billion compared to the figure at the end of Q322.</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45" w:name="page46"/>
    <w:bookmarkEnd w:id="45"/>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11. Economic Outlook</w:t>
      </w:r>
    </w:p>
    <w:p>
      <w:pPr>
        <w:spacing w:after="0" w:line="38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Q422, BCRP intervened only once in the FX spot market to sell USD 10 million. This sales level was lower than the net sales of USD 214 million registered in Q322. FY, the BCRP sold USD 1.2 billion in the spot market (equivalent to 10% of 2021 net sales); intervention was concentrated in the first semester of the year.</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46" w:name="page47"/>
    <w:bookmarkEnd w:id="46"/>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88900</wp:posOffset>
            </wp:positionV>
            <wp:extent cx="7141845" cy="535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Safe Harbor for Forward-Looking Statements</w:t>
      </w:r>
    </w:p>
    <w:p>
      <w:pPr>
        <w:spacing w:after="0" w:line="38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expectations and assumption regarding the future of our business, future plans and strategies, projections, anticipated events and trends, the economy and other future conditions.</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51" w:lineRule="exact"/>
        <w:rPr>
          <w:sz w:val="20"/>
          <w:szCs w:val="20"/>
          <w:color w:val="auto"/>
        </w:rPr>
      </w:pPr>
    </w:p>
    <w:p>
      <w:pPr>
        <w:ind w:left="140" w:hanging="139"/>
        <w:spacing w:after="0"/>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occurrence of natural disasters or political or social instability in Peru;</w:t>
      </w:r>
    </w:p>
    <w:p>
      <w:pPr>
        <w:spacing w:after="0" w:line="9" w:lineRule="exact"/>
        <w:rPr>
          <w:rFonts w:ascii="Arial" w:cs="Arial" w:eastAsia="Arial" w:hAnsi="Arial"/>
          <w:sz w:val="17"/>
          <w:szCs w:val="17"/>
          <w:color w:val="auto"/>
        </w:rPr>
      </w:pPr>
    </w:p>
    <w:p>
      <w:pPr>
        <w:ind w:firstLine="1"/>
        <w:spacing w:after="0" w:line="231" w:lineRule="auto"/>
        <w:tabs>
          <w:tab w:leader="none" w:pos="151"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adequacy of the dividends that our subsidiaries are able to pay to us, which may affect our ability to pay dividends to shareholders and corporate expenses;</w:t>
      </w:r>
    </w:p>
    <w:p>
      <w:pPr>
        <w:spacing w:after="0" w:line="1" w:lineRule="exact"/>
        <w:rPr>
          <w:rFonts w:ascii="Arial" w:cs="Arial" w:eastAsia="Arial" w:hAnsi="Arial"/>
          <w:sz w:val="17"/>
          <w:szCs w:val="17"/>
          <w:color w:val="auto"/>
        </w:rPr>
      </w:pPr>
    </w:p>
    <w:p>
      <w:pPr>
        <w:ind w:left="140" w:hanging="139"/>
        <w:spacing w:after="0" w:line="231" w:lineRule="auto"/>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Performance of, and volatility in, financial markets, including Latin-American and other markets;</w:t>
      </w:r>
    </w:p>
    <w:p>
      <w:pPr>
        <w:ind w:left="140" w:hanging="139"/>
        <w:spacing w:after="0" w:line="231" w:lineRule="auto"/>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frequency, severity and types of insured loss events;</w:t>
      </w:r>
    </w:p>
    <w:p>
      <w:pPr>
        <w:ind w:left="140" w:hanging="139"/>
        <w:spacing w:after="0" w:line="231" w:lineRule="auto"/>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Fluctuations in interest rate levels;</w:t>
      </w:r>
    </w:p>
    <w:p>
      <w:pPr>
        <w:ind w:left="140" w:hanging="139"/>
        <w:spacing w:after="0" w:line="231" w:lineRule="auto"/>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Foreign currency exchange rates, including the Sol/US Dollar exchange rate;</w:t>
      </w:r>
    </w:p>
    <w:p>
      <w:pPr>
        <w:ind w:left="140" w:hanging="139"/>
        <w:spacing w:after="0" w:line="231" w:lineRule="auto"/>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Deterioration in the quality of our loan portfolio;</w:t>
      </w:r>
    </w:p>
    <w:p>
      <w:pPr>
        <w:ind w:left="140" w:hanging="139"/>
        <w:spacing w:after="0" w:line="231" w:lineRule="auto"/>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Increasing levels of competition in Peru and other markets in which we operate;</w:t>
      </w:r>
    </w:p>
    <w:p>
      <w:pPr>
        <w:ind w:left="140" w:hanging="139"/>
        <w:spacing w:after="0" w:line="231" w:lineRule="auto"/>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Developments and changes in laws and regulations affecting the financial sector and adoption of new international guidelines;</w:t>
      </w:r>
    </w:p>
    <w:p>
      <w:pPr>
        <w:ind w:left="140" w:hanging="139"/>
        <w:spacing w:after="0" w:line="231" w:lineRule="auto"/>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the policies of central banks and/or foreign governments;</w:t>
      </w:r>
    </w:p>
    <w:p>
      <w:pPr>
        <w:ind w:left="140" w:hanging="139"/>
        <w:spacing w:after="0" w:line="231" w:lineRule="auto"/>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Effectiveness of our risk management policies and of our operational and security systems;</w:t>
      </w:r>
    </w:p>
    <w:p>
      <w:pPr>
        <w:ind w:left="140" w:hanging="139"/>
        <w:spacing w:after="0" w:line="231" w:lineRule="auto"/>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Losses associated with counterparty exposures;</w:t>
      </w:r>
    </w:p>
    <w:p>
      <w:pPr>
        <w:ind w:right="60" w:firstLine="1"/>
        <w:spacing w:after="0" w:line="231" w:lineRule="auto"/>
        <w:tabs>
          <w:tab w:leader="none" w:pos="14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scope of the coronavirus (“COVID-19”) outbreak, actions taken to contain the COVID-19 and related economic effects from such actions and our ability to maintain adequate staffing; and</w:t>
      </w:r>
    </w:p>
    <w:p>
      <w:pPr>
        <w:spacing w:after="0" w:line="1" w:lineRule="exact"/>
        <w:rPr>
          <w:rFonts w:ascii="Arial" w:cs="Arial" w:eastAsia="Arial" w:hAnsi="Arial"/>
          <w:sz w:val="17"/>
          <w:szCs w:val="17"/>
          <w:color w:val="auto"/>
        </w:rPr>
      </w:pPr>
    </w:p>
    <w:p>
      <w:pPr>
        <w:ind w:left="140" w:hanging="139"/>
        <w:spacing w:after="0"/>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Bermuda laws and regulations applicable to so-called non-resident entities.</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See “Item 3. Key Information—3.D Risk Factors” and “Item 5. Operating and Financial Review and Prospects” in our most recent Annual Report on Form 20-F filed with the U.S. Securities and Exchange Commission for additional information and other such factors. You are cautioned not to place undue reliance on these forward-looking statements, which speak only as of the date hereof and are based only on information currently available to us. Therefore, you should not rely on any of these forward-looking statements. 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47" w:name="page48"/>
    <w:bookmarkEnd w:id="47"/>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672"/>
        </w:trPr>
        <w:tc>
          <w:tcPr>
            <w:tcW w:w="680" w:type="dxa"/>
            <w:vAlign w:val="bottom"/>
          </w:tcPr>
          <w:p>
            <w:pPr>
              <w:spacing w:after="0"/>
              <w:rPr>
                <w:sz w:val="20"/>
                <w:szCs w:val="20"/>
                <w:color w:val="auto"/>
              </w:rPr>
            </w:pPr>
            <w:r>
              <w:rPr>
                <w:rFonts w:ascii="Arial" w:cs="Arial" w:eastAsia="Arial" w:hAnsi="Arial"/>
                <w:sz w:val="49"/>
                <w:szCs w:val="49"/>
                <w:b w:val="1"/>
                <w:bCs w:val="1"/>
                <w:color w:val="E93CAC"/>
              </w:rPr>
              <w:t>12</w:t>
            </w:r>
          </w:p>
        </w:tc>
        <w:tc>
          <w:tcPr>
            <w:tcW w:w="7240" w:type="dxa"/>
            <w:vAlign w:val="bottom"/>
          </w:tcPr>
          <w:p>
            <w:pPr>
              <w:ind w:left="220"/>
              <w:spacing w:after="0"/>
              <w:rPr>
                <w:sz w:val="20"/>
                <w:szCs w:val="20"/>
                <w:color w:val="auto"/>
              </w:rPr>
            </w:pPr>
            <w:r>
              <w:rPr>
                <w:rFonts w:ascii="Arial" w:cs="Arial" w:eastAsia="Arial" w:hAnsi="Arial"/>
                <w:sz w:val="30"/>
                <w:szCs w:val="30"/>
                <w:color w:val="E93CAC"/>
              </w:rPr>
              <w:t>Appendix</w:t>
            </w:r>
          </w:p>
        </w:tc>
        <w:tc>
          <w:tcPr>
            <w:tcW w:w="3320" w:type="dxa"/>
            <w:vAlign w:val="bottom"/>
          </w:tcPr>
          <w:p>
            <w:pPr>
              <w:spacing w:after="0"/>
              <w:rPr>
                <w:sz w:val="24"/>
                <w:szCs w:val="24"/>
                <w:color w:val="auto"/>
              </w:rPr>
            </w:pPr>
          </w:p>
        </w:tc>
      </w:tr>
      <w:tr>
        <w:trPr>
          <w:trHeight w:val="351"/>
        </w:trPr>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auto"/>
              </w:rPr>
              <w:t>12.1 Physical Channels</w:t>
            </w:r>
          </w:p>
        </w:tc>
        <w:tc>
          <w:tcPr>
            <w:tcW w:w="3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2"/>
        </w:trPr>
        <w:tc>
          <w:tcPr>
            <w:tcW w:w="680" w:type="dxa"/>
            <w:vAlign w:val="bottom"/>
          </w:tcPr>
          <w:p>
            <w:pPr>
              <w:ind w:left="240"/>
              <w:spacing w:after="0"/>
              <w:rPr>
                <w:sz w:val="20"/>
                <w:szCs w:val="20"/>
                <w:color w:val="auto"/>
              </w:rPr>
            </w:pPr>
            <w:r>
              <w:rPr>
                <w:rFonts w:ascii="Arial" w:cs="Arial" w:eastAsia="Arial" w:hAnsi="Arial"/>
                <w:sz w:val="18"/>
                <w:szCs w:val="18"/>
                <w:b w:val="1"/>
                <w:bCs w:val="1"/>
                <w:color w:val="auto"/>
              </w:rPr>
              <w:t>12.2.</w:t>
            </w: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Loan Portfolio Quality</w:t>
            </w:r>
          </w:p>
        </w:tc>
        <w:tc>
          <w:tcPr>
            <w:tcW w:w="3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2"/>
        </w:trPr>
        <w:tc>
          <w:tcPr>
            <w:tcW w:w="680" w:type="dxa"/>
            <w:vAlign w:val="bottom"/>
          </w:tcPr>
          <w:p>
            <w:pPr>
              <w:ind w:left="240"/>
              <w:spacing w:after="0"/>
              <w:rPr>
                <w:sz w:val="20"/>
                <w:szCs w:val="20"/>
                <w:color w:val="auto"/>
              </w:rPr>
            </w:pPr>
            <w:r>
              <w:rPr>
                <w:rFonts w:ascii="Arial" w:cs="Arial" w:eastAsia="Arial" w:hAnsi="Arial"/>
                <w:sz w:val="18"/>
                <w:szCs w:val="18"/>
                <w:b w:val="1"/>
                <w:bCs w:val="1"/>
                <w:color w:val="auto"/>
              </w:rPr>
              <w:t>12.3.</w:t>
            </w: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Net Interest Income (INI)</w:t>
            </w:r>
          </w:p>
        </w:tc>
        <w:tc>
          <w:tcPr>
            <w:tcW w:w="3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2"/>
        </w:trPr>
        <w:tc>
          <w:tcPr>
            <w:tcW w:w="680" w:type="dxa"/>
            <w:vAlign w:val="bottom"/>
          </w:tcPr>
          <w:p>
            <w:pPr>
              <w:ind w:left="240"/>
              <w:spacing w:after="0"/>
              <w:rPr>
                <w:sz w:val="20"/>
                <w:szCs w:val="20"/>
                <w:color w:val="auto"/>
              </w:rPr>
            </w:pPr>
            <w:r>
              <w:rPr>
                <w:rFonts w:ascii="Arial" w:cs="Arial" w:eastAsia="Arial" w:hAnsi="Arial"/>
                <w:sz w:val="18"/>
                <w:szCs w:val="18"/>
                <w:b w:val="1"/>
                <w:bCs w:val="1"/>
                <w:color w:val="auto"/>
              </w:rPr>
              <w:t>12.4.</w:t>
            </w: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Regulatory Capital</w:t>
            </w:r>
          </w:p>
        </w:tc>
        <w:tc>
          <w:tcPr>
            <w:tcW w:w="3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2"/>
        </w:trPr>
        <w:tc>
          <w:tcPr>
            <w:tcW w:w="680" w:type="dxa"/>
            <w:vAlign w:val="bottom"/>
          </w:tcPr>
          <w:p>
            <w:pPr>
              <w:ind w:left="240"/>
              <w:spacing w:after="0"/>
              <w:rPr>
                <w:sz w:val="20"/>
                <w:szCs w:val="20"/>
                <w:color w:val="auto"/>
              </w:rPr>
            </w:pPr>
            <w:r>
              <w:rPr>
                <w:rFonts w:ascii="Arial" w:cs="Arial" w:eastAsia="Arial" w:hAnsi="Arial"/>
                <w:sz w:val="18"/>
                <w:szCs w:val="18"/>
                <w:b w:val="1"/>
                <w:bCs w:val="1"/>
                <w:color w:val="auto"/>
              </w:rPr>
              <w:t>12.5.</w:t>
            </w: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and Ratios by Business</w:t>
            </w:r>
          </w:p>
        </w:tc>
        <w:tc>
          <w:tcPr>
            <w:tcW w:w="3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2"/>
        </w:trPr>
        <w:tc>
          <w:tcPr>
            <w:tcW w:w="7920" w:type="dxa"/>
            <w:vAlign w:val="bottom"/>
            <w:gridSpan w:val="2"/>
          </w:tcPr>
          <w:p>
            <w:pPr>
              <w:ind w:left="420"/>
              <w:spacing w:after="0"/>
              <w:rPr>
                <w:sz w:val="20"/>
                <w:szCs w:val="20"/>
                <w:color w:val="auto"/>
              </w:rPr>
            </w:pPr>
            <w:r>
              <w:rPr>
                <w:rFonts w:ascii="Arial" w:cs="Arial" w:eastAsia="Arial" w:hAnsi="Arial"/>
                <w:sz w:val="18"/>
                <w:szCs w:val="18"/>
                <w:b w:val="1"/>
                <w:bCs w:val="1"/>
                <w:color w:val="auto"/>
              </w:rPr>
              <w:t>12.5.1. Credicorp Consolidated</w:t>
            </w:r>
          </w:p>
        </w:tc>
        <w:tc>
          <w:tcPr>
            <w:tcW w:w="3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02"/>
        </w:trPr>
        <w:tc>
          <w:tcPr>
            <w:tcW w:w="7920" w:type="dxa"/>
            <w:vAlign w:val="bottom"/>
            <w:gridSpan w:val="2"/>
          </w:tcPr>
          <w:p>
            <w:pPr>
              <w:ind w:left="420"/>
              <w:spacing w:after="0"/>
              <w:rPr>
                <w:sz w:val="20"/>
                <w:szCs w:val="20"/>
                <w:color w:val="auto"/>
              </w:rPr>
            </w:pPr>
            <w:r>
              <w:rPr>
                <w:rFonts w:ascii="Arial" w:cs="Arial" w:eastAsia="Arial" w:hAnsi="Arial"/>
                <w:sz w:val="18"/>
                <w:szCs w:val="18"/>
                <w:b w:val="1"/>
                <w:bCs w:val="1"/>
                <w:color w:val="auto"/>
              </w:rPr>
              <w:t>12.5.2. Credicorp Stand-alone</w:t>
            </w:r>
          </w:p>
        </w:tc>
        <w:tc>
          <w:tcPr>
            <w:tcW w:w="3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2"/>
        </w:trPr>
        <w:tc>
          <w:tcPr>
            <w:tcW w:w="7920" w:type="dxa"/>
            <w:vAlign w:val="bottom"/>
            <w:gridSpan w:val="2"/>
          </w:tcPr>
          <w:p>
            <w:pPr>
              <w:ind w:left="420"/>
              <w:spacing w:after="0"/>
              <w:rPr>
                <w:sz w:val="20"/>
                <w:szCs w:val="20"/>
                <w:color w:val="auto"/>
              </w:rPr>
            </w:pPr>
            <w:r>
              <w:rPr>
                <w:rFonts w:ascii="Arial" w:cs="Arial" w:eastAsia="Arial" w:hAnsi="Arial"/>
                <w:sz w:val="18"/>
                <w:szCs w:val="18"/>
                <w:b w:val="1"/>
                <w:bCs w:val="1"/>
                <w:color w:val="auto"/>
              </w:rPr>
              <w:t>12.5.3. BCP Consolidated</w:t>
            </w:r>
          </w:p>
        </w:tc>
        <w:tc>
          <w:tcPr>
            <w:tcW w:w="3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02"/>
        </w:trPr>
        <w:tc>
          <w:tcPr>
            <w:tcW w:w="7920" w:type="dxa"/>
            <w:vAlign w:val="bottom"/>
            <w:gridSpan w:val="2"/>
          </w:tcPr>
          <w:p>
            <w:pPr>
              <w:ind w:left="420"/>
              <w:spacing w:after="0"/>
              <w:rPr>
                <w:sz w:val="20"/>
                <w:szCs w:val="20"/>
                <w:color w:val="auto"/>
              </w:rPr>
            </w:pPr>
            <w:r>
              <w:rPr>
                <w:rFonts w:ascii="Arial" w:cs="Arial" w:eastAsia="Arial" w:hAnsi="Arial"/>
                <w:sz w:val="18"/>
                <w:szCs w:val="18"/>
                <w:b w:val="1"/>
                <w:bCs w:val="1"/>
                <w:color w:val="auto"/>
              </w:rPr>
              <w:t>12.5.4. BCP Stand-alone</w:t>
            </w:r>
          </w:p>
        </w:tc>
        <w:tc>
          <w:tcPr>
            <w:tcW w:w="3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2"/>
        </w:trPr>
        <w:tc>
          <w:tcPr>
            <w:tcW w:w="7920" w:type="dxa"/>
            <w:vAlign w:val="bottom"/>
            <w:gridSpan w:val="2"/>
          </w:tcPr>
          <w:p>
            <w:pPr>
              <w:ind w:left="420"/>
              <w:spacing w:after="0"/>
              <w:rPr>
                <w:sz w:val="20"/>
                <w:szCs w:val="20"/>
                <w:color w:val="auto"/>
              </w:rPr>
            </w:pPr>
            <w:r>
              <w:rPr>
                <w:rFonts w:ascii="Arial" w:cs="Arial" w:eastAsia="Arial" w:hAnsi="Arial"/>
                <w:sz w:val="18"/>
                <w:szCs w:val="18"/>
                <w:b w:val="1"/>
                <w:bCs w:val="1"/>
                <w:color w:val="auto"/>
              </w:rPr>
              <w:t>12.5.5. BCP Bolivia</w:t>
            </w:r>
          </w:p>
        </w:tc>
        <w:tc>
          <w:tcPr>
            <w:tcW w:w="3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2"/>
        </w:trPr>
        <w:tc>
          <w:tcPr>
            <w:tcW w:w="7920" w:type="dxa"/>
            <w:vAlign w:val="bottom"/>
            <w:gridSpan w:val="2"/>
          </w:tcPr>
          <w:p>
            <w:pPr>
              <w:ind w:left="420"/>
              <w:spacing w:after="0"/>
              <w:rPr>
                <w:sz w:val="20"/>
                <w:szCs w:val="20"/>
                <w:color w:val="auto"/>
              </w:rPr>
            </w:pPr>
            <w:r>
              <w:rPr>
                <w:rFonts w:ascii="Arial" w:cs="Arial" w:eastAsia="Arial" w:hAnsi="Arial"/>
                <w:sz w:val="18"/>
                <w:szCs w:val="18"/>
                <w:b w:val="1"/>
                <w:bCs w:val="1"/>
                <w:color w:val="auto"/>
              </w:rPr>
              <w:t>12.5.6. Mibanco</w:t>
            </w:r>
          </w:p>
        </w:tc>
        <w:tc>
          <w:tcPr>
            <w:tcW w:w="3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02"/>
        </w:trPr>
        <w:tc>
          <w:tcPr>
            <w:tcW w:w="7920" w:type="dxa"/>
            <w:vAlign w:val="bottom"/>
            <w:gridSpan w:val="2"/>
          </w:tcPr>
          <w:p>
            <w:pPr>
              <w:ind w:left="420"/>
              <w:spacing w:after="0"/>
              <w:rPr>
                <w:sz w:val="20"/>
                <w:szCs w:val="20"/>
                <w:color w:val="auto"/>
              </w:rPr>
            </w:pPr>
            <w:r>
              <w:rPr>
                <w:rFonts w:ascii="Arial" w:cs="Arial" w:eastAsia="Arial" w:hAnsi="Arial"/>
                <w:sz w:val="18"/>
                <w:szCs w:val="18"/>
                <w:b w:val="1"/>
                <w:bCs w:val="1"/>
                <w:color w:val="auto"/>
              </w:rPr>
              <w:t>12.5.7. Prima AFP</w:t>
            </w:r>
          </w:p>
        </w:tc>
        <w:tc>
          <w:tcPr>
            <w:tcW w:w="33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02"/>
        </w:trPr>
        <w:tc>
          <w:tcPr>
            <w:tcW w:w="7920" w:type="dxa"/>
            <w:vAlign w:val="bottom"/>
            <w:gridSpan w:val="2"/>
          </w:tcPr>
          <w:p>
            <w:pPr>
              <w:ind w:left="420"/>
              <w:spacing w:after="0"/>
              <w:rPr>
                <w:sz w:val="20"/>
                <w:szCs w:val="20"/>
                <w:color w:val="auto"/>
              </w:rPr>
            </w:pPr>
            <w:r>
              <w:rPr>
                <w:rFonts w:ascii="Arial" w:cs="Arial" w:eastAsia="Arial" w:hAnsi="Arial"/>
                <w:sz w:val="18"/>
                <w:szCs w:val="18"/>
                <w:b w:val="1"/>
                <w:bCs w:val="1"/>
                <w:color w:val="auto"/>
              </w:rPr>
              <w:t>12.5.8. Grupo Pacifico</w:t>
            </w:r>
          </w:p>
        </w:tc>
        <w:tc>
          <w:tcPr>
            <w:tcW w:w="33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02"/>
        </w:trPr>
        <w:tc>
          <w:tcPr>
            <w:tcW w:w="7920" w:type="dxa"/>
            <w:vAlign w:val="bottom"/>
            <w:gridSpan w:val="2"/>
          </w:tcPr>
          <w:p>
            <w:pPr>
              <w:ind w:left="420"/>
              <w:spacing w:after="0"/>
              <w:rPr>
                <w:sz w:val="20"/>
                <w:szCs w:val="20"/>
                <w:color w:val="auto"/>
              </w:rPr>
            </w:pPr>
            <w:r>
              <w:rPr>
                <w:rFonts w:ascii="Arial" w:cs="Arial" w:eastAsia="Arial" w:hAnsi="Arial"/>
                <w:sz w:val="18"/>
                <w:szCs w:val="18"/>
                <w:b w:val="1"/>
                <w:bCs w:val="1"/>
                <w:color w:val="auto"/>
              </w:rPr>
              <w:t>12.5.9. Investment Banking &amp; Wealth Management</w:t>
            </w:r>
          </w:p>
        </w:tc>
        <w:tc>
          <w:tcPr>
            <w:tcW w:w="3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2"/>
        </w:trPr>
        <w:tc>
          <w:tcPr>
            <w:tcW w:w="680" w:type="dxa"/>
            <w:vAlign w:val="bottom"/>
          </w:tcPr>
          <w:p>
            <w:pPr>
              <w:ind w:left="240"/>
              <w:spacing w:after="0"/>
              <w:rPr>
                <w:sz w:val="20"/>
                <w:szCs w:val="20"/>
                <w:color w:val="auto"/>
              </w:rPr>
            </w:pPr>
            <w:r>
              <w:rPr>
                <w:rFonts w:ascii="Arial" w:cs="Arial" w:eastAsia="Arial" w:hAnsi="Arial"/>
                <w:sz w:val="18"/>
                <w:szCs w:val="18"/>
                <w:b w:val="1"/>
                <w:bCs w:val="1"/>
                <w:color w:val="auto"/>
              </w:rPr>
              <w:t>12.6.</w:t>
            </w: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Table of calculations</w:t>
            </w:r>
          </w:p>
        </w:tc>
        <w:tc>
          <w:tcPr>
            <w:tcW w:w="3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2"/>
        </w:trPr>
        <w:tc>
          <w:tcPr>
            <w:tcW w:w="680" w:type="dxa"/>
            <w:vAlign w:val="bottom"/>
          </w:tcPr>
          <w:p>
            <w:pPr>
              <w:ind w:left="240"/>
              <w:spacing w:after="0"/>
              <w:rPr>
                <w:sz w:val="20"/>
                <w:szCs w:val="20"/>
                <w:color w:val="auto"/>
              </w:rPr>
            </w:pPr>
            <w:r>
              <w:rPr>
                <w:rFonts w:ascii="Arial" w:cs="Arial" w:eastAsia="Arial" w:hAnsi="Arial"/>
                <w:sz w:val="18"/>
                <w:szCs w:val="18"/>
                <w:b w:val="1"/>
                <w:bCs w:val="1"/>
                <w:color w:val="auto"/>
              </w:rPr>
              <w:t>12.7.</w:t>
            </w: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Glossary of terms</w:t>
            </w:r>
          </w:p>
        </w:tc>
        <w:tc>
          <w:tcPr>
            <w:tcW w:w="3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02"/>
        </w:trPr>
        <w:tc>
          <w:tcPr>
            <w:tcW w:w="6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39"/>
        </w:trPr>
        <w:tc>
          <w:tcPr>
            <w:tcW w:w="680" w:type="dxa"/>
            <w:vAlign w:val="bottom"/>
            <w:tcBorders>
              <w:bottom w:val="single" w:sz="8" w:color="auto"/>
            </w:tcBorders>
          </w:tcPr>
          <w:p>
            <w:pPr>
              <w:spacing w:after="0"/>
              <w:rPr>
                <w:sz w:val="3"/>
                <w:szCs w:val="3"/>
                <w:color w:val="auto"/>
              </w:rPr>
            </w:pPr>
          </w:p>
        </w:tc>
        <w:tc>
          <w:tcPr>
            <w:tcW w:w="724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621" w:right="339" w:bottom="1440" w:gutter="0" w:footer="0" w:header="0"/>
        </w:sectPr>
      </w:pPr>
    </w:p>
    <w:bookmarkStart w:id="48" w:name="page49"/>
    <w:bookmarkEnd w:id="48"/>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12. Appendix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spacing w:after="0"/>
              <w:rPr>
                <w:sz w:val="20"/>
                <w:szCs w:val="20"/>
                <w:color w:val="auto"/>
              </w:rPr>
            </w:pPr>
            <w:r>
              <w:rPr>
                <w:rFonts w:ascii="Arial" w:cs="Arial" w:eastAsia="Arial" w:hAnsi="Arial"/>
                <w:sz w:val="17"/>
                <w:szCs w:val="17"/>
                <w:b w:val="1"/>
                <w:bCs w:val="1"/>
                <w:color w:val="auto"/>
                <w:w w:val="95"/>
              </w:rPr>
              <w:t>12.1.</w:t>
            </w:r>
          </w:p>
        </w:tc>
        <w:tc>
          <w:tcPr>
            <w:tcW w:w="4120" w:type="dxa"/>
            <w:vAlign w:val="bottom"/>
            <w:gridSpan w:val="2"/>
          </w:tcPr>
          <w:p>
            <w:pPr>
              <w:ind w:left="20"/>
              <w:spacing w:after="0"/>
              <w:rPr>
                <w:sz w:val="20"/>
                <w:szCs w:val="20"/>
                <w:color w:val="auto"/>
              </w:rPr>
            </w:pPr>
            <w:r>
              <w:rPr>
                <w:rFonts w:ascii="Arial" w:cs="Arial" w:eastAsia="Arial" w:hAnsi="Arial"/>
                <w:sz w:val="17"/>
                <w:szCs w:val="17"/>
                <w:b w:val="1"/>
                <w:bCs w:val="1"/>
                <w:color w:val="auto"/>
              </w:rPr>
              <w:t>Physical Point of contact</w:t>
            </w: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2"/>
        </w:trPr>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spacing w:after="0"/>
              <w:rPr>
                <w:sz w:val="17"/>
                <w:szCs w:val="17"/>
                <w:color w:val="auto"/>
              </w:rPr>
            </w:pPr>
          </w:p>
        </w:tc>
      </w:tr>
      <w:tr>
        <w:trPr>
          <w:trHeight w:val="144"/>
        </w:trPr>
        <w:tc>
          <w:tcPr>
            <w:tcW w:w="40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3360" w:type="dxa"/>
            <w:vAlign w:val="bottom"/>
            <w:tcBorders>
              <w:right w:val="single" w:sz="8" w:color="auto"/>
            </w:tcBorders>
            <w:shd w:val="clear" w:color="auto" w:fill="29D2C9"/>
          </w:tcPr>
          <w:p>
            <w:pPr>
              <w:spacing w:after="0" w:line="144" w:lineRule="exact"/>
              <w:rPr>
                <w:sz w:val="20"/>
                <w:szCs w:val="20"/>
                <w:color w:val="auto"/>
              </w:rPr>
            </w:pPr>
            <w:r>
              <w:rPr>
                <w:rFonts w:ascii="Arial" w:cs="Arial" w:eastAsia="Arial" w:hAnsi="Arial"/>
                <w:sz w:val="13"/>
                <w:szCs w:val="13"/>
                <w:b w:val="1"/>
                <w:bCs w:val="1"/>
                <w:color w:val="FFFFFF"/>
              </w:rPr>
              <w:t>Physical Point of Contact</w:t>
            </w:r>
          </w:p>
        </w:tc>
        <w:tc>
          <w:tcPr>
            <w:tcW w:w="1260" w:type="dxa"/>
            <w:vAlign w:val="bottom"/>
            <w:shd w:val="clear" w:color="auto" w:fill="29D2C9"/>
          </w:tcPr>
          <w:p>
            <w:pPr>
              <w:spacing w:after="0"/>
              <w:rPr>
                <w:sz w:val="12"/>
                <w:szCs w:val="12"/>
                <w:color w:val="auto"/>
              </w:rPr>
            </w:pPr>
          </w:p>
        </w:tc>
        <w:tc>
          <w:tcPr>
            <w:tcW w:w="1100" w:type="dxa"/>
            <w:vAlign w:val="bottom"/>
            <w:shd w:val="clear" w:color="auto" w:fill="29D2C9"/>
          </w:tcPr>
          <w:p>
            <w:pPr>
              <w:jc w:val="right"/>
              <w:ind w:right="473"/>
              <w:spacing w:after="0" w:line="144" w:lineRule="exact"/>
              <w:rPr>
                <w:sz w:val="20"/>
                <w:szCs w:val="20"/>
                <w:color w:val="auto"/>
              </w:rPr>
            </w:pPr>
            <w:r>
              <w:rPr>
                <w:rFonts w:ascii="Arial" w:cs="Arial" w:eastAsia="Arial" w:hAnsi="Arial"/>
                <w:sz w:val="13"/>
                <w:szCs w:val="13"/>
                <w:b w:val="1"/>
                <w:bCs w:val="1"/>
                <w:color w:val="FFFFFF"/>
              </w:rPr>
              <w:t>As of</w:t>
            </w:r>
          </w:p>
        </w:tc>
        <w:tc>
          <w:tcPr>
            <w:tcW w:w="1000" w:type="dxa"/>
            <w:vAlign w:val="bottom"/>
            <w:tcBorders>
              <w:right w:val="single" w:sz="8" w:color="auto"/>
            </w:tcBorders>
            <w:shd w:val="clear" w:color="auto" w:fill="29D2C9"/>
          </w:tcPr>
          <w:p>
            <w:pPr>
              <w:spacing w:after="0"/>
              <w:rPr>
                <w:sz w:val="12"/>
                <w:szCs w:val="12"/>
                <w:color w:val="auto"/>
              </w:rPr>
            </w:pPr>
          </w:p>
        </w:tc>
        <w:tc>
          <w:tcPr>
            <w:tcW w:w="2260" w:type="dxa"/>
            <w:vAlign w:val="bottom"/>
            <w:tcBorders>
              <w:right w:val="single" w:sz="8" w:color="auto"/>
            </w:tcBorders>
            <w:gridSpan w:val="2"/>
            <w:shd w:val="clear" w:color="auto" w:fill="29D2C9"/>
          </w:tcPr>
          <w:p>
            <w:pPr>
              <w:jc w:val="right"/>
              <w:ind w:right="633"/>
              <w:spacing w:after="0" w:line="144" w:lineRule="exact"/>
              <w:rPr>
                <w:sz w:val="20"/>
                <w:szCs w:val="20"/>
                <w:color w:val="auto"/>
              </w:rPr>
            </w:pPr>
            <w:r>
              <w:rPr>
                <w:rFonts w:ascii="Arial" w:cs="Arial" w:eastAsia="Arial" w:hAnsi="Arial"/>
                <w:sz w:val="13"/>
                <w:szCs w:val="13"/>
                <w:b w:val="1"/>
                <w:bCs w:val="1"/>
                <w:color w:val="FFFFFF"/>
              </w:rPr>
              <w:t>change (units)</w:t>
            </w:r>
          </w:p>
        </w:tc>
      </w:tr>
      <w:tr>
        <w:trPr>
          <w:trHeight w:val="151"/>
        </w:trPr>
        <w:tc>
          <w:tcPr>
            <w:tcW w:w="4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360" w:type="dxa"/>
            <w:vAlign w:val="bottom"/>
            <w:tcBorders>
              <w:bottom w:val="single" w:sz="8" w:color="auto"/>
              <w:right w:val="single" w:sz="8" w:color="auto"/>
            </w:tcBorders>
            <w:shd w:val="clear" w:color="auto" w:fill="29D2C9"/>
          </w:tcPr>
          <w:p>
            <w:pPr>
              <w:spacing w:after="0"/>
              <w:rPr>
                <w:sz w:val="20"/>
                <w:szCs w:val="20"/>
                <w:color w:val="auto"/>
              </w:rPr>
            </w:pPr>
            <w:r>
              <w:rPr>
                <w:rFonts w:ascii="Arial" w:cs="Arial" w:eastAsia="Arial" w:hAnsi="Arial"/>
                <w:sz w:val="13"/>
                <w:szCs w:val="13"/>
                <w:b w:val="1"/>
                <w:bCs w:val="1"/>
                <w:color w:val="FFFFFF"/>
              </w:rPr>
              <w:t>(Units)</w:t>
            </w:r>
          </w:p>
        </w:tc>
        <w:tc>
          <w:tcPr>
            <w:tcW w:w="1260" w:type="dxa"/>
            <w:vAlign w:val="bottom"/>
            <w:tcBorders>
              <w:bottom w:val="single" w:sz="8" w:color="auto"/>
            </w:tcBorders>
            <w:shd w:val="clear" w:color="auto" w:fill="29D2C9"/>
          </w:tcPr>
          <w:p>
            <w:pPr>
              <w:jc w:val="right"/>
              <w:ind w:right="433"/>
              <w:spacing w:after="0"/>
              <w:rPr>
                <w:sz w:val="20"/>
                <w:szCs w:val="20"/>
                <w:color w:val="auto"/>
              </w:rPr>
            </w:pPr>
            <w:r>
              <w:rPr>
                <w:rFonts w:ascii="Arial" w:cs="Arial" w:eastAsia="Arial" w:hAnsi="Arial"/>
                <w:sz w:val="13"/>
                <w:szCs w:val="13"/>
                <w:b w:val="1"/>
                <w:bCs w:val="1"/>
                <w:color w:val="FFFFFF"/>
              </w:rPr>
              <w:t>Sep-21</w:t>
            </w:r>
          </w:p>
        </w:tc>
        <w:tc>
          <w:tcPr>
            <w:tcW w:w="1100" w:type="dxa"/>
            <w:vAlign w:val="bottom"/>
            <w:tcBorders>
              <w:bottom w:val="single" w:sz="8" w:color="auto"/>
            </w:tcBorders>
            <w:shd w:val="clear" w:color="auto" w:fill="29D2C9"/>
          </w:tcPr>
          <w:p>
            <w:pPr>
              <w:jc w:val="right"/>
              <w:ind w:right="413"/>
              <w:spacing w:after="0"/>
              <w:rPr>
                <w:sz w:val="20"/>
                <w:szCs w:val="20"/>
                <w:color w:val="auto"/>
              </w:rPr>
            </w:pPr>
            <w:r>
              <w:rPr>
                <w:rFonts w:ascii="Arial" w:cs="Arial" w:eastAsia="Arial" w:hAnsi="Arial"/>
                <w:sz w:val="13"/>
                <w:szCs w:val="13"/>
                <w:b w:val="1"/>
                <w:bCs w:val="1"/>
                <w:color w:val="FFFFFF"/>
              </w:rPr>
              <w:t>Jun-22</w:t>
            </w:r>
          </w:p>
        </w:tc>
        <w:tc>
          <w:tcPr>
            <w:tcW w:w="1000" w:type="dxa"/>
            <w:vAlign w:val="bottom"/>
            <w:tcBorders>
              <w:bottom w:val="single" w:sz="8" w:color="auto"/>
              <w:right w:val="single" w:sz="8" w:color="auto"/>
            </w:tcBorders>
            <w:shd w:val="clear" w:color="auto" w:fill="29D2C9"/>
          </w:tcPr>
          <w:p>
            <w:pPr>
              <w:jc w:val="right"/>
              <w:ind w:right="333"/>
              <w:spacing w:after="0"/>
              <w:rPr>
                <w:sz w:val="20"/>
                <w:szCs w:val="20"/>
                <w:color w:val="auto"/>
              </w:rPr>
            </w:pPr>
            <w:r>
              <w:rPr>
                <w:rFonts w:ascii="Arial" w:cs="Arial" w:eastAsia="Arial" w:hAnsi="Arial"/>
                <w:sz w:val="13"/>
                <w:szCs w:val="13"/>
                <w:b w:val="1"/>
                <w:bCs w:val="1"/>
                <w:color w:val="FFFFFF"/>
              </w:rPr>
              <w:t>Sep-22</w:t>
            </w:r>
          </w:p>
        </w:tc>
        <w:tc>
          <w:tcPr>
            <w:tcW w:w="1300" w:type="dxa"/>
            <w:vAlign w:val="bottom"/>
            <w:tcBorders>
              <w:bottom w:val="single" w:sz="8" w:color="auto"/>
            </w:tcBorders>
            <w:shd w:val="clear" w:color="auto" w:fill="29D2C9"/>
          </w:tcPr>
          <w:p>
            <w:pPr>
              <w:jc w:val="right"/>
              <w:ind w:right="553"/>
              <w:spacing w:after="0"/>
              <w:rPr>
                <w:sz w:val="20"/>
                <w:szCs w:val="20"/>
                <w:color w:val="auto"/>
              </w:rPr>
            </w:pPr>
            <w:r>
              <w:rPr>
                <w:rFonts w:ascii="Arial" w:cs="Arial" w:eastAsia="Arial" w:hAnsi="Arial"/>
                <w:sz w:val="13"/>
                <w:szCs w:val="13"/>
                <w:b w:val="1"/>
                <w:bCs w:val="1"/>
                <w:color w:val="FFFFFF"/>
              </w:rPr>
              <w:t>QoQ</w:t>
            </w:r>
          </w:p>
        </w:tc>
        <w:tc>
          <w:tcPr>
            <w:tcW w:w="960" w:type="dxa"/>
            <w:vAlign w:val="bottom"/>
            <w:tcBorders>
              <w:bottom w:val="single" w:sz="8" w:color="auto"/>
              <w:right w:val="single" w:sz="8" w:color="auto"/>
            </w:tcBorders>
            <w:shd w:val="clear" w:color="auto" w:fill="29D2C9"/>
          </w:tcPr>
          <w:p>
            <w:pPr>
              <w:jc w:val="right"/>
              <w:ind w:right="453"/>
              <w:spacing w:after="0"/>
              <w:rPr>
                <w:sz w:val="20"/>
                <w:szCs w:val="20"/>
                <w:color w:val="auto"/>
              </w:rPr>
            </w:pPr>
            <w:r>
              <w:rPr>
                <w:rFonts w:ascii="Arial" w:cs="Arial" w:eastAsia="Arial" w:hAnsi="Arial"/>
                <w:sz w:val="13"/>
                <w:szCs w:val="13"/>
                <w:b w:val="1"/>
                <w:bCs w:val="1"/>
                <w:color w:val="FFFFFF"/>
              </w:rPr>
              <w:t>YoY</w:t>
            </w:r>
          </w:p>
        </w:tc>
      </w:tr>
      <w:tr>
        <w:trPr>
          <w:trHeight w:val="136"/>
        </w:trPr>
        <w:tc>
          <w:tcPr>
            <w:tcW w:w="4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3360" w:type="dxa"/>
            <w:vAlign w:val="bottom"/>
            <w:tcBorders>
              <w:right w:val="single" w:sz="8" w:color="auto"/>
            </w:tcBorders>
          </w:tcPr>
          <w:p>
            <w:pPr>
              <w:spacing w:after="0" w:line="136" w:lineRule="exact"/>
              <w:rPr>
                <w:sz w:val="20"/>
                <w:szCs w:val="20"/>
                <w:color w:val="auto"/>
              </w:rPr>
            </w:pPr>
            <w:r>
              <w:rPr>
                <w:rFonts w:ascii="Arial" w:cs="Arial" w:eastAsia="Arial" w:hAnsi="Arial"/>
                <w:sz w:val="13"/>
                <w:szCs w:val="13"/>
                <w:color w:val="auto"/>
              </w:rPr>
              <w:t>Branches</w:t>
            </w:r>
          </w:p>
        </w:tc>
        <w:tc>
          <w:tcPr>
            <w:tcW w:w="1260" w:type="dxa"/>
            <w:vAlign w:val="bottom"/>
          </w:tcPr>
          <w:p>
            <w:pPr>
              <w:jc w:val="right"/>
              <w:ind w:right="93"/>
              <w:spacing w:after="0" w:line="136" w:lineRule="exact"/>
              <w:rPr>
                <w:sz w:val="20"/>
                <w:szCs w:val="20"/>
                <w:color w:val="auto"/>
              </w:rPr>
            </w:pPr>
            <w:r>
              <w:rPr>
                <w:rFonts w:ascii="Arial" w:cs="Arial" w:eastAsia="Arial" w:hAnsi="Arial"/>
                <w:sz w:val="13"/>
                <w:szCs w:val="13"/>
                <w:color w:val="auto"/>
              </w:rPr>
              <w:t>721</w:t>
            </w:r>
          </w:p>
        </w:tc>
        <w:tc>
          <w:tcPr>
            <w:tcW w:w="1100" w:type="dxa"/>
            <w:vAlign w:val="bottom"/>
          </w:tcPr>
          <w:p>
            <w:pPr>
              <w:jc w:val="right"/>
              <w:ind w:right="73"/>
              <w:spacing w:after="0" w:line="136" w:lineRule="exact"/>
              <w:rPr>
                <w:sz w:val="20"/>
                <w:szCs w:val="20"/>
                <w:color w:val="auto"/>
              </w:rPr>
            </w:pPr>
            <w:r>
              <w:rPr>
                <w:rFonts w:ascii="Arial" w:cs="Arial" w:eastAsia="Arial" w:hAnsi="Arial"/>
                <w:sz w:val="13"/>
                <w:szCs w:val="13"/>
                <w:color w:val="auto"/>
              </w:rPr>
              <w:t>691</w:t>
            </w:r>
          </w:p>
        </w:tc>
        <w:tc>
          <w:tcPr>
            <w:tcW w:w="100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681</w:t>
            </w:r>
          </w:p>
        </w:tc>
        <w:tc>
          <w:tcPr>
            <w:tcW w:w="130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-10</w:t>
            </w:r>
          </w:p>
        </w:tc>
        <w:tc>
          <w:tcPr>
            <w:tcW w:w="96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-40</w:t>
            </w:r>
          </w:p>
        </w:tc>
      </w:tr>
      <w:tr>
        <w:trPr>
          <w:trHeight w:val="151"/>
        </w:trPr>
        <w:tc>
          <w:tcPr>
            <w:tcW w:w="4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3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ATMs</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2,554</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2,540</w:t>
            </w: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2,598</w:t>
            </w:r>
          </w:p>
        </w:tc>
        <w:tc>
          <w:tcPr>
            <w:tcW w:w="1300" w:type="dxa"/>
            <w:vAlign w:val="bottom"/>
          </w:tcPr>
          <w:p>
            <w:pPr>
              <w:jc w:val="right"/>
              <w:ind w:right="133"/>
              <w:spacing w:after="0"/>
              <w:rPr>
                <w:sz w:val="20"/>
                <w:szCs w:val="20"/>
                <w:color w:val="auto"/>
              </w:rPr>
            </w:pPr>
            <w:r>
              <w:rPr>
                <w:rFonts w:ascii="Arial" w:cs="Arial" w:eastAsia="Arial" w:hAnsi="Arial"/>
                <w:sz w:val="13"/>
                <w:szCs w:val="13"/>
                <w:color w:val="auto"/>
              </w:rPr>
              <w:t>58</w:t>
            </w:r>
          </w:p>
        </w:tc>
        <w:tc>
          <w:tcPr>
            <w:tcW w:w="9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44</w:t>
            </w:r>
          </w:p>
        </w:tc>
      </w:tr>
      <w:tr>
        <w:trPr>
          <w:trHeight w:val="159"/>
        </w:trPr>
        <w:tc>
          <w:tcPr>
            <w:tcW w:w="4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Agentes</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7,896</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9,863</w:t>
            </w:r>
          </w:p>
        </w:tc>
        <w:tc>
          <w:tcPr>
            <w:tcW w:w="10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10,525</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662</w:t>
            </w:r>
          </w:p>
        </w:tc>
        <w:tc>
          <w:tcPr>
            <w:tcW w:w="9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2,629</w:t>
            </w:r>
          </w:p>
        </w:tc>
      </w:tr>
      <w:tr>
        <w:trPr>
          <w:trHeight w:val="144"/>
        </w:trPr>
        <w:tc>
          <w:tcPr>
            <w:tcW w:w="40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Total</w:t>
            </w:r>
          </w:p>
        </w:tc>
        <w:tc>
          <w:tcPr>
            <w:tcW w:w="1260" w:type="dxa"/>
            <w:vAlign w:val="bottom"/>
            <w:tcBorders>
              <w:bottom w:val="single" w:sz="8" w:color="auto"/>
            </w:tcBorders>
          </w:tcPr>
          <w:p>
            <w:pPr>
              <w:jc w:val="right"/>
              <w:ind w:right="93"/>
              <w:spacing w:after="0" w:line="144" w:lineRule="exact"/>
              <w:rPr>
                <w:sz w:val="20"/>
                <w:szCs w:val="20"/>
                <w:color w:val="auto"/>
              </w:rPr>
            </w:pPr>
            <w:r>
              <w:rPr>
                <w:rFonts w:ascii="Arial" w:cs="Arial" w:eastAsia="Arial" w:hAnsi="Arial"/>
                <w:sz w:val="13"/>
                <w:szCs w:val="13"/>
                <w:b w:val="1"/>
                <w:bCs w:val="1"/>
                <w:color w:val="auto"/>
              </w:rPr>
              <w:t>11,171</w:t>
            </w:r>
          </w:p>
        </w:tc>
        <w:tc>
          <w:tcPr>
            <w:tcW w:w="1100" w:type="dxa"/>
            <w:vAlign w:val="bottom"/>
            <w:tcBorders>
              <w:bottom w:val="single" w:sz="8" w:color="auto"/>
            </w:tcBorders>
          </w:tcPr>
          <w:p>
            <w:pPr>
              <w:jc w:val="right"/>
              <w:ind w:right="73"/>
              <w:spacing w:after="0" w:line="144" w:lineRule="exact"/>
              <w:rPr>
                <w:sz w:val="20"/>
                <w:szCs w:val="20"/>
                <w:color w:val="auto"/>
              </w:rPr>
            </w:pPr>
            <w:r>
              <w:rPr>
                <w:rFonts w:ascii="Arial" w:cs="Arial" w:eastAsia="Arial" w:hAnsi="Arial"/>
                <w:sz w:val="13"/>
                <w:szCs w:val="13"/>
                <w:b w:val="1"/>
                <w:bCs w:val="1"/>
                <w:color w:val="auto"/>
              </w:rPr>
              <w:t>13,094</w:t>
            </w:r>
          </w:p>
        </w:tc>
        <w:tc>
          <w:tcPr>
            <w:tcW w:w="100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13,804</w:t>
            </w:r>
          </w:p>
        </w:tc>
        <w:tc>
          <w:tcPr>
            <w:tcW w:w="1300" w:type="dxa"/>
            <w:vAlign w:val="bottom"/>
            <w:tcBorders>
              <w:bottom w:val="single" w:sz="8" w:color="auto"/>
            </w:tcBorders>
          </w:tcPr>
          <w:p>
            <w:pPr>
              <w:jc w:val="right"/>
              <w:ind w:right="133"/>
              <w:spacing w:after="0" w:line="144" w:lineRule="exact"/>
              <w:rPr>
                <w:sz w:val="20"/>
                <w:szCs w:val="20"/>
                <w:color w:val="auto"/>
              </w:rPr>
            </w:pPr>
            <w:r>
              <w:rPr>
                <w:rFonts w:ascii="Arial" w:cs="Arial" w:eastAsia="Arial" w:hAnsi="Arial"/>
                <w:sz w:val="13"/>
                <w:szCs w:val="13"/>
                <w:b w:val="1"/>
                <w:bCs w:val="1"/>
                <w:color w:val="auto"/>
              </w:rPr>
              <w:t>710</w:t>
            </w:r>
          </w:p>
        </w:tc>
        <w:tc>
          <w:tcPr>
            <w:tcW w:w="960" w:type="dxa"/>
            <w:vAlign w:val="bottom"/>
            <w:tcBorders>
              <w:bottom w:val="single" w:sz="8" w:color="auto"/>
              <w:right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2,633</w:t>
            </w:r>
          </w:p>
        </w:tc>
      </w:tr>
      <w:tr>
        <w:trPr>
          <w:trHeight w:val="394"/>
        </w:trPr>
        <w:tc>
          <w:tcPr>
            <w:tcW w:w="400" w:type="dxa"/>
            <w:vAlign w:val="bottom"/>
          </w:tcPr>
          <w:p>
            <w:pPr>
              <w:jc w:val="right"/>
              <w:spacing w:after="0"/>
              <w:rPr>
                <w:sz w:val="20"/>
                <w:szCs w:val="20"/>
                <w:color w:val="auto"/>
              </w:rPr>
            </w:pPr>
            <w:r>
              <w:rPr>
                <w:rFonts w:ascii="Arial" w:cs="Arial" w:eastAsia="Arial" w:hAnsi="Arial"/>
                <w:sz w:val="17"/>
                <w:szCs w:val="17"/>
                <w:b w:val="1"/>
                <w:bCs w:val="1"/>
                <w:color w:val="auto"/>
                <w:w w:val="95"/>
              </w:rPr>
              <w:t>12.2.</w:t>
            </w:r>
          </w:p>
        </w:tc>
        <w:tc>
          <w:tcPr>
            <w:tcW w:w="4120" w:type="dxa"/>
            <w:vAlign w:val="bottom"/>
            <w:gridSpan w:val="2"/>
          </w:tcPr>
          <w:p>
            <w:pPr>
              <w:ind w:left="20"/>
              <w:spacing w:after="0"/>
              <w:rPr>
                <w:sz w:val="20"/>
                <w:szCs w:val="20"/>
                <w:color w:val="auto"/>
              </w:rPr>
            </w:pPr>
            <w:r>
              <w:rPr>
                <w:rFonts w:ascii="Arial" w:cs="Arial" w:eastAsia="Arial" w:hAnsi="Arial"/>
                <w:sz w:val="17"/>
                <w:szCs w:val="17"/>
                <w:b w:val="1"/>
                <w:bCs w:val="1"/>
                <w:color w:val="auto"/>
              </w:rPr>
              <w:t>Loan Portfolio Quality</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Loan Portfolio Quality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130175</wp:posOffset>
            </wp:positionV>
            <wp:extent cx="4553585" cy="26441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53585" cy="2644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Government Program (GP) Loan Portfolio Quality (in Quarter-end Balances)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4140" w:type="dxa"/>
            <w:vAlign w:val="bottom"/>
            <w:tcBorders>
              <w:top w:val="single" w:sz="8" w:color="auto"/>
              <w:left w:val="single" w:sz="8" w:color="auto"/>
              <w:right w:val="single" w:sz="8" w:color="auto"/>
            </w:tcBorders>
            <w:shd w:val="clear" w:color="auto" w:fill="29D2C9"/>
          </w:tcPr>
          <w:p>
            <w:pPr>
              <w:ind w:left="20"/>
              <w:spacing w:after="0"/>
              <w:rPr>
                <w:sz w:val="20"/>
                <w:szCs w:val="20"/>
                <w:color w:val="auto"/>
              </w:rPr>
            </w:pPr>
            <w:r>
              <w:rPr>
                <w:rFonts w:ascii="Arial" w:cs="Arial" w:eastAsia="Arial" w:hAnsi="Arial"/>
                <w:sz w:val="13"/>
                <w:szCs w:val="13"/>
                <w:b w:val="1"/>
                <w:bCs w:val="1"/>
                <w:color w:val="FFFFFF"/>
              </w:rPr>
              <w:t>GP Portfolio quality and Delinquency ratios (1)</w:t>
            </w:r>
          </w:p>
        </w:tc>
        <w:tc>
          <w:tcPr>
            <w:tcW w:w="1660" w:type="dxa"/>
            <w:vAlign w:val="bottom"/>
            <w:tcBorders>
              <w:top w:val="single" w:sz="8" w:color="auto"/>
            </w:tcBorders>
            <w:shd w:val="clear" w:color="auto" w:fill="29D2C9"/>
          </w:tcPr>
          <w:p>
            <w:pPr>
              <w:spacing w:after="0"/>
              <w:rPr>
                <w:sz w:val="14"/>
                <w:szCs w:val="14"/>
                <w:color w:val="auto"/>
              </w:rPr>
            </w:pPr>
          </w:p>
        </w:tc>
        <w:tc>
          <w:tcPr>
            <w:tcW w:w="1420" w:type="dxa"/>
            <w:vAlign w:val="bottom"/>
            <w:tcBorders>
              <w:top w:val="single" w:sz="8" w:color="auto"/>
            </w:tcBorders>
            <w:shd w:val="clear" w:color="auto" w:fill="29D2C9"/>
          </w:tcPr>
          <w:p>
            <w:pPr>
              <w:jc w:val="right"/>
              <w:ind w:right="733"/>
              <w:spacing w:after="0"/>
              <w:rPr>
                <w:sz w:val="20"/>
                <w:szCs w:val="20"/>
                <w:color w:val="auto"/>
              </w:rPr>
            </w:pPr>
            <w:r>
              <w:rPr>
                <w:rFonts w:ascii="Arial" w:cs="Arial" w:eastAsia="Arial" w:hAnsi="Arial"/>
                <w:sz w:val="13"/>
                <w:szCs w:val="13"/>
                <w:b w:val="1"/>
                <w:bCs w:val="1"/>
                <w:color w:val="FFFFFF"/>
              </w:rPr>
              <w:t>As of</w:t>
            </w:r>
          </w:p>
        </w:tc>
        <w:tc>
          <w:tcPr>
            <w:tcW w:w="1200" w:type="dxa"/>
            <w:vAlign w:val="bottom"/>
            <w:tcBorders>
              <w:top w:val="single" w:sz="8" w:color="auto"/>
              <w:right w:val="single" w:sz="8" w:color="auto"/>
            </w:tcBorders>
            <w:shd w:val="clear" w:color="auto" w:fill="29D2C9"/>
          </w:tcPr>
          <w:p>
            <w:pPr>
              <w:spacing w:after="0"/>
              <w:rPr>
                <w:sz w:val="14"/>
                <w:szCs w:val="14"/>
                <w:color w:val="auto"/>
              </w:rPr>
            </w:pPr>
          </w:p>
        </w:tc>
        <w:tc>
          <w:tcPr>
            <w:tcW w:w="1000" w:type="dxa"/>
            <w:vAlign w:val="bottom"/>
            <w:tcBorders>
              <w:top w:val="single" w:sz="8" w:color="auto"/>
            </w:tcBorders>
            <w:shd w:val="clear" w:color="auto" w:fill="29D2C9"/>
          </w:tcPr>
          <w:p>
            <w:pPr>
              <w:spacing w:after="0"/>
              <w:rPr>
                <w:sz w:val="14"/>
                <w:szCs w:val="14"/>
                <w:color w:val="auto"/>
              </w:rPr>
            </w:pPr>
          </w:p>
        </w:tc>
        <w:tc>
          <w:tcPr>
            <w:tcW w:w="1840" w:type="dxa"/>
            <w:vAlign w:val="bottom"/>
            <w:tcBorders>
              <w:top w:val="single" w:sz="8" w:color="auto"/>
              <w:right w:val="single" w:sz="8" w:color="auto"/>
            </w:tcBorders>
            <w:shd w:val="clear" w:color="auto" w:fill="29D2C9"/>
          </w:tcPr>
          <w:p>
            <w:pPr>
              <w:ind w:left="80"/>
              <w:spacing w:after="0"/>
              <w:rPr>
                <w:sz w:val="20"/>
                <w:szCs w:val="20"/>
                <w:color w:val="auto"/>
              </w:rPr>
            </w:pPr>
            <w:r>
              <w:rPr>
                <w:rFonts w:ascii="Arial" w:cs="Arial" w:eastAsia="Arial" w:hAnsi="Arial"/>
                <w:sz w:val="13"/>
                <w:szCs w:val="13"/>
                <w:b w:val="1"/>
                <w:bCs w:val="1"/>
                <w:color w:val="FFFFFF"/>
              </w:rPr>
              <w:t>% change</w:t>
            </w:r>
          </w:p>
        </w:tc>
      </w:tr>
      <w:tr>
        <w:trPr>
          <w:trHeight w:val="151"/>
        </w:trPr>
        <w:tc>
          <w:tcPr>
            <w:tcW w:w="4140" w:type="dxa"/>
            <w:vAlign w:val="bottom"/>
            <w:tcBorders>
              <w:left w:val="single" w:sz="8" w:color="auto"/>
              <w:bottom w:val="single" w:sz="8" w:color="auto"/>
              <w:right w:val="single" w:sz="8" w:color="auto"/>
            </w:tcBorders>
            <w:shd w:val="clear" w:color="auto" w:fill="29D2C9"/>
          </w:tcPr>
          <w:p>
            <w:pPr>
              <w:ind w:left="20"/>
              <w:spacing w:after="0"/>
              <w:rPr>
                <w:sz w:val="20"/>
                <w:szCs w:val="20"/>
                <w:color w:val="auto"/>
              </w:rPr>
            </w:pPr>
            <w:r>
              <w:rPr>
                <w:rFonts w:ascii="Arial" w:cs="Arial" w:eastAsia="Arial" w:hAnsi="Arial"/>
                <w:sz w:val="13"/>
                <w:szCs w:val="13"/>
                <w:b w:val="1"/>
                <w:bCs w:val="1"/>
                <w:color w:val="FFFFFF"/>
              </w:rPr>
              <w:t>S/ 000</w:t>
            </w:r>
          </w:p>
        </w:tc>
        <w:tc>
          <w:tcPr>
            <w:tcW w:w="1660" w:type="dxa"/>
            <w:vAlign w:val="bottom"/>
            <w:tcBorders>
              <w:bottom w:val="single" w:sz="8" w:color="auto"/>
            </w:tcBorders>
            <w:shd w:val="clear" w:color="auto" w:fill="29D2C9"/>
          </w:tcPr>
          <w:p>
            <w:pPr>
              <w:jc w:val="right"/>
              <w:ind w:right="673"/>
              <w:spacing w:after="0"/>
              <w:rPr>
                <w:sz w:val="20"/>
                <w:szCs w:val="20"/>
                <w:color w:val="auto"/>
              </w:rPr>
            </w:pPr>
            <w:r>
              <w:rPr>
                <w:rFonts w:ascii="Arial" w:cs="Arial" w:eastAsia="Arial" w:hAnsi="Arial"/>
                <w:sz w:val="13"/>
                <w:szCs w:val="13"/>
                <w:b w:val="1"/>
                <w:bCs w:val="1"/>
                <w:color w:val="FFFFFF"/>
              </w:rPr>
              <w:t>Dec 21</w:t>
            </w:r>
          </w:p>
        </w:tc>
        <w:tc>
          <w:tcPr>
            <w:tcW w:w="1420" w:type="dxa"/>
            <w:vAlign w:val="bottom"/>
            <w:tcBorders>
              <w:bottom w:val="single" w:sz="8" w:color="auto"/>
            </w:tcBorders>
            <w:shd w:val="clear" w:color="auto" w:fill="29D2C9"/>
          </w:tcPr>
          <w:p>
            <w:pPr>
              <w:jc w:val="right"/>
              <w:ind w:right="673"/>
              <w:spacing w:after="0"/>
              <w:rPr>
                <w:sz w:val="20"/>
                <w:szCs w:val="20"/>
                <w:color w:val="auto"/>
              </w:rPr>
            </w:pPr>
            <w:r>
              <w:rPr>
                <w:rFonts w:ascii="Arial" w:cs="Arial" w:eastAsia="Arial" w:hAnsi="Arial"/>
                <w:sz w:val="13"/>
                <w:szCs w:val="13"/>
                <w:b w:val="1"/>
                <w:bCs w:val="1"/>
                <w:color w:val="FFFFFF"/>
              </w:rPr>
              <w:t>Sep 22</w:t>
            </w:r>
          </w:p>
        </w:tc>
        <w:tc>
          <w:tcPr>
            <w:tcW w:w="1200" w:type="dxa"/>
            <w:vAlign w:val="bottom"/>
            <w:tcBorders>
              <w:bottom w:val="single" w:sz="8" w:color="auto"/>
              <w:right w:val="single" w:sz="8" w:color="auto"/>
            </w:tcBorders>
            <w:shd w:val="clear" w:color="auto" w:fill="29D2C9"/>
          </w:tcPr>
          <w:p>
            <w:pPr>
              <w:jc w:val="right"/>
              <w:ind w:right="453"/>
              <w:spacing w:after="0"/>
              <w:rPr>
                <w:sz w:val="20"/>
                <w:szCs w:val="20"/>
                <w:color w:val="auto"/>
              </w:rPr>
            </w:pPr>
            <w:r>
              <w:rPr>
                <w:rFonts w:ascii="Arial" w:cs="Arial" w:eastAsia="Arial" w:hAnsi="Arial"/>
                <w:sz w:val="13"/>
                <w:szCs w:val="13"/>
                <w:b w:val="1"/>
                <w:bCs w:val="1"/>
                <w:color w:val="FFFFFF"/>
              </w:rPr>
              <w:t>Dec 22</w:t>
            </w:r>
          </w:p>
        </w:tc>
        <w:tc>
          <w:tcPr>
            <w:tcW w:w="1000" w:type="dxa"/>
            <w:vAlign w:val="bottom"/>
            <w:tcBorders>
              <w:bottom w:val="single" w:sz="8" w:color="auto"/>
            </w:tcBorders>
            <w:shd w:val="clear" w:color="auto" w:fill="29D2C9"/>
          </w:tcPr>
          <w:p>
            <w:pPr>
              <w:jc w:val="center"/>
              <w:ind w:left="313"/>
              <w:spacing w:after="0"/>
              <w:rPr>
                <w:sz w:val="20"/>
                <w:szCs w:val="20"/>
                <w:color w:val="auto"/>
              </w:rPr>
            </w:pPr>
            <w:r>
              <w:rPr>
                <w:rFonts w:ascii="Arial" w:cs="Arial" w:eastAsia="Arial" w:hAnsi="Arial"/>
                <w:sz w:val="13"/>
                <w:szCs w:val="13"/>
                <w:b w:val="1"/>
                <w:bCs w:val="1"/>
                <w:color w:val="FFFFFF"/>
              </w:rPr>
              <w:t>QoQ</w:t>
            </w:r>
          </w:p>
        </w:tc>
        <w:tc>
          <w:tcPr>
            <w:tcW w:w="1840" w:type="dxa"/>
            <w:vAlign w:val="bottom"/>
            <w:tcBorders>
              <w:bottom w:val="single" w:sz="8" w:color="auto"/>
              <w:right w:val="single" w:sz="8" w:color="auto"/>
            </w:tcBorders>
            <w:shd w:val="clear" w:color="auto" w:fill="29D2C9"/>
          </w:tcPr>
          <w:p>
            <w:pPr>
              <w:jc w:val="center"/>
              <w:ind w:left="293"/>
              <w:spacing w:after="0"/>
              <w:rPr>
                <w:sz w:val="20"/>
                <w:szCs w:val="20"/>
                <w:color w:val="auto"/>
              </w:rPr>
            </w:pPr>
            <w:r>
              <w:rPr>
                <w:rFonts w:ascii="Arial" w:cs="Arial" w:eastAsia="Arial" w:hAnsi="Arial"/>
                <w:sz w:val="13"/>
                <w:szCs w:val="13"/>
                <w:b w:val="1"/>
                <w:bCs w:val="1"/>
                <w:color w:val="FFFFFF"/>
                <w:w w:val="94"/>
              </w:rPr>
              <w:t>YoY</w:t>
            </w:r>
          </w:p>
        </w:tc>
      </w:tr>
      <w:tr>
        <w:trPr>
          <w:trHeight w:val="144"/>
        </w:trPr>
        <w:tc>
          <w:tcPr>
            <w:tcW w:w="414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GP Total loans (Quarter-end balance)</w:t>
            </w:r>
          </w:p>
        </w:tc>
        <w:tc>
          <w:tcPr>
            <w:tcW w:w="1660" w:type="dxa"/>
            <w:vAlign w:val="bottom"/>
            <w:tcBorders>
              <w:bottom w:val="single" w:sz="8" w:color="auto"/>
            </w:tcBorders>
          </w:tcPr>
          <w:p>
            <w:pPr>
              <w:jc w:val="right"/>
              <w:ind w:right="193"/>
              <w:spacing w:after="0" w:line="144" w:lineRule="exact"/>
              <w:rPr>
                <w:sz w:val="20"/>
                <w:szCs w:val="20"/>
                <w:color w:val="auto"/>
              </w:rPr>
            </w:pPr>
            <w:r>
              <w:rPr>
                <w:rFonts w:ascii="Arial" w:cs="Arial" w:eastAsia="Arial" w:hAnsi="Arial"/>
                <w:sz w:val="13"/>
                <w:szCs w:val="13"/>
                <w:b w:val="1"/>
                <w:bCs w:val="1"/>
                <w:color w:val="auto"/>
              </w:rPr>
              <w:t>18,640,827</w:t>
            </w:r>
          </w:p>
        </w:tc>
        <w:tc>
          <w:tcPr>
            <w:tcW w:w="1420" w:type="dxa"/>
            <w:vAlign w:val="bottom"/>
            <w:tcBorders>
              <w:bottom w:val="single" w:sz="8" w:color="auto"/>
            </w:tcBorders>
          </w:tcPr>
          <w:p>
            <w:pPr>
              <w:jc w:val="right"/>
              <w:ind w:right="173"/>
              <w:spacing w:after="0" w:line="144" w:lineRule="exact"/>
              <w:rPr>
                <w:sz w:val="20"/>
                <w:szCs w:val="20"/>
                <w:color w:val="auto"/>
              </w:rPr>
            </w:pPr>
            <w:r>
              <w:rPr>
                <w:rFonts w:ascii="Arial" w:cs="Arial" w:eastAsia="Arial" w:hAnsi="Arial"/>
                <w:sz w:val="13"/>
                <w:szCs w:val="13"/>
                <w:b w:val="1"/>
                <w:bCs w:val="1"/>
                <w:color w:val="auto"/>
              </w:rPr>
              <w:t>12,201,370</w:t>
            </w:r>
          </w:p>
        </w:tc>
        <w:tc>
          <w:tcPr>
            <w:tcW w:w="120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9,511,132</w:t>
            </w:r>
          </w:p>
        </w:tc>
        <w:tc>
          <w:tcPr>
            <w:tcW w:w="1000" w:type="dxa"/>
            <w:vAlign w:val="bottom"/>
            <w:tcBorders>
              <w:bottom w:val="single" w:sz="8" w:color="auto"/>
            </w:tcBorders>
          </w:tcPr>
          <w:p>
            <w:pPr>
              <w:jc w:val="center"/>
              <w:ind w:left="313"/>
              <w:spacing w:after="0" w:line="144" w:lineRule="exact"/>
              <w:rPr>
                <w:sz w:val="20"/>
                <w:szCs w:val="20"/>
                <w:color w:val="auto"/>
              </w:rPr>
            </w:pPr>
            <w:r>
              <w:rPr>
                <w:rFonts w:ascii="Arial" w:cs="Arial" w:eastAsia="Arial" w:hAnsi="Arial"/>
                <w:sz w:val="13"/>
                <w:szCs w:val="13"/>
                <w:b w:val="1"/>
                <w:bCs w:val="1"/>
                <w:color w:val="auto"/>
              </w:rPr>
              <w:t>-22.0%</w:t>
            </w:r>
          </w:p>
        </w:tc>
        <w:tc>
          <w:tcPr>
            <w:tcW w:w="1840" w:type="dxa"/>
            <w:vAlign w:val="bottom"/>
            <w:tcBorders>
              <w:bottom w:val="single" w:sz="8" w:color="auto"/>
              <w:right w:val="single" w:sz="8" w:color="auto"/>
            </w:tcBorders>
          </w:tcPr>
          <w:p>
            <w:pPr>
              <w:jc w:val="center"/>
              <w:ind w:left="313"/>
              <w:spacing w:after="0" w:line="144" w:lineRule="exact"/>
              <w:rPr>
                <w:sz w:val="20"/>
                <w:szCs w:val="20"/>
                <w:color w:val="auto"/>
              </w:rPr>
            </w:pPr>
            <w:r>
              <w:rPr>
                <w:rFonts w:ascii="Arial" w:cs="Arial" w:eastAsia="Arial" w:hAnsi="Arial"/>
                <w:sz w:val="13"/>
                <w:szCs w:val="13"/>
                <w:b w:val="1"/>
                <w:bCs w:val="1"/>
                <w:color w:val="auto"/>
              </w:rPr>
              <w:t>-49.0%</w:t>
            </w:r>
          </w:p>
        </w:tc>
      </w:tr>
      <w:tr>
        <w:trPr>
          <w:trHeight w:val="144"/>
        </w:trPr>
        <w:tc>
          <w:tcPr>
            <w:tcW w:w="414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GP Allowance for loan losses</w:t>
            </w:r>
          </w:p>
        </w:tc>
        <w:tc>
          <w:tcPr>
            <w:tcW w:w="1660" w:type="dxa"/>
            <w:vAlign w:val="bottom"/>
            <w:tcBorders>
              <w:bottom w:val="single" w:sz="8" w:color="auto"/>
            </w:tcBorders>
          </w:tcPr>
          <w:p>
            <w:pPr>
              <w:jc w:val="right"/>
              <w:ind w:right="193"/>
              <w:spacing w:after="0" w:line="144" w:lineRule="exact"/>
              <w:rPr>
                <w:sz w:val="20"/>
                <w:szCs w:val="20"/>
                <w:color w:val="auto"/>
              </w:rPr>
            </w:pPr>
            <w:r>
              <w:rPr>
                <w:rFonts w:ascii="Arial" w:cs="Arial" w:eastAsia="Arial" w:hAnsi="Arial"/>
                <w:sz w:val="13"/>
                <w:szCs w:val="13"/>
                <w:color w:val="auto"/>
              </w:rPr>
              <w:t>196,841</w:t>
            </w:r>
          </w:p>
        </w:tc>
        <w:tc>
          <w:tcPr>
            <w:tcW w:w="1420" w:type="dxa"/>
            <w:vAlign w:val="bottom"/>
            <w:tcBorders>
              <w:bottom w:val="single" w:sz="8" w:color="auto"/>
            </w:tcBorders>
          </w:tcPr>
          <w:p>
            <w:pPr>
              <w:jc w:val="right"/>
              <w:ind w:right="173"/>
              <w:spacing w:after="0" w:line="144" w:lineRule="exact"/>
              <w:rPr>
                <w:sz w:val="20"/>
                <w:szCs w:val="20"/>
                <w:color w:val="auto"/>
              </w:rPr>
            </w:pPr>
            <w:r>
              <w:rPr>
                <w:rFonts w:ascii="Arial" w:cs="Arial" w:eastAsia="Arial" w:hAnsi="Arial"/>
                <w:sz w:val="13"/>
                <w:szCs w:val="13"/>
                <w:color w:val="auto"/>
              </w:rPr>
              <w:t>154,552</w:t>
            </w:r>
          </w:p>
        </w:tc>
        <w:tc>
          <w:tcPr>
            <w:tcW w:w="120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138,827</w:t>
            </w:r>
          </w:p>
        </w:tc>
        <w:tc>
          <w:tcPr>
            <w:tcW w:w="1000" w:type="dxa"/>
            <w:vAlign w:val="bottom"/>
            <w:tcBorders>
              <w:bottom w:val="single" w:sz="8" w:color="auto"/>
            </w:tcBorders>
          </w:tcPr>
          <w:p>
            <w:pPr>
              <w:jc w:val="center"/>
              <w:ind w:left="313"/>
              <w:spacing w:after="0" w:line="144" w:lineRule="exact"/>
              <w:rPr>
                <w:sz w:val="20"/>
                <w:szCs w:val="20"/>
                <w:color w:val="auto"/>
              </w:rPr>
            </w:pPr>
            <w:r>
              <w:rPr>
                <w:rFonts w:ascii="Arial" w:cs="Arial" w:eastAsia="Arial" w:hAnsi="Arial"/>
                <w:sz w:val="13"/>
                <w:szCs w:val="13"/>
                <w:color w:val="auto"/>
              </w:rPr>
              <w:t>-10.2%</w:t>
            </w:r>
          </w:p>
        </w:tc>
        <w:tc>
          <w:tcPr>
            <w:tcW w:w="1840" w:type="dxa"/>
            <w:vAlign w:val="bottom"/>
            <w:tcBorders>
              <w:bottom w:val="single" w:sz="8" w:color="auto"/>
              <w:right w:val="single" w:sz="8" w:color="auto"/>
            </w:tcBorders>
          </w:tcPr>
          <w:p>
            <w:pPr>
              <w:jc w:val="center"/>
              <w:ind w:left="313"/>
              <w:spacing w:after="0" w:line="144" w:lineRule="exact"/>
              <w:rPr>
                <w:sz w:val="20"/>
                <w:szCs w:val="20"/>
                <w:color w:val="auto"/>
              </w:rPr>
            </w:pPr>
            <w:r>
              <w:rPr>
                <w:rFonts w:ascii="Arial" w:cs="Arial" w:eastAsia="Arial" w:hAnsi="Arial"/>
                <w:sz w:val="13"/>
                <w:szCs w:val="13"/>
                <w:color w:val="auto"/>
              </w:rPr>
              <w:t>-29.5%</w:t>
            </w:r>
          </w:p>
        </w:tc>
      </w:tr>
      <w:tr>
        <w:trPr>
          <w:trHeight w:val="144"/>
        </w:trPr>
        <w:tc>
          <w:tcPr>
            <w:tcW w:w="414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GP IOLs</w:t>
            </w:r>
          </w:p>
        </w:tc>
        <w:tc>
          <w:tcPr>
            <w:tcW w:w="1660" w:type="dxa"/>
            <w:vAlign w:val="bottom"/>
            <w:tcBorders>
              <w:bottom w:val="single" w:sz="8" w:color="auto"/>
            </w:tcBorders>
          </w:tcPr>
          <w:p>
            <w:pPr>
              <w:jc w:val="right"/>
              <w:ind w:right="193"/>
              <w:spacing w:after="0" w:line="144" w:lineRule="exact"/>
              <w:rPr>
                <w:sz w:val="20"/>
                <w:szCs w:val="20"/>
                <w:color w:val="auto"/>
              </w:rPr>
            </w:pPr>
            <w:r>
              <w:rPr>
                <w:rFonts w:ascii="Arial" w:cs="Arial" w:eastAsia="Arial" w:hAnsi="Arial"/>
                <w:sz w:val="13"/>
                <w:szCs w:val="13"/>
                <w:color w:val="auto"/>
              </w:rPr>
              <w:t>1,079,910</w:t>
            </w:r>
          </w:p>
        </w:tc>
        <w:tc>
          <w:tcPr>
            <w:tcW w:w="1420" w:type="dxa"/>
            <w:vAlign w:val="bottom"/>
            <w:tcBorders>
              <w:bottom w:val="single" w:sz="8" w:color="auto"/>
            </w:tcBorders>
          </w:tcPr>
          <w:p>
            <w:pPr>
              <w:jc w:val="right"/>
              <w:ind w:right="173"/>
              <w:spacing w:after="0" w:line="144" w:lineRule="exact"/>
              <w:rPr>
                <w:sz w:val="20"/>
                <w:szCs w:val="20"/>
                <w:color w:val="auto"/>
              </w:rPr>
            </w:pPr>
            <w:r>
              <w:rPr>
                <w:rFonts w:ascii="Arial" w:cs="Arial" w:eastAsia="Arial" w:hAnsi="Arial"/>
                <w:sz w:val="13"/>
                <w:szCs w:val="13"/>
                <w:color w:val="auto"/>
              </w:rPr>
              <w:t>1,212,968</w:t>
            </w:r>
          </w:p>
        </w:tc>
        <w:tc>
          <w:tcPr>
            <w:tcW w:w="120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color w:val="auto"/>
              </w:rPr>
              <w:t>1,148,499</w:t>
            </w:r>
          </w:p>
        </w:tc>
        <w:tc>
          <w:tcPr>
            <w:tcW w:w="1000" w:type="dxa"/>
            <w:vAlign w:val="bottom"/>
            <w:tcBorders>
              <w:bottom w:val="single" w:sz="8" w:color="auto"/>
            </w:tcBorders>
          </w:tcPr>
          <w:p>
            <w:pPr>
              <w:jc w:val="center"/>
              <w:ind w:left="313"/>
              <w:spacing w:after="0" w:line="144" w:lineRule="exact"/>
              <w:rPr>
                <w:sz w:val="20"/>
                <w:szCs w:val="20"/>
                <w:color w:val="auto"/>
              </w:rPr>
            </w:pPr>
            <w:r>
              <w:rPr>
                <w:rFonts w:ascii="Arial" w:cs="Arial" w:eastAsia="Arial" w:hAnsi="Arial"/>
                <w:sz w:val="13"/>
                <w:szCs w:val="13"/>
                <w:color w:val="auto"/>
                <w:w w:val="99"/>
              </w:rPr>
              <w:t>-5.3%</w:t>
            </w:r>
          </w:p>
        </w:tc>
        <w:tc>
          <w:tcPr>
            <w:tcW w:w="1840" w:type="dxa"/>
            <w:vAlign w:val="bottom"/>
            <w:tcBorders>
              <w:bottom w:val="single" w:sz="8" w:color="auto"/>
              <w:right w:val="single" w:sz="8" w:color="auto"/>
            </w:tcBorders>
          </w:tcPr>
          <w:p>
            <w:pPr>
              <w:jc w:val="center"/>
              <w:ind w:left="313"/>
              <w:spacing w:after="0" w:line="144" w:lineRule="exact"/>
              <w:rPr>
                <w:sz w:val="20"/>
                <w:szCs w:val="20"/>
                <w:color w:val="auto"/>
              </w:rPr>
            </w:pPr>
            <w:r>
              <w:rPr>
                <w:rFonts w:ascii="Arial" w:cs="Arial" w:eastAsia="Arial" w:hAnsi="Arial"/>
                <w:sz w:val="13"/>
                <w:szCs w:val="13"/>
                <w:color w:val="auto"/>
              </w:rPr>
              <w:t>6.4%</w:t>
            </w:r>
          </w:p>
        </w:tc>
      </w:tr>
      <w:tr>
        <w:trPr>
          <w:trHeight w:val="134"/>
        </w:trPr>
        <w:tc>
          <w:tcPr>
            <w:tcW w:w="4140" w:type="dxa"/>
            <w:vAlign w:val="bottom"/>
            <w:tcBorders>
              <w:left w:val="single" w:sz="8" w:color="auto"/>
              <w:right w:val="single" w:sz="8" w:color="auto"/>
            </w:tcBorders>
          </w:tcPr>
          <w:p>
            <w:pPr>
              <w:ind w:left="20"/>
              <w:spacing w:after="0" w:line="134" w:lineRule="exact"/>
              <w:rPr>
                <w:sz w:val="20"/>
                <w:szCs w:val="20"/>
                <w:color w:val="auto"/>
              </w:rPr>
            </w:pPr>
            <w:r>
              <w:rPr>
                <w:rFonts w:ascii="Arial" w:cs="Arial" w:eastAsia="Arial" w:hAnsi="Arial"/>
                <w:sz w:val="13"/>
                <w:szCs w:val="13"/>
                <w:b w:val="1"/>
                <w:bCs w:val="1"/>
                <w:color w:val="auto"/>
              </w:rPr>
              <w:t>GP IOL ratio</w:t>
            </w:r>
          </w:p>
        </w:tc>
        <w:tc>
          <w:tcPr>
            <w:tcW w:w="1660" w:type="dxa"/>
            <w:vAlign w:val="bottom"/>
          </w:tcPr>
          <w:p>
            <w:pPr>
              <w:jc w:val="right"/>
              <w:ind w:right="193"/>
              <w:spacing w:after="0" w:line="134" w:lineRule="exact"/>
              <w:rPr>
                <w:sz w:val="20"/>
                <w:szCs w:val="20"/>
                <w:color w:val="auto"/>
              </w:rPr>
            </w:pPr>
            <w:r>
              <w:rPr>
                <w:rFonts w:ascii="Arial" w:cs="Arial" w:eastAsia="Arial" w:hAnsi="Arial"/>
                <w:sz w:val="13"/>
                <w:szCs w:val="13"/>
                <w:b w:val="1"/>
                <w:bCs w:val="1"/>
                <w:color w:val="auto"/>
              </w:rPr>
              <w:t>5.79%</w:t>
            </w:r>
          </w:p>
        </w:tc>
        <w:tc>
          <w:tcPr>
            <w:tcW w:w="1420" w:type="dxa"/>
            <w:vAlign w:val="bottom"/>
          </w:tcPr>
          <w:p>
            <w:pPr>
              <w:jc w:val="right"/>
              <w:ind w:right="173"/>
              <w:spacing w:after="0" w:line="134" w:lineRule="exact"/>
              <w:rPr>
                <w:sz w:val="20"/>
                <w:szCs w:val="20"/>
                <w:color w:val="auto"/>
              </w:rPr>
            </w:pPr>
            <w:r>
              <w:rPr>
                <w:rFonts w:ascii="Arial" w:cs="Arial" w:eastAsia="Arial" w:hAnsi="Arial"/>
                <w:sz w:val="13"/>
                <w:szCs w:val="13"/>
                <w:b w:val="1"/>
                <w:bCs w:val="1"/>
                <w:color w:val="auto"/>
              </w:rPr>
              <w:t>9.94%</w:t>
            </w:r>
          </w:p>
        </w:tc>
        <w:tc>
          <w:tcPr>
            <w:tcW w:w="1200" w:type="dxa"/>
            <w:vAlign w:val="bottom"/>
            <w:tcBorders>
              <w:right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12.08%</w:t>
            </w:r>
          </w:p>
        </w:tc>
        <w:tc>
          <w:tcPr>
            <w:tcW w:w="1000" w:type="dxa"/>
            <w:vAlign w:val="bottom"/>
          </w:tcPr>
          <w:p>
            <w:pPr>
              <w:jc w:val="center"/>
              <w:ind w:left="313"/>
              <w:spacing w:after="0" w:line="134" w:lineRule="exact"/>
              <w:rPr>
                <w:sz w:val="20"/>
                <w:szCs w:val="20"/>
                <w:color w:val="auto"/>
              </w:rPr>
            </w:pPr>
            <w:r>
              <w:rPr>
                <w:rFonts w:ascii="Arial" w:cs="Arial" w:eastAsia="Arial" w:hAnsi="Arial"/>
                <w:sz w:val="13"/>
                <w:szCs w:val="13"/>
                <w:color w:val="auto"/>
                <w:w w:val="99"/>
              </w:rPr>
              <w:t>214 bps</w:t>
            </w:r>
          </w:p>
        </w:tc>
        <w:tc>
          <w:tcPr>
            <w:tcW w:w="1840" w:type="dxa"/>
            <w:vAlign w:val="bottom"/>
            <w:tcBorders>
              <w:right w:val="single" w:sz="8" w:color="auto"/>
            </w:tcBorders>
          </w:tcPr>
          <w:p>
            <w:pPr>
              <w:jc w:val="center"/>
              <w:ind w:left="293"/>
              <w:spacing w:after="0" w:line="134" w:lineRule="exact"/>
              <w:rPr>
                <w:sz w:val="20"/>
                <w:szCs w:val="20"/>
                <w:color w:val="auto"/>
              </w:rPr>
            </w:pPr>
            <w:r>
              <w:rPr>
                <w:rFonts w:ascii="Arial" w:cs="Arial" w:eastAsia="Arial" w:hAnsi="Arial"/>
                <w:sz w:val="13"/>
                <w:szCs w:val="13"/>
                <w:color w:val="auto"/>
              </w:rPr>
              <w:t>629 bps</w:t>
            </w:r>
          </w:p>
        </w:tc>
      </w:tr>
      <w:tr>
        <w:trPr>
          <w:trHeight w:val="153"/>
        </w:trPr>
        <w:tc>
          <w:tcPr>
            <w:tcW w:w="4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GP Allowance for loan losses over GP Total loans</w:t>
            </w:r>
          </w:p>
        </w:tc>
        <w:tc>
          <w:tcPr>
            <w:tcW w:w="1660" w:type="dxa"/>
            <w:vAlign w:val="bottom"/>
          </w:tcPr>
          <w:p>
            <w:pPr>
              <w:jc w:val="right"/>
              <w:ind w:right="193"/>
              <w:spacing w:after="0"/>
              <w:rPr>
                <w:sz w:val="20"/>
                <w:szCs w:val="20"/>
                <w:color w:val="auto"/>
              </w:rPr>
            </w:pPr>
            <w:r>
              <w:rPr>
                <w:rFonts w:ascii="Arial" w:cs="Arial" w:eastAsia="Arial" w:hAnsi="Arial"/>
                <w:sz w:val="13"/>
                <w:szCs w:val="13"/>
                <w:b w:val="1"/>
                <w:bCs w:val="1"/>
                <w:color w:val="auto"/>
              </w:rPr>
              <w:t>1.1%</w:t>
            </w:r>
          </w:p>
        </w:tc>
        <w:tc>
          <w:tcPr>
            <w:tcW w:w="1420" w:type="dxa"/>
            <w:vAlign w:val="bottom"/>
          </w:tcPr>
          <w:p>
            <w:pPr>
              <w:jc w:val="right"/>
              <w:ind w:right="173"/>
              <w:spacing w:after="0"/>
              <w:rPr>
                <w:sz w:val="20"/>
                <w:szCs w:val="20"/>
                <w:color w:val="auto"/>
              </w:rPr>
            </w:pPr>
            <w:r>
              <w:rPr>
                <w:rFonts w:ascii="Arial" w:cs="Arial" w:eastAsia="Arial" w:hAnsi="Arial"/>
                <w:sz w:val="13"/>
                <w:szCs w:val="13"/>
                <w:b w:val="1"/>
                <w:bCs w:val="1"/>
                <w:color w:val="auto"/>
              </w:rPr>
              <w:t>1.3%</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1.5%</w:t>
            </w:r>
          </w:p>
        </w:tc>
        <w:tc>
          <w:tcPr>
            <w:tcW w:w="1000" w:type="dxa"/>
            <w:vAlign w:val="bottom"/>
          </w:tcPr>
          <w:p>
            <w:pPr>
              <w:jc w:val="center"/>
              <w:ind w:left="313"/>
              <w:spacing w:after="0"/>
              <w:rPr>
                <w:sz w:val="20"/>
                <w:szCs w:val="20"/>
                <w:color w:val="auto"/>
              </w:rPr>
            </w:pPr>
            <w:r>
              <w:rPr>
                <w:rFonts w:ascii="Arial" w:cs="Arial" w:eastAsia="Arial" w:hAnsi="Arial"/>
                <w:sz w:val="13"/>
                <w:szCs w:val="13"/>
                <w:color w:val="auto"/>
              </w:rPr>
              <w:t>19 bps</w:t>
            </w:r>
          </w:p>
        </w:tc>
        <w:tc>
          <w:tcPr>
            <w:tcW w:w="1840" w:type="dxa"/>
            <w:vAlign w:val="bottom"/>
            <w:tcBorders>
              <w:right w:val="single" w:sz="8" w:color="auto"/>
            </w:tcBorders>
          </w:tcPr>
          <w:p>
            <w:pPr>
              <w:jc w:val="center"/>
              <w:ind w:left="293"/>
              <w:spacing w:after="0"/>
              <w:rPr>
                <w:sz w:val="20"/>
                <w:szCs w:val="20"/>
                <w:color w:val="auto"/>
              </w:rPr>
            </w:pPr>
            <w:r>
              <w:rPr>
                <w:rFonts w:ascii="Arial" w:cs="Arial" w:eastAsia="Arial" w:hAnsi="Arial"/>
                <w:sz w:val="13"/>
                <w:szCs w:val="13"/>
                <w:color w:val="auto"/>
              </w:rPr>
              <w:t>40 bps</w:t>
            </w:r>
          </w:p>
        </w:tc>
      </w:tr>
      <w:tr>
        <w:trPr>
          <w:trHeight w:val="159"/>
        </w:trPr>
        <w:tc>
          <w:tcPr>
            <w:tcW w:w="4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GP Coverage ratio of IOLs</w:t>
            </w:r>
          </w:p>
        </w:tc>
        <w:tc>
          <w:tcPr>
            <w:tcW w:w="16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18.2%</w:t>
            </w:r>
          </w:p>
        </w:tc>
        <w:tc>
          <w:tcPr>
            <w:tcW w:w="14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12.7%</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1000" w:type="dxa"/>
            <w:vAlign w:val="bottom"/>
            <w:tcBorders>
              <w:bottom w:val="single" w:sz="8" w:color="auto"/>
            </w:tcBorders>
          </w:tcPr>
          <w:p>
            <w:pPr>
              <w:jc w:val="center"/>
              <w:ind w:left="313"/>
              <w:spacing w:after="0"/>
              <w:rPr>
                <w:sz w:val="20"/>
                <w:szCs w:val="20"/>
                <w:color w:val="auto"/>
              </w:rPr>
            </w:pPr>
            <w:r>
              <w:rPr>
                <w:rFonts w:ascii="Arial" w:cs="Arial" w:eastAsia="Arial" w:hAnsi="Arial"/>
                <w:sz w:val="13"/>
                <w:szCs w:val="13"/>
                <w:color w:val="auto"/>
              </w:rPr>
              <w:t>-65 bps</w:t>
            </w:r>
          </w:p>
        </w:tc>
        <w:tc>
          <w:tcPr>
            <w:tcW w:w="1840" w:type="dxa"/>
            <w:vAlign w:val="bottom"/>
            <w:tcBorders>
              <w:bottom w:val="single" w:sz="8" w:color="auto"/>
              <w:right w:val="single" w:sz="8" w:color="auto"/>
            </w:tcBorders>
          </w:tcPr>
          <w:p>
            <w:pPr>
              <w:jc w:val="center"/>
              <w:ind w:left="293"/>
              <w:spacing w:after="0"/>
              <w:rPr>
                <w:sz w:val="20"/>
                <w:szCs w:val="20"/>
                <w:color w:val="auto"/>
              </w:rPr>
            </w:pPr>
            <w:r>
              <w:rPr>
                <w:rFonts w:ascii="Arial" w:cs="Arial" w:eastAsia="Arial" w:hAnsi="Arial"/>
                <w:sz w:val="13"/>
                <w:szCs w:val="13"/>
                <w:color w:val="auto"/>
              </w:rPr>
              <w:t>-614 bps</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(1) Government Programs (GP) include Reactiva Peru and FAE-Mype.</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9" w:name="page50"/>
    <w:bookmarkEnd w:id="49"/>
    <w:p>
      <w:pPr>
        <w:ind w:left="2900"/>
        <w:spacing w:after="0"/>
        <w:tabs>
          <w:tab w:leader="none" w:pos="744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232410</wp:posOffset>
            </wp:positionV>
            <wp:extent cx="7141845" cy="535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217805</wp:posOffset>
            </wp:positionV>
            <wp:extent cx="7146290" cy="3835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6290" cy="38354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12. Appendix</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Portfolio Quality Ratios by Segment</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130175</wp:posOffset>
            </wp:positionV>
            <wp:extent cx="6151245" cy="2292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51245" cy="2292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130175</wp:posOffset>
            </wp:positionV>
            <wp:extent cx="6151245" cy="25241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51245"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7141845"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80"/>
          </w:cols>
          <w:pgMar w:left="380" w:top="659" w:right="339" w:bottom="1440" w:gutter="0" w:footer="0" w:header="0"/>
        </w:sectPr>
      </w:pPr>
    </w:p>
    <w:bookmarkStart w:id="50" w:name="page51"/>
    <w:bookmarkEnd w:id="50"/>
    <w:p>
      <w:pPr>
        <w:ind w:left="2900"/>
        <w:spacing w:after="0"/>
        <w:tabs>
          <w:tab w:leader="none" w:pos="744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352425</wp:posOffset>
            </wp:positionV>
            <wp:extent cx="7141845" cy="535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217805</wp:posOffset>
            </wp:positionV>
            <wp:extent cx="7141845" cy="3835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12. Appendix</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130175</wp:posOffset>
            </wp:positionV>
            <wp:extent cx="6151245" cy="25082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51245" cy="250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130175</wp:posOffset>
            </wp:positionV>
            <wp:extent cx="6151245" cy="25082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51245" cy="250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7141845"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80"/>
          </w:cols>
          <w:pgMar w:left="380" w:top="848" w:right="339" w:bottom="1440" w:gutter="0" w:footer="0" w:header="0"/>
        </w:sectPr>
      </w:pPr>
    </w:p>
    <w:bookmarkStart w:id="51" w:name="page52"/>
    <w:bookmarkEnd w:id="51"/>
    <w:p>
      <w:pPr>
        <w:ind w:left="2900"/>
        <w:spacing w:after="0"/>
        <w:tabs>
          <w:tab w:leader="none" w:pos="744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217805</wp:posOffset>
            </wp:positionV>
            <wp:extent cx="7141845" cy="3835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12. Appendix</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130175</wp:posOffset>
            </wp:positionV>
            <wp:extent cx="6151245" cy="25241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51245"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130175</wp:posOffset>
            </wp:positionV>
            <wp:extent cx="6151245" cy="24765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51245"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714184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80"/>
          </w:cols>
          <w:pgMar w:left="380" w:top="621" w:right="339" w:bottom="1440" w:gutter="0" w:footer="0" w:header="0"/>
        </w:sectPr>
      </w:pPr>
    </w:p>
    <w:bookmarkStart w:id="52" w:name="page53"/>
    <w:bookmarkEnd w:id="52"/>
    <w:p>
      <w:pPr>
        <w:ind w:left="2900"/>
        <w:spacing w:after="0"/>
        <w:tabs>
          <w:tab w:leader="none" w:pos="744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217805</wp:posOffset>
            </wp:positionV>
            <wp:extent cx="7141845" cy="3835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12. Appendix</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130175</wp:posOffset>
            </wp:positionV>
            <wp:extent cx="6151245" cy="2348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5124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130175</wp:posOffset>
            </wp:positionV>
            <wp:extent cx="6151245" cy="27000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5124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37465</wp:posOffset>
            </wp:positionV>
            <wp:extent cx="714184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80"/>
          </w:cols>
          <w:pgMar w:left="380" w:top="621" w:right="339" w:bottom="1440" w:gutter="0" w:footer="0" w:header="0"/>
        </w:sectPr>
      </w:pPr>
    </w:p>
    <w:bookmarkStart w:id="53" w:name="page54"/>
    <w:bookmarkEnd w:id="53"/>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12.3 Net Interest Income (NII)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NII Summary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Borders>
              <w:right w:val="single" w:sz="8" w:color="auto"/>
            </w:tcBorders>
          </w:tcPr>
          <w:p>
            <w:pPr>
              <w:spacing w:after="0"/>
              <w:rPr>
                <w:sz w:val="14"/>
                <w:szCs w:val="14"/>
                <w:color w:val="auto"/>
              </w:rPr>
            </w:pPr>
          </w:p>
        </w:tc>
        <w:tc>
          <w:tcPr>
            <w:tcW w:w="1820" w:type="dxa"/>
            <w:vAlign w:val="bottom"/>
            <w:tcBorders>
              <w:top w:val="single" w:sz="8" w:color="auto"/>
            </w:tcBorders>
            <w:shd w:val="clear" w:color="auto" w:fill="29D2C9"/>
          </w:tcPr>
          <w:p>
            <w:pPr>
              <w:spacing w:after="0"/>
              <w:rPr>
                <w:sz w:val="20"/>
                <w:szCs w:val="20"/>
                <w:color w:val="auto"/>
              </w:rPr>
            </w:pPr>
            <w:r>
              <w:rPr>
                <w:rFonts w:ascii="Arial" w:cs="Arial" w:eastAsia="Arial" w:hAnsi="Arial"/>
                <w:sz w:val="13"/>
                <w:szCs w:val="13"/>
                <w:b w:val="1"/>
                <w:bCs w:val="1"/>
                <w:color w:val="FFFFFF"/>
              </w:rPr>
              <w:t>Net interest income</w:t>
            </w:r>
          </w:p>
        </w:tc>
        <w:tc>
          <w:tcPr>
            <w:tcW w:w="1500" w:type="dxa"/>
            <w:vAlign w:val="bottom"/>
            <w:tcBorders>
              <w:top w:val="single" w:sz="8" w:color="auto"/>
            </w:tcBorders>
            <w:shd w:val="clear" w:color="auto" w:fill="29D2C9"/>
          </w:tcPr>
          <w:p>
            <w:pPr>
              <w:spacing w:after="0"/>
              <w:rPr>
                <w:sz w:val="14"/>
                <w:szCs w:val="14"/>
                <w:color w:val="auto"/>
              </w:rPr>
            </w:pPr>
          </w:p>
        </w:tc>
        <w:tc>
          <w:tcPr>
            <w:tcW w:w="480" w:type="dxa"/>
            <w:vAlign w:val="bottom"/>
            <w:tcBorders>
              <w:top w:val="single" w:sz="8" w:color="auto"/>
              <w:right w:val="single" w:sz="8" w:color="auto"/>
            </w:tcBorders>
            <w:shd w:val="clear" w:color="auto" w:fill="29D2C9"/>
          </w:tcPr>
          <w:p>
            <w:pPr>
              <w:spacing w:after="0"/>
              <w:rPr>
                <w:sz w:val="14"/>
                <w:szCs w:val="14"/>
                <w:color w:val="auto"/>
              </w:rPr>
            </w:pPr>
          </w:p>
        </w:tc>
        <w:tc>
          <w:tcPr>
            <w:tcW w:w="960" w:type="dxa"/>
            <w:vAlign w:val="bottom"/>
            <w:tcBorders>
              <w:top w:val="single" w:sz="8" w:color="auto"/>
            </w:tcBorders>
            <w:shd w:val="clear" w:color="auto" w:fill="29D2C9"/>
          </w:tcPr>
          <w:p>
            <w:pPr>
              <w:spacing w:after="0"/>
              <w:rPr>
                <w:sz w:val="14"/>
                <w:szCs w:val="14"/>
                <w:color w:val="auto"/>
              </w:rPr>
            </w:pPr>
          </w:p>
        </w:tc>
        <w:tc>
          <w:tcPr>
            <w:tcW w:w="940" w:type="dxa"/>
            <w:vAlign w:val="bottom"/>
            <w:tcBorders>
              <w:top w:val="single" w:sz="8" w:color="auto"/>
            </w:tcBorders>
            <w:shd w:val="clear" w:color="auto" w:fill="29D2C9"/>
          </w:tcPr>
          <w:p>
            <w:pPr>
              <w:jc w:val="right"/>
              <w:ind w:right="213"/>
              <w:spacing w:after="0"/>
              <w:rPr>
                <w:sz w:val="20"/>
                <w:szCs w:val="20"/>
                <w:color w:val="auto"/>
              </w:rPr>
            </w:pPr>
            <w:r>
              <w:rPr>
                <w:rFonts w:ascii="Arial" w:cs="Arial" w:eastAsia="Arial" w:hAnsi="Arial"/>
                <w:sz w:val="13"/>
                <w:szCs w:val="13"/>
                <w:b w:val="1"/>
                <w:bCs w:val="1"/>
                <w:color w:val="FFFFFF"/>
              </w:rPr>
              <w:t>Quarter</w:t>
            </w:r>
          </w:p>
        </w:tc>
        <w:tc>
          <w:tcPr>
            <w:tcW w:w="880" w:type="dxa"/>
            <w:vAlign w:val="bottom"/>
            <w:tcBorders>
              <w:top w:val="single" w:sz="8" w:color="auto"/>
              <w:right w:val="single" w:sz="8" w:color="auto"/>
            </w:tcBorders>
            <w:shd w:val="clear" w:color="auto" w:fill="29D2C9"/>
          </w:tcPr>
          <w:p>
            <w:pPr>
              <w:spacing w:after="0"/>
              <w:rPr>
                <w:sz w:val="14"/>
                <w:szCs w:val="14"/>
                <w:color w:val="auto"/>
              </w:rPr>
            </w:pPr>
          </w:p>
        </w:tc>
        <w:tc>
          <w:tcPr>
            <w:tcW w:w="340" w:type="dxa"/>
            <w:vAlign w:val="bottom"/>
            <w:tcBorders>
              <w:top w:val="single" w:sz="8" w:color="auto"/>
            </w:tcBorders>
            <w:shd w:val="clear" w:color="auto" w:fill="29D2C9"/>
          </w:tcPr>
          <w:p>
            <w:pPr>
              <w:spacing w:after="0"/>
              <w:rPr>
                <w:sz w:val="14"/>
                <w:szCs w:val="14"/>
                <w:color w:val="auto"/>
              </w:rPr>
            </w:pPr>
          </w:p>
        </w:tc>
        <w:tc>
          <w:tcPr>
            <w:tcW w:w="20" w:type="dxa"/>
            <w:vAlign w:val="bottom"/>
            <w:tcBorders>
              <w:top w:val="single" w:sz="8" w:color="auto"/>
            </w:tcBorders>
            <w:shd w:val="clear" w:color="auto" w:fill="29D2C9"/>
          </w:tcPr>
          <w:p>
            <w:pPr>
              <w:spacing w:after="0"/>
              <w:rPr>
                <w:sz w:val="14"/>
                <w:szCs w:val="14"/>
                <w:color w:val="auto"/>
              </w:rPr>
            </w:pPr>
          </w:p>
        </w:tc>
        <w:tc>
          <w:tcPr>
            <w:tcW w:w="1100" w:type="dxa"/>
            <w:vAlign w:val="bottom"/>
            <w:tcBorders>
              <w:top w:val="single" w:sz="8" w:color="auto"/>
              <w:right w:val="single" w:sz="8" w:color="auto"/>
            </w:tcBorders>
            <w:gridSpan w:val="2"/>
            <w:shd w:val="clear" w:color="auto" w:fill="29D2C9"/>
          </w:tcPr>
          <w:p>
            <w:pPr>
              <w:ind w:left="40"/>
              <w:spacing w:after="0"/>
              <w:rPr>
                <w:sz w:val="20"/>
                <w:szCs w:val="20"/>
                <w:color w:val="auto"/>
              </w:rPr>
            </w:pPr>
            <w:r>
              <w:rPr>
                <w:rFonts w:ascii="Arial" w:cs="Arial" w:eastAsia="Arial" w:hAnsi="Arial"/>
                <w:sz w:val="13"/>
                <w:szCs w:val="13"/>
                <w:b w:val="1"/>
                <w:bCs w:val="1"/>
                <w:color w:val="FFFFFF"/>
              </w:rPr>
              <w:t>% change</w:t>
            </w:r>
          </w:p>
        </w:tc>
        <w:tc>
          <w:tcPr>
            <w:tcW w:w="1820" w:type="dxa"/>
            <w:vAlign w:val="bottom"/>
            <w:tcBorders>
              <w:top w:val="single" w:sz="8" w:color="auto"/>
              <w:right w:val="single" w:sz="8" w:color="auto"/>
            </w:tcBorders>
            <w:gridSpan w:val="2"/>
            <w:shd w:val="clear" w:color="auto" w:fill="29D2C9"/>
          </w:tcPr>
          <w:p>
            <w:pPr>
              <w:jc w:val="right"/>
              <w:ind w:right="693"/>
              <w:spacing w:after="0"/>
              <w:rPr>
                <w:sz w:val="20"/>
                <w:szCs w:val="20"/>
                <w:color w:val="auto"/>
              </w:rPr>
            </w:pPr>
            <w:r>
              <w:rPr>
                <w:rFonts w:ascii="Arial" w:cs="Arial" w:eastAsia="Arial" w:hAnsi="Arial"/>
                <w:sz w:val="13"/>
                <w:szCs w:val="13"/>
                <w:b w:val="1"/>
                <w:bCs w:val="1"/>
                <w:color w:val="FFFFFF"/>
              </w:rPr>
              <w:t>As of</w:t>
            </w:r>
          </w:p>
        </w:tc>
        <w:tc>
          <w:tcPr>
            <w:tcW w:w="1360" w:type="dxa"/>
            <w:vAlign w:val="bottom"/>
            <w:tcBorders>
              <w:top w:val="single" w:sz="8" w:color="auto"/>
              <w:right w:val="single" w:sz="8" w:color="auto"/>
            </w:tcBorders>
            <w:shd w:val="clear" w:color="auto" w:fill="29D2C9"/>
          </w:tcPr>
          <w:p>
            <w:pPr>
              <w:jc w:val="center"/>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820" w:type="dxa"/>
            <w:vAlign w:val="bottom"/>
            <w:tcBorders>
              <w:bottom w:val="single" w:sz="8" w:color="auto"/>
            </w:tcBorders>
            <w:shd w:val="clear" w:color="auto" w:fill="29D2C9"/>
          </w:tcPr>
          <w:p>
            <w:pPr>
              <w:spacing w:after="0"/>
              <w:rPr>
                <w:sz w:val="20"/>
                <w:szCs w:val="20"/>
                <w:color w:val="auto"/>
              </w:rPr>
            </w:pPr>
            <w:r>
              <w:rPr>
                <w:rFonts w:ascii="Arial" w:cs="Arial" w:eastAsia="Arial" w:hAnsi="Arial"/>
                <w:sz w:val="13"/>
                <w:szCs w:val="13"/>
                <w:b w:val="1"/>
                <w:bCs w:val="1"/>
                <w:color w:val="FFFFFF"/>
              </w:rPr>
              <w:t>S/ 000</w:t>
            </w:r>
          </w:p>
        </w:tc>
        <w:tc>
          <w:tcPr>
            <w:tcW w:w="1500" w:type="dxa"/>
            <w:vAlign w:val="bottom"/>
            <w:tcBorders>
              <w:bottom w:val="single" w:sz="8" w:color="auto"/>
            </w:tcBorders>
            <w:shd w:val="clear" w:color="auto" w:fill="29D2C9"/>
          </w:tcPr>
          <w:p>
            <w:pPr>
              <w:spacing w:after="0"/>
              <w:rPr>
                <w:sz w:val="13"/>
                <w:szCs w:val="13"/>
                <w:color w:val="auto"/>
              </w:rPr>
            </w:pPr>
          </w:p>
        </w:tc>
        <w:tc>
          <w:tcPr>
            <w:tcW w:w="480" w:type="dxa"/>
            <w:vAlign w:val="bottom"/>
            <w:tcBorders>
              <w:bottom w:val="single" w:sz="8" w:color="auto"/>
              <w:right w:val="single" w:sz="8" w:color="auto"/>
            </w:tcBorders>
            <w:shd w:val="clear" w:color="auto" w:fill="29D2C9"/>
          </w:tcPr>
          <w:p>
            <w:pPr>
              <w:spacing w:after="0"/>
              <w:rPr>
                <w:sz w:val="13"/>
                <w:szCs w:val="13"/>
                <w:color w:val="auto"/>
              </w:rPr>
            </w:pPr>
          </w:p>
        </w:tc>
        <w:tc>
          <w:tcPr>
            <w:tcW w:w="960" w:type="dxa"/>
            <w:vAlign w:val="bottom"/>
            <w:tcBorders>
              <w:bottom w:val="single" w:sz="8" w:color="auto"/>
            </w:tcBorders>
            <w:shd w:val="clear" w:color="auto" w:fill="29D2C9"/>
          </w:tcPr>
          <w:p>
            <w:pPr>
              <w:jc w:val="right"/>
              <w:ind w:right="253"/>
              <w:spacing w:after="0"/>
              <w:rPr>
                <w:sz w:val="20"/>
                <w:szCs w:val="20"/>
                <w:color w:val="auto"/>
              </w:rPr>
            </w:pPr>
            <w:r>
              <w:rPr>
                <w:rFonts w:ascii="Arial" w:cs="Arial" w:eastAsia="Arial" w:hAnsi="Arial"/>
                <w:sz w:val="13"/>
                <w:szCs w:val="13"/>
                <w:b w:val="1"/>
                <w:bCs w:val="1"/>
                <w:color w:val="FFFFFF"/>
              </w:rPr>
              <w:t>4Q21</w:t>
            </w:r>
          </w:p>
        </w:tc>
        <w:tc>
          <w:tcPr>
            <w:tcW w:w="940" w:type="dxa"/>
            <w:vAlign w:val="bottom"/>
            <w:tcBorders>
              <w:bottom w:val="single" w:sz="8" w:color="auto"/>
            </w:tcBorders>
            <w:shd w:val="clear" w:color="auto" w:fill="29D2C9"/>
          </w:tcPr>
          <w:p>
            <w:pPr>
              <w:jc w:val="right"/>
              <w:ind w:right="253"/>
              <w:spacing w:after="0"/>
              <w:rPr>
                <w:sz w:val="20"/>
                <w:szCs w:val="20"/>
                <w:color w:val="auto"/>
              </w:rPr>
            </w:pPr>
            <w:r>
              <w:rPr>
                <w:rFonts w:ascii="Arial" w:cs="Arial" w:eastAsia="Arial" w:hAnsi="Arial"/>
                <w:sz w:val="13"/>
                <w:szCs w:val="13"/>
                <w:b w:val="1"/>
                <w:bCs w:val="1"/>
                <w:color w:val="FFFFFF"/>
              </w:rPr>
              <w:t>3Q22</w:t>
            </w:r>
          </w:p>
        </w:tc>
        <w:tc>
          <w:tcPr>
            <w:tcW w:w="880" w:type="dxa"/>
            <w:vAlign w:val="bottom"/>
            <w:tcBorders>
              <w:bottom w:val="single" w:sz="8" w:color="auto"/>
              <w:right w:val="single" w:sz="8" w:color="auto"/>
            </w:tcBorders>
            <w:shd w:val="clear" w:color="auto" w:fill="29D2C9"/>
          </w:tcPr>
          <w:p>
            <w:pPr>
              <w:jc w:val="right"/>
              <w:ind w:right="233"/>
              <w:spacing w:after="0"/>
              <w:rPr>
                <w:sz w:val="20"/>
                <w:szCs w:val="20"/>
                <w:color w:val="auto"/>
              </w:rPr>
            </w:pPr>
            <w:r>
              <w:rPr>
                <w:rFonts w:ascii="Arial" w:cs="Arial" w:eastAsia="Arial" w:hAnsi="Arial"/>
                <w:sz w:val="13"/>
                <w:szCs w:val="13"/>
                <w:b w:val="1"/>
                <w:bCs w:val="1"/>
                <w:color w:val="FFFFFF"/>
              </w:rPr>
              <w:t>4Q22</w:t>
            </w:r>
          </w:p>
        </w:tc>
        <w:tc>
          <w:tcPr>
            <w:tcW w:w="680" w:type="dxa"/>
            <w:vAlign w:val="bottom"/>
            <w:tcBorders>
              <w:bottom w:val="single" w:sz="8" w:color="auto"/>
            </w:tcBorders>
            <w:gridSpan w:val="3"/>
            <w:shd w:val="clear" w:color="auto" w:fill="29D2C9"/>
          </w:tcPr>
          <w:p>
            <w:pPr>
              <w:ind w:left="180"/>
              <w:spacing w:after="0"/>
              <w:rPr>
                <w:sz w:val="20"/>
                <w:szCs w:val="20"/>
                <w:color w:val="auto"/>
              </w:rPr>
            </w:pPr>
            <w:r>
              <w:rPr>
                <w:rFonts w:ascii="Arial" w:cs="Arial" w:eastAsia="Arial" w:hAnsi="Arial"/>
                <w:sz w:val="13"/>
                <w:szCs w:val="13"/>
                <w:b w:val="1"/>
                <w:bCs w:val="1"/>
                <w:color w:val="FFFFFF"/>
              </w:rPr>
              <w:t>QoQ</w:t>
            </w:r>
          </w:p>
        </w:tc>
        <w:tc>
          <w:tcPr>
            <w:tcW w:w="780" w:type="dxa"/>
            <w:vAlign w:val="bottom"/>
            <w:tcBorders>
              <w:bottom w:val="single" w:sz="8" w:color="auto"/>
              <w:right w:val="single" w:sz="8" w:color="auto"/>
            </w:tcBorders>
            <w:shd w:val="clear" w:color="auto" w:fill="29D2C9"/>
          </w:tcPr>
          <w:p>
            <w:pPr>
              <w:ind w:left="240"/>
              <w:spacing w:after="0"/>
              <w:rPr>
                <w:sz w:val="20"/>
                <w:szCs w:val="20"/>
                <w:color w:val="auto"/>
              </w:rPr>
            </w:pPr>
            <w:r>
              <w:rPr>
                <w:rFonts w:ascii="Arial" w:cs="Arial" w:eastAsia="Arial" w:hAnsi="Arial"/>
                <w:sz w:val="13"/>
                <w:szCs w:val="13"/>
                <w:b w:val="1"/>
                <w:bCs w:val="1"/>
                <w:color w:val="FFFFFF"/>
              </w:rPr>
              <w:t>YoY</w:t>
            </w:r>
          </w:p>
        </w:tc>
        <w:tc>
          <w:tcPr>
            <w:tcW w:w="980" w:type="dxa"/>
            <w:vAlign w:val="bottom"/>
            <w:tcBorders>
              <w:bottom w:val="single" w:sz="8" w:color="auto"/>
            </w:tcBorders>
            <w:shd w:val="clear" w:color="auto" w:fill="29D2C9"/>
          </w:tcPr>
          <w:p>
            <w:pPr>
              <w:jc w:val="right"/>
              <w:ind w:right="213"/>
              <w:spacing w:after="0"/>
              <w:rPr>
                <w:sz w:val="20"/>
                <w:szCs w:val="20"/>
                <w:color w:val="auto"/>
              </w:rPr>
            </w:pPr>
            <w:r>
              <w:rPr>
                <w:rFonts w:ascii="Arial" w:cs="Arial" w:eastAsia="Arial" w:hAnsi="Arial"/>
                <w:sz w:val="13"/>
                <w:szCs w:val="13"/>
                <w:b w:val="1"/>
                <w:bCs w:val="1"/>
                <w:color w:val="FFFFFF"/>
              </w:rPr>
              <w:t>Dec 21</w:t>
            </w:r>
          </w:p>
        </w:tc>
        <w:tc>
          <w:tcPr>
            <w:tcW w:w="840" w:type="dxa"/>
            <w:vAlign w:val="bottom"/>
            <w:tcBorders>
              <w:bottom w:val="single" w:sz="8" w:color="auto"/>
              <w:right w:val="single" w:sz="8" w:color="auto"/>
            </w:tcBorders>
            <w:shd w:val="clear" w:color="auto" w:fill="29D2C9"/>
          </w:tcPr>
          <w:p>
            <w:pPr>
              <w:jc w:val="right"/>
              <w:ind w:right="153"/>
              <w:spacing w:after="0"/>
              <w:rPr>
                <w:sz w:val="20"/>
                <w:szCs w:val="20"/>
                <w:color w:val="auto"/>
              </w:rPr>
            </w:pPr>
            <w:r>
              <w:rPr>
                <w:rFonts w:ascii="Arial" w:cs="Arial" w:eastAsia="Arial" w:hAnsi="Arial"/>
                <w:sz w:val="13"/>
                <w:szCs w:val="13"/>
                <w:b w:val="1"/>
                <w:bCs w:val="1"/>
                <w:color w:val="FFFFFF"/>
              </w:rPr>
              <w:t>Dec 22</w:t>
            </w:r>
          </w:p>
        </w:tc>
        <w:tc>
          <w:tcPr>
            <w:tcW w:w="1360" w:type="dxa"/>
            <w:vAlign w:val="bottom"/>
            <w:tcBorders>
              <w:bottom w:val="single" w:sz="8" w:color="auto"/>
              <w:right w:val="single" w:sz="8" w:color="auto"/>
            </w:tcBorders>
            <w:shd w:val="clear" w:color="auto" w:fill="29D2C9"/>
          </w:tcPr>
          <w:p>
            <w:pPr>
              <w:jc w:val="center"/>
              <w:spacing w:after="0"/>
              <w:rPr>
                <w:sz w:val="20"/>
                <w:szCs w:val="20"/>
                <w:color w:val="auto"/>
              </w:rPr>
            </w:pPr>
            <w:r>
              <w:rPr>
                <w:rFonts w:ascii="Arial" w:cs="Arial" w:eastAsia="Arial" w:hAnsi="Arial"/>
                <w:sz w:val="13"/>
                <w:szCs w:val="13"/>
                <w:b w:val="1"/>
                <w:bCs w:val="1"/>
                <w:color w:val="FFFFFF"/>
              </w:rPr>
              <w:t>Dec 22 / Dec 21</w:t>
            </w:r>
          </w:p>
        </w:tc>
        <w:tc>
          <w:tcPr>
            <w:tcW w:w="0" w:type="dxa"/>
            <w:vAlign w:val="bottom"/>
          </w:tcPr>
          <w:p>
            <w:pPr>
              <w:spacing w:after="0"/>
              <w:rPr>
                <w:sz w:val="1"/>
                <w:szCs w:val="1"/>
                <w:color w:val="auto"/>
              </w:rPr>
            </w:pPr>
          </w:p>
        </w:tc>
      </w:tr>
      <w:tr>
        <w:trPr>
          <w:trHeight w:val="136"/>
        </w:trPr>
        <w:tc>
          <w:tcPr>
            <w:tcW w:w="40" w:type="dxa"/>
            <w:vAlign w:val="bottom"/>
            <w:tcBorders>
              <w:right w:val="single" w:sz="8" w:color="auto"/>
            </w:tcBorders>
          </w:tcPr>
          <w:p>
            <w:pPr>
              <w:spacing w:after="0"/>
              <w:rPr>
                <w:sz w:val="11"/>
                <w:szCs w:val="11"/>
                <w:color w:val="auto"/>
              </w:rPr>
            </w:pPr>
          </w:p>
        </w:tc>
        <w:tc>
          <w:tcPr>
            <w:tcW w:w="1820" w:type="dxa"/>
            <w:vAlign w:val="bottom"/>
          </w:tcPr>
          <w:p>
            <w:pPr>
              <w:spacing w:after="0" w:line="136" w:lineRule="exact"/>
              <w:rPr>
                <w:sz w:val="20"/>
                <w:szCs w:val="20"/>
                <w:color w:val="auto"/>
              </w:rPr>
            </w:pPr>
            <w:r>
              <w:rPr>
                <w:rFonts w:ascii="Arial" w:cs="Arial" w:eastAsia="Arial" w:hAnsi="Arial"/>
                <w:sz w:val="13"/>
                <w:szCs w:val="13"/>
                <w:b w:val="1"/>
                <w:bCs w:val="1"/>
                <w:color w:val="auto"/>
              </w:rPr>
              <w:t>Interest income</w:t>
            </w:r>
          </w:p>
        </w:tc>
        <w:tc>
          <w:tcPr>
            <w:tcW w:w="15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3,091,754</w:t>
            </w:r>
          </w:p>
        </w:tc>
        <w:tc>
          <w:tcPr>
            <w:tcW w:w="940" w:type="dxa"/>
            <w:vAlign w:val="bottom"/>
          </w:tcPr>
          <w:p>
            <w:pPr>
              <w:jc w:val="right"/>
              <w:ind w:right="53"/>
              <w:spacing w:after="0" w:line="136" w:lineRule="exact"/>
              <w:rPr>
                <w:sz w:val="20"/>
                <w:szCs w:val="20"/>
                <w:color w:val="auto"/>
              </w:rPr>
            </w:pPr>
            <w:r>
              <w:rPr>
                <w:rFonts w:ascii="Arial" w:cs="Arial" w:eastAsia="Arial" w:hAnsi="Arial"/>
                <w:sz w:val="13"/>
                <w:szCs w:val="13"/>
                <w:b w:val="1"/>
                <w:bCs w:val="1"/>
                <w:color w:val="auto"/>
              </w:rPr>
              <w:t>3,988,681</w:t>
            </w:r>
          </w:p>
        </w:tc>
        <w:tc>
          <w:tcPr>
            <w:tcW w:w="88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b w:val="1"/>
                <w:bCs w:val="1"/>
                <w:color w:val="auto"/>
              </w:rPr>
              <w:t>4,362,142</w:t>
            </w:r>
          </w:p>
        </w:tc>
        <w:tc>
          <w:tcPr>
            <w:tcW w:w="680" w:type="dxa"/>
            <w:vAlign w:val="bottom"/>
            <w:gridSpan w:val="3"/>
          </w:tcPr>
          <w:p>
            <w:pPr>
              <w:jc w:val="center"/>
              <w:spacing w:after="0" w:line="136" w:lineRule="exact"/>
              <w:rPr>
                <w:sz w:val="20"/>
                <w:szCs w:val="20"/>
                <w:color w:val="auto"/>
              </w:rPr>
            </w:pPr>
            <w:r>
              <w:rPr>
                <w:rFonts w:ascii="Arial" w:cs="Arial" w:eastAsia="Arial" w:hAnsi="Arial"/>
                <w:sz w:val="13"/>
                <w:szCs w:val="13"/>
                <w:b w:val="1"/>
                <w:bCs w:val="1"/>
                <w:color w:val="auto"/>
              </w:rPr>
              <w:t>9.4%</w:t>
            </w:r>
          </w:p>
        </w:tc>
        <w:tc>
          <w:tcPr>
            <w:tcW w:w="7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rPr>
              <w:t>41.1%</w:t>
            </w:r>
          </w:p>
        </w:tc>
        <w:tc>
          <w:tcPr>
            <w:tcW w:w="980" w:type="dxa"/>
            <w:vAlign w:val="bottom"/>
          </w:tcPr>
          <w:p>
            <w:pPr>
              <w:jc w:val="right"/>
              <w:ind w:right="13"/>
              <w:spacing w:after="0" w:line="136" w:lineRule="exact"/>
              <w:rPr>
                <w:sz w:val="20"/>
                <w:szCs w:val="20"/>
                <w:color w:val="auto"/>
              </w:rPr>
            </w:pPr>
            <w:r>
              <w:rPr>
                <w:rFonts w:ascii="Arial" w:cs="Arial" w:eastAsia="Arial" w:hAnsi="Arial"/>
                <w:sz w:val="13"/>
                <w:szCs w:val="13"/>
                <w:b w:val="1"/>
                <w:bCs w:val="1"/>
                <w:color w:val="auto"/>
              </w:rPr>
              <w:t>11,850,406</w:t>
            </w:r>
          </w:p>
        </w:tc>
        <w:tc>
          <w:tcPr>
            <w:tcW w:w="84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b w:val="1"/>
                <w:bCs w:val="1"/>
                <w:color w:val="auto"/>
              </w:rPr>
              <w:t>15,011,282</w:t>
            </w:r>
          </w:p>
        </w:tc>
        <w:tc>
          <w:tcPr>
            <w:tcW w:w="13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rPr>
              <w:t>26.7%</w:t>
            </w: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Interest on loans</w:t>
            </w:r>
          </w:p>
        </w:tc>
        <w:tc>
          <w:tcPr>
            <w:tcW w:w="15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2,654,383</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3,288,864</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3,515,083</w:t>
            </w:r>
          </w:p>
        </w:tc>
        <w:tc>
          <w:tcPr>
            <w:tcW w:w="680" w:type="dxa"/>
            <w:vAlign w:val="bottom"/>
            <w:gridSpan w:val="3"/>
          </w:tcPr>
          <w:p>
            <w:pPr>
              <w:jc w:val="center"/>
              <w:spacing w:after="0"/>
              <w:rPr>
                <w:sz w:val="20"/>
                <w:szCs w:val="20"/>
                <w:color w:val="auto"/>
              </w:rPr>
            </w:pPr>
            <w:r>
              <w:rPr>
                <w:rFonts w:ascii="Arial" w:cs="Arial" w:eastAsia="Arial" w:hAnsi="Arial"/>
                <w:sz w:val="13"/>
                <w:szCs w:val="13"/>
                <w:color w:val="auto"/>
              </w:rPr>
              <w:t>6.9%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32.4%</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10,170,680</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12,419,281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Dividends on investments</w:t>
            </w:r>
          </w:p>
        </w:tc>
        <w:tc>
          <w:tcPr>
            <w:tcW w:w="15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6,212</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7,498</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3,726</w:t>
            </w:r>
          </w:p>
        </w:tc>
        <w:tc>
          <w:tcPr>
            <w:tcW w:w="680" w:type="dxa"/>
            <w:vAlign w:val="bottom"/>
            <w:gridSpan w:val="3"/>
          </w:tcPr>
          <w:p>
            <w:pPr>
              <w:jc w:val="center"/>
              <w:spacing w:after="0"/>
              <w:rPr>
                <w:sz w:val="20"/>
                <w:szCs w:val="20"/>
                <w:color w:val="auto"/>
              </w:rPr>
            </w:pPr>
            <w:r>
              <w:rPr>
                <w:rFonts w:ascii="Arial" w:cs="Arial" w:eastAsia="Arial" w:hAnsi="Arial"/>
                <w:sz w:val="13"/>
                <w:szCs w:val="13"/>
                <w:color w:val="auto"/>
              </w:rPr>
              <w:t>-50.3%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-40.0%</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40,637</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29,226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3320" w:type="dxa"/>
            <w:vAlign w:val="bottom"/>
            <w:gridSpan w:val="2"/>
          </w:tcPr>
          <w:p>
            <w:pPr>
              <w:ind w:left="120"/>
              <w:spacing w:after="0"/>
              <w:rPr>
                <w:sz w:val="20"/>
                <w:szCs w:val="20"/>
                <w:color w:val="auto"/>
              </w:rPr>
            </w:pPr>
            <w:r>
              <w:rPr>
                <w:rFonts w:ascii="Arial" w:cs="Arial" w:eastAsia="Arial" w:hAnsi="Arial"/>
                <w:sz w:val="13"/>
                <w:szCs w:val="13"/>
                <w:color w:val="auto"/>
              </w:rPr>
              <w:t>Interest on deposits with banks</w:t>
            </w:r>
          </w:p>
        </w:tc>
        <w:tc>
          <w:tcPr>
            <w:tcW w:w="480" w:type="dxa"/>
            <w:vAlign w:val="bottom"/>
            <w:tcBorders>
              <w:righ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23,480</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139,077</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236,319</w:t>
            </w:r>
          </w:p>
        </w:tc>
        <w:tc>
          <w:tcPr>
            <w:tcW w:w="680" w:type="dxa"/>
            <w:vAlign w:val="bottom"/>
            <w:gridSpan w:val="3"/>
          </w:tcPr>
          <w:p>
            <w:pPr>
              <w:jc w:val="center"/>
              <w:spacing w:after="0"/>
              <w:rPr>
                <w:sz w:val="20"/>
                <w:szCs w:val="20"/>
                <w:color w:val="auto"/>
              </w:rPr>
            </w:pPr>
            <w:r>
              <w:rPr>
                <w:rFonts w:ascii="Arial" w:cs="Arial" w:eastAsia="Arial" w:hAnsi="Arial"/>
                <w:sz w:val="13"/>
                <w:szCs w:val="13"/>
                <w:color w:val="auto"/>
              </w:rPr>
              <w:t>69.9%</w:t>
            </w:r>
          </w:p>
        </w:tc>
        <w:tc>
          <w:tcPr>
            <w:tcW w:w="780" w:type="dxa"/>
            <w:vAlign w:val="bottom"/>
            <w:tcBorders>
              <w:right w:val="single" w:sz="8" w:color="auto"/>
            </w:tcBorders>
          </w:tcPr>
          <w:p>
            <w:pPr>
              <w:ind w:left="260"/>
              <w:spacing w:after="0"/>
              <w:rPr>
                <w:sz w:val="20"/>
                <w:szCs w:val="20"/>
                <w:color w:val="auto"/>
              </w:rPr>
            </w:pPr>
            <w:r>
              <w:rPr>
                <w:rFonts w:ascii="Arial" w:cs="Arial" w:eastAsia="Arial" w:hAnsi="Arial"/>
                <w:sz w:val="13"/>
                <w:szCs w:val="13"/>
                <w:color w:val="auto"/>
              </w:rPr>
              <w:t>n.a.</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49,637</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458,531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Interest on securities</w:t>
            </w:r>
          </w:p>
        </w:tc>
        <w:tc>
          <w:tcPr>
            <w:tcW w:w="15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395,815</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543,325</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559,041</w:t>
            </w:r>
          </w:p>
        </w:tc>
        <w:tc>
          <w:tcPr>
            <w:tcW w:w="680" w:type="dxa"/>
            <w:vAlign w:val="bottom"/>
            <w:gridSpan w:val="3"/>
          </w:tcPr>
          <w:p>
            <w:pPr>
              <w:jc w:val="center"/>
              <w:spacing w:after="0"/>
              <w:rPr>
                <w:sz w:val="20"/>
                <w:szCs w:val="20"/>
                <w:color w:val="auto"/>
              </w:rPr>
            </w:pPr>
            <w:r>
              <w:rPr>
                <w:rFonts w:ascii="Arial" w:cs="Arial" w:eastAsia="Arial" w:hAnsi="Arial"/>
                <w:sz w:val="13"/>
                <w:szCs w:val="13"/>
                <w:color w:val="auto"/>
              </w:rPr>
              <w:t>2.9%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41.2%</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1,526,793</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2,013,694</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Other interest income</w:t>
            </w:r>
          </w:p>
        </w:tc>
        <w:tc>
          <w:tcPr>
            <w:tcW w:w="15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11,864</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9,917</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47,973</w:t>
            </w:r>
          </w:p>
        </w:tc>
        <w:tc>
          <w:tcPr>
            <w:tcW w:w="680" w:type="dxa"/>
            <w:vAlign w:val="bottom"/>
            <w:gridSpan w:val="3"/>
          </w:tcPr>
          <w:p>
            <w:pPr>
              <w:jc w:val="center"/>
              <w:spacing w:after="0"/>
              <w:rPr>
                <w:sz w:val="20"/>
                <w:szCs w:val="20"/>
                <w:color w:val="auto"/>
              </w:rPr>
            </w:pPr>
            <w:r>
              <w:rPr>
                <w:rFonts w:ascii="Arial" w:cs="Arial" w:eastAsia="Arial" w:hAnsi="Arial"/>
                <w:sz w:val="13"/>
                <w:szCs w:val="13"/>
                <w:color w:val="auto"/>
              </w:rPr>
              <w:t>383.7%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304.4%</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62,659</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90,550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153"/>
        </w:trPr>
        <w:tc>
          <w:tcPr>
            <w:tcW w:w="40" w:type="dxa"/>
            <w:vAlign w:val="bottom"/>
            <w:tcBorders>
              <w:right w:val="single" w:sz="8" w:color="auto"/>
            </w:tcBorders>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b w:val="1"/>
                <w:bCs w:val="1"/>
                <w:color w:val="auto"/>
              </w:rPr>
              <w:t>Interest expense</w:t>
            </w:r>
          </w:p>
        </w:tc>
        <w:tc>
          <w:tcPr>
            <w:tcW w:w="15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614,520</w:t>
            </w: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auto"/>
              </w:rPr>
              <w:t>987,222</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1,119,124</w:t>
            </w: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rPr>
              <w:t>13.4%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82.1%</w:t>
            </w: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auto"/>
              </w:rPr>
              <w:t>2,490,802</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3,493,187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40.2%</w:t>
            </w: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Interest on deposits</w:t>
            </w:r>
          </w:p>
        </w:tc>
        <w:tc>
          <w:tcPr>
            <w:tcW w:w="15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222,992</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510,116</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582,237</w:t>
            </w:r>
          </w:p>
        </w:tc>
        <w:tc>
          <w:tcPr>
            <w:tcW w:w="680" w:type="dxa"/>
            <w:vAlign w:val="bottom"/>
            <w:gridSpan w:val="3"/>
          </w:tcPr>
          <w:p>
            <w:pPr>
              <w:jc w:val="center"/>
              <w:spacing w:after="0"/>
              <w:rPr>
                <w:sz w:val="20"/>
                <w:szCs w:val="20"/>
                <w:color w:val="auto"/>
              </w:rPr>
            </w:pPr>
            <w:r>
              <w:rPr>
                <w:rFonts w:ascii="Arial" w:cs="Arial" w:eastAsia="Arial" w:hAnsi="Arial"/>
                <w:sz w:val="13"/>
                <w:szCs w:val="13"/>
                <w:color w:val="auto"/>
              </w:rPr>
              <w:t>14.1%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161.1%</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865,474</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1,688,245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1820" w:type="dxa"/>
            <w:vAlign w:val="bottom"/>
          </w:tcPr>
          <w:p>
            <w:pPr>
              <w:ind w:left="120"/>
              <w:spacing w:after="0"/>
              <w:rPr>
                <w:sz w:val="20"/>
                <w:szCs w:val="20"/>
                <w:color w:val="auto"/>
              </w:rPr>
            </w:pPr>
            <w:r>
              <w:rPr>
                <w:rFonts w:ascii="Arial" w:cs="Arial" w:eastAsia="Arial" w:hAnsi="Arial"/>
                <w:sz w:val="13"/>
                <w:szCs w:val="13"/>
                <w:color w:val="auto"/>
              </w:rPr>
              <w:t>Interest on borrowed funds</w:t>
            </w:r>
          </w:p>
        </w:tc>
        <w:tc>
          <w:tcPr>
            <w:tcW w:w="15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111,625</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185,858</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239,583</w:t>
            </w:r>
          </w:p>
        </w:tc>
        <w:tc>
          <w:tcPr>
            <w:tcW w:w="680" w:type="dxa"/>
            <w:vAlign w:val="bottom"/>
            <w:gridSpan w:val="3"/>
          </w:tcPr>
          <w:p>
            <w:pPr>
              <w:jc w:val="center"/>
              <w:spacing w:after="0"/>
              <w:rPr>
                <w:sz w:val="20"/>
                <w:szCs w:val="20"/>
                <w:color w:val="auto"/>
              </w:rPr>
            </w:pPr>
            <w:r>
              <w:rPr>
                <w:rFonts w:ascii="Arial" w:cs="Arial" w:eastAsia="Arial" w:hAnsi="Arial"/>
                <w:sz w:val="13"/>
                <w:szCs w:val="13"/>
                <w:color w:val="auto"/>
              </w:rPr>
              <w:t>28.9%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114.6%</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435,426</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683,078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3320" w:type="dxa"/>
            <w:vAlign w:val="bottom"/>
            <w:gridSpan w:val="2"/>
          </w:tcPr>
          <w:p>
            <w:pPr>
              <w:ind w:left="120"/>
              <w:spacing w:after="0"/>
              <w:rPr>
                <w:sz w:val="20"/>
                <w:szCs w:val="20"/>
                <w:color w:val="auto"/>
              </w:rPr>
            </w:pPr>
            <w:r>
              <w:rPr>
                <w:rFonts w:ascii="Arial" w:cs="Arial" w:eastAsia="Arial" w:hAnsi="Arial"/>
                <w:sz w:val="13"/>
                <w:szCs w:val="13"/>
                <w:color w:val="auto"/>
              </w:rPr>
              <w:t>Interest on bonds and subordinated notes</w:t>
            </w:r>
          </w:p>
        </w:tc>
        <w:tc>
          <w:tcPr>
            <w:tcW w:w="480" w:type="dxa"/>
            <w:vAlign w:val="bottom"/>
            <w:tcBorders>
              <w:right w:val="single" w:sz="8" w:color="auto"/>
            </w:tcBorders>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184,797</w:t>
            </w:r>
          </w:p>
        </w:tc>
        <w:tc>
          <w:tcPr>
            <w:tcW w:w="940" w:type="dxa"/>
            <w:vAlign w:val="bottom"/>
          </w:tcPr>
          <w:p>
            <w:pPr>
              <w:jc w:val="right"/>
              <w:ind w:right="53"/>
              <w:spacing w:after="0"/>
              <w:rPr>
                <w:sz w:val="20"/>
                <w:szCs w:val="20"/>
                <w:color w:val="auto"/>
              </w:rPr>
            </w:pPr>
            <w:r>
              <w:rPr>
                <w:rFonts w:ascii="Arial" w:cs="Arial" w:eastAsia="Arial" w:hAnsi="Arial"/>
                <w:sz w:val="13"/>
                <w:szCs w:val="13"/>
                <w:color w:val="auto"/>
              </w:rPr>
              <w:t>188,503</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188,983</w:t>
            </w:r>
          </w:p>
        </w:tc>
        <w:tc>
          <w:tcPr>
            <w:tcW w:w="680" w:type="dxa"/>
            <w:vAlign w:val="bottom"/>
            <w:gridSpan w:val="3"/>
          </w:tcPr>
          <w:p>
            <w:pPr>
              <w:jc w:val="center"/>
              <w:spacing w:after="0"/>
              <w:rPr>
                <w:sz w:val="20"/>
                <w:szCs w:val="20"/>
                <w:color w:val="auto"/>
              </w:rPr>
            </w:pPr>
            <w:r>
              <w:rPr>
                <w:rFonts w:ascii="Arial" w:cs="Arial" w:eastAsia="Arial" w:hAnsi="Arial"/>
                <w:sz w:val="13"/>
                <w:szCs w:val="13"/>
                <w:color w:val="auto"/>
              </w:rPr>
              <w:t>0.3%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2.3%</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836,978</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728,218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9"/>
        </w:trPr>
        <w:tc>
          <w:tcPr>
            <w:tcW w:w="40" w:type="dxa"/>
            <w:vAlign w:val="bottom"/>
            <w:tcBorders>
              <w:right w:val="single" w:sz="8" w:color="auto"/>
            </w:tcBorders>
          </w:tcPr>
          <w:p>
            <w:pPr>
              <w:spacing w:after="0"/>
              <w:rPr>
                <w:sz w:val="13"/>
                <w:szCs w:val="13"/>
                <w:color w:val="auto"/>
              </w:rPr>
            </w:pPr>
          </w:p>
        </w:tc>
        <w:tc>
          <w:tcPr>
            <w:tcW w:w="18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Other interest expense</w:t>
            </w:r>
          </w:p>
        </w:tc>
        <w:tc>
          <w:tcPr>
            <w:tcW w:w="150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95,106</w:t>
            </w: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102,745</w:t>
            </w:r>
          </w:p>
        </w:tc>
        <w:tc>
          <w:tcPr>
            <w:tcW w:w="8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108,321</w:t>
            </w: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rPr>
              <w:t>5.4%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13.9%</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352,924</w:t>
            </w:r>
          </w:p>
        </w:tc>
        <w:tc>
          <w:tcPr>
            <w:tcW w:w="8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393,646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tcPr>
          <w:p>
            <w:pPr>
              <w:spacing w:after="0"/>
              <w:rPr>
                <w:sz w:val="12"/>
                <w:szCs w:val="12"/>
                <w:color w:val="auto"/>
              </w:rPr>
            </w:pPr>
          </w:p>
        </w:tc>
        <w:tc>
          <w:tcPr>
            <w:tcW w:w="18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Net interest income</w:t>
            </w:r>
          </w:p>
        </w:tc>
        <w:tc>
          <w:tcPr>
            <w:tcW w:w="150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2,477,234</w:t>
            </w:r>
          </w:p>
        </w:tc>
        <w:tc>
          <w:tcPr>
            <w:tcW w:w="940" w:type="dxa"/>
            <w:vAlign w:val="bottom"/>
            <w:tcBorders>
              <w:bottom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3,001,459</w:t>
            </w:r>
          </w:p>
        </w:tc>
        <w:tc>
          <w:tcPr>
            <w:tcW w:w="88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3,243,018</w:t>
            </w:r>
          </w:p>
        </w:tc>
        <w:tc>
          <w:tcPr>
            <w:tcW w:w="680" w:type="dxa"/>
            <w:vAlign w:val="bottom"/>
            <w:tcBorders>
              <w:bottom w:val="single" w:sz="8" w:color="auto"/>
            </w:tcBorders>
            <w:gridSpan w:val="3"/>
          </w:tcPr>
          <w:p>
            <w:pPr>
              <w:jc w:val="center"/>
              <w:spacing w:after="0" w:line="144" w:lineRule="exact"/>
              <w:rPr>
                <w:sz w:val="20"/>
                <w:szCs w:val="20"/>
                <w:color w:val="auto"/>
              </w:rPr>
            </w:pPr>
            <w:r>
              <w:rPr>
                <w:rFonts w:ascii="Arial" w:cs="Arial" w:eastAsia="Arial" w:hAnsi="Arial"/>
                <w:sz w:val="13"/>
                <w:szCs w:val="13"/>
                <w:b w:val="1"/>
                <w:bCs w:val="1"/>
                <w:color w:val="auto"/>
              </w:rPr>
              <w:t>8.0%</w:t>
            </w:r>
          </w:p>
        </w:tc>
        <w:tc>
          <w:tcPr>
            <w:tcW w:w="7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30.9%</w:t>
            </w:r>
          </w:p>
        </w:tc>
        <w:tc>
          <w:tcPr>
            <w:tcW w:w="980" w:type="dxa"/>
            <w:vAlign w:val="bottom"/>
            <w:tcBorders>
              <w:bottom w:val="single" w:sz="8" w:color="auto"/>
            </w:tcBorders>
          </w:tcPr>
          <w:p>
            <w:pPr>
              <w:jc w:val="right"/>
              <w:ind w:right="13"/>
              <w:spacing w:after="0" w:line="144" w:lineRule="exact"/>
              <w:rPr>
                <w:sz w:val="20"/>
                <w:szCs w:val="20"/>
                <w:color w:val="auto"/>
              </w:rPr>
            </w:pPr>
            <w:r>
              <w:rPr>
                <w:rFonts w:ascii="Arial" w:cs="Arial" w:eastAsia="Arial" w:hAnsi="Arial"/>
                <w:sz w:val="13"/>
                <w:szCs w:val="13"/>
                <w:b w:val="1"/>
                <w:bCs w:val="1"/>
                <w:color w:val="auto"/>
              </w:rPr>
              <w:t>9,359,604</w:t>
            </w:r>
          </w:p>
        </w:tc>
        <w:tc>
          <w:tcPr>
            <w:tcW w:w="84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11,518,095</w:t>
            </w:r>
          </w:p>
        </w:tc>
        <w:tc>
          <w:tcPr>
            <w:tcW w:w="13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23.1%</w:t>
            </w: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tcPr>
          <w:p>
            <w:pPr>
              <w:spacing w:after="0"/>
              <w:rPr>
                <w:sz w:val="12"/>
                <w:szCs w:val="12"/>
                <w:color w:val="auto"/>
              </w:rPr>
            </w:pPr>
          </w:p>
        </w:tc>
        <w:tc>
          <w:tcPr>
            <w:tcW w:w="332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Risk-adjusted Net interest income</w:t>
            </w:r>
          </w:p>
        </w:tc>
        <w:tc>
          <w:tcPr>
            <w:tcW w:w="48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2,350,452</w:t>
            </w:r>
          </w:p>
        </w:tc>
        <w:tc>
          <w:tcPr>
            <w:tcW w:w="940" w:type="dxa"/>
            <w:vAlign w:val="bottom"/>
            <w:tcBorders>
              <w:bottom w:val="single" w:sz="8" w:color="auto"/>
            </w:tcBorders>
          </w:tcPr>
          <w:p>
            <w:pPr>
              <w:jc w:val="right"/>
              <w:ind w:right="53"/>
              <w:spacing w:after="0" w:line="144" w:lineRule="exact"/>
              <w:rPr>
                <w:sz w:val="20"/>
                <w:szCs w:val="20"/>
                <w:color w:val="auto"/>
              </w:rPr>
            </w:pPr>
            <w:r>
              <w:rPr>
                <w:rFonts w:ascii="Arial" w:cs="Arial" w:eastAsia="Arial" w:hAnsi="Arial"/>
                <w:sz w:val="13"/>
                <w:szCs w:val="13"/>
                <w:color w:val="auto"/>
              </w:rPr>
              <w:t>2,541,483</w:t>
            </w:r>
          </w:p>
        </w:tc>
        <w:tc>
          <w:tcPr>
            <w:tcW w:w="88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2,512,337</w:t>
            </w:r>
          </w:p>
        </w:tc>
        <w:tc>
          <w:tcPr>
            <w:tcW w:w="680" w:type="dxa"/>
            <w:vAlign w:val="bottom"/>
            <w:tcBorders>
              <w:bottom w:val="single" w:sz="8" w:color="auto"/>
            </w:tcBorders>
            <w:gridSpan w:val="3"/>
          </w:tcPr>
          <w:p>
            <w:pPr>
              <w:jc w:val="center"/>
              <w:spacing w:after="0" w:line="144" w:lineRule="exact"/>
              <w:rPr>
                <w:sz w:val="20"/>
                <w:szCs w:val="20"/>
                <w:color w:val="auto"/>
              </w:rPr>
            </w:pPr>
            <w:r>
              <w:rPr>
                <w:rFonts w:ascii="Arial" w:cs="Arial" w:eastAsia="Arial" w:hAnsi="Arial"/>
                <w:sz w:val="13"/>
                <w:szCs w:val="13"/>
                <w:color w:val="auto"/>
              </w:rPr>
              <w:t>-1.1%</w:t>
            </w:r>
          </w:p>
        </w:tc>
        <w:tc>
          <w:tcPr>
            <w:tcW w:w="7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6.9%</w:t>
            </w:r>
          </w:p>
        </w:tc>
        <w:tc>
          <w:tcPr>
            <w:tcW w:w="980" w:type="dxa"/>
            <w:vAlign w:val="bottom"/>
            <w:tcBorders>
              <w:bottom w:val="single" w:sz="8" w:color="auto"/>
            </w:tcBorders>
          </w:tcPr>
          <w:p>
            <w:pPr>
              <w:jc w:val="right"/>
              <w:ind w:right="13"/>
              <w:spacing w:after="0" w:line="144" w:lineRule="exact"/>
              <w:rPr>
                <w:sz w:val="20"/>
                <w:szCs w:val="20"/>
                <w:color w:val="auto"/>
              </w:rPr>
            </w:pPr>
            <w:r>
              <w:rPr>
                <w:rFonts w:ascii="Arial" w:cs="Arial" w:eastAsia="Arial" w:hAnsi="Arial"/>
                <w:sz w:val="13"/>
                <w:szCs w:val="13"/>
                <w:color w:val="auto"/>
              </w:rPr>
              <w:t>8,147,381</w:t>
            </w:r>
          </w:p>
        </w:tc>
        <w:tc>
          <w:tcPr>
            <w:tcW w:w="84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9,706,815</w:t>
            </w:r>
          </w:p>
        </w:tc>
        <w:tc>
          <w:tcPr>
            <w:tcW w:w="13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tcPr>
          <w:p>
            <w:pPr>
              <w:spacing w:after="0"/>
              <w:rPr>
                <w:sz w:val="12"/>
                <w:szCs w:val="12"/>
                <w:color w:val="auto"/>
              </w:rPr>
            </w:pPr>
          </w:p>
        </w:tc>
        <w:tc>
          <w:tcPr>
            <w:tcW w:w="332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b w:val="1"/>
                <w:bCs w:val="1"/>
                <w:color w:val="auto"/>
              </w:rPr>
              <w:t>Average interest earning assets</w:t>
            </w:r>
          </w:p>
        </w:tc>
        <w:tc>
          <w:tcPr>
            <w:tcW w:w="48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233,022,571</w:t>
            </w:r>
          </w:p>
        </w:tc>
        <w:tc>
          <w:tcPr>
            <w:tcW w:w="940" w:type="dxa"/>
            <w:vAlign w:val="bottom"/>
            <w:tcBorders>
              <w:bottom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226,137,887</w:t>
            </w:r>
          </w:p>
        </w:tc>
        <w:tc>
          <w:tcPr>
            <w:tcW w:w="88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226,372,709</w:t>
            </w:r>
          </w:p>
        </w:tc>
        <w:tc>
          <w:tcPr>
            <w:tcW w:w="680" w:type="dxa"/>
            <w:vAlign w:val="bottom"/>
            <w:tcBorders>
              <w:bottom w:val="single" w:sz="8" w:color="auto"/>
            </w:tcBorders>
            <w:gridSpan w:val="3"/>
          </w:tcPr>
          <w:p>
            <w:pPr>
              <w:jc w:val="center"/>
              <w:spacing w:after="0" w:line="144" w:lineRule="exact"/>
              <w:rPr>
                <w:sz w:val="20"/>
                <w:szCs w:val="20"/>
                <w:color w:val="auto"/>
              </w:rPr>
            </w:pPr>
            <w:r>
              <w:rPr>
                <w:rFonts w:ascii="Arial" w:cs="Arial" w:eastAsia="Arial" w:hAnsi="Arial"/>
                <w:sz w:val="13"/>
                <w:szCs w:val="13"/>
                <w:color w:val="auto"/>
              </w:rPr>
              <w:t>0.1%</w:t>
            </w:r>
          </w:p>
        </w:tc>
        <w:tc>
          <w:tcPr>
            <w:tcW w:w="7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-2.9%</w:t>
            </w:r>
          </w:p>
        </w:tc>
        <w:tc>
          <w:tcPr>
            <w:tcW w:w="980" w:type="dxa"/>
            <w:vAlign w:val="bottom"/>
            <w:tcBorders>
              <w:bottom w:val="single" w:sz="8" w:color="auto"/>
            </w:tcBorders>
          </w:tcPr>
          <w:p>
            <w:pPr>
              <w:jc w:val="right"/>
              <w:ind w:right="13"/>
              <w:spacing w:after="0" w:line="144" w:lineRule="exact"/>
              <w:rPr>
                <w:sz w:val="20"/>
                <w:szCs w:val="20"/>
                <w:color w:val="auto"/>
              </w:rPr>
            </w:pPr>
            <w:r>
              <w:rPr>
                <w:rFonts w:ascii="Arial" w:cs="Arial" w:eastAsia="Arial" w:hAnsi="Arial"/>
                <w:sz w:val="13"/>
                <w:szCs w:val="13"/>
                <w:b w:val="1"/>
                <w:bCs w:val="1"/>
                <w:color w:val="auto"/>
              </w:rPr>
              <w:t>228,163,486</w:t>
            </w:r>
          </w:p>
        </w:tc>
        <w:tc>
          <w:tcPr>
            <w:tcW w:w="84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w w:val="99"/>
              </w:rPr>
              <w:t>227,262,431</w:t>
            </w:r>
          </w:p>
        </w:tc>
        <w:tc>
          <w:tcPr>
            <w:tcW w:w="136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9"/>
              </w:rPr>
              <w:t>-0.4%</w:t>
            </w: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1820" w:type="dxa"/>
            <w:vAlign w:val="bottom"/>
          </w:tcPr>
          <w:p>
            <w:pPr>
              <w:spacing w:after="0" w:line="121" w:lineRule="exact"/>
              <w:rPr>
                <w:sz w:val="20"/>
                <w:szCs w:val="20"/>
                <w:color w:val="auto"/>
              </w:rPr>
            </w:pPr>
            <w:r>
              <w:rPr>
                <w:rFonts w:ascii="Arial" w:cs="Arial" w:eastAsia="Arial" w:hAnsi="Arial"/>
                <w:sz w:val="9"/>
                <w:szCs w:val="9"/>
                <w:b w:val="1"/>
                <w:bCs w:val="1"/>
                <w:color w:val="auto"/>
              </w:rPr>
              <w:t xml:space="preserve">Net interest margin </w:t>
            </w:r>
            <w:r>
              <w:rPr>
                <w:rFonts w:ascii="Arial" w:cs="Arial" w:eastAsia="Arial" w:hAnsi="Arial"/>
                <w:sz w:val="13"/>
                <w:szCs w:val="13"/>
                <w:b w:val="1"/>
                <w:bCs w:val="1"/>
                <w:color w:val="auto"/>
                <w:vertAlign w:val="superscript"/>
              </w:rPr>
              <w:t>(1)</w:t>
            </w:r>
          </w:p>
        </w:tc>
        <w:tc>
          <w:tcPr>
            <w:tcW w:w="1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96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4.25%</w:t>
            </w:r>
          </w:p>
        </w:tc>
        <w:tc>
          <w:tcPr>
            <w:tcW w:w="94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5.31%</w:t>
            </w:r>
          </w:p>
        </w:tc>
        <w:tc>
          <w:tcPr>
            <w:tcW w:w="880" w:type="dxa"/>
            <w:vAlign w:val="bottom"/>
            <w:tcBorders>
              <w:right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5.73%</w:t>
            </w:r>
          </w:p>
        </w:tc>
        <w:tc>
          <w:tcPr>
            <w:tcW w:w="68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42bps</w:t>
            </w:r>
          </w:p>
        </w:tc>
        <w:tc>
          <w:tcPr>
            <w:tcW w:w="7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rPr>
              <w:t>148bps</w:t>
            </w:r>
          </w:p>
        </w:tc>
        <w:tc>
          <w:tcPr>
            <w:tcW w:w="98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4.10%</w:t>
            </w:r>
          </w:p>
        </w:tc>
        <w:tc>
          <w:tcPr>
            <w:tcW w:w="840" w:type="dxa"/>
            <w:vAlign w:val="bottom"/>
            <w:tcBorders>
              <w:right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5.07%</w:t>
            </w:r>
          </w:p>
        </w:tc>
        <w:tc>
          <w:tcPr>
            <w:tcW w:w="136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rPr>
              <w:t>97bps</w:t>
            </w:r>
          </w:p>
        </w:tc>
        <w:tc>
          <w:tcPr>
            <w:tcW w:w="0" w:type="dxa"/>
            <w:vAlign w:val="bottom"/>
          </w:tcPr>
          <w:p>
            <w:pPr>
              <w:spacing w:after="0"/>
              <w:rPr>
                <w:sz w:val="1"/>
                <w:szCs w:val="1"/>
                <w:color w:val="auto"/>
              </w:rPr>
            </w:pPr>
          </w:p>
        </w:tc>
      </w:tr>
      <w:tr>
        <w:trPr>
          <w:trHeight w:val="164"/>
        </w:trPr>
        <w:tc>
          <w:tcPr>
            <w:tcW w:w="40" w:type="dxa"/>
            <w:vAlign w:val="bottom"/>
            <w:tcBorders>
              <w:right w:val="single" w:sz="8" w:color="auto"/>
            </w:tcBorders>
          </w:tcPr>
          <w:p>
            <w:pPr>
              <w:spacing w:after="0"/>
              <w:rPr>
                <w:sz w:val="14"/>
                <w:szCs w:val="14"/>
                <w:color w:val="auto"/>
              </w:rPr>
            </w:pPr>
          </w:p>
        </w:tc>
        <w:tc>
          <w:tcPr>
            <w:tcW w:w="3320" w:type="dxa"/>
            <w:vAlign w:val="bottom"/>
            <w:gridSpan w:val="2"/>
          </w:tcPr>
          <w:p>
            <w:pPr>
              <w:spacing w:after="0" w:line="164" w:lineRule="exact"/>
              <w:rPr>
                <w:sz w:val="20"/>
                <w:szCs w:val="20"/>
                <w:color w:val="auto"/>
              </w:rPr>
            </w:pPr>
            <w:r>
              <w:rPr>
                <w:rFonts w:ascii="Arial" w:cs="Arial" w:eastAsia="Arial" w:hAnsi="Arial"/>
                <w:sz w:val="12"/>
                <w:szCs w:val="12"/>
                <w:b w:val="1"/>
                <w:bCs w:val="1"/>
                <w:color w:val="auto"/>
              </w:rPr>
              <w:t xml:space="preserve">Risk-adjusted Net interest margin </w:t>
            </w:r>
            <w:r>
              <w:rPr>
                <w:rFonts w:ascii="Arial" w:cs="Arial" w:eastAsia="Arial" w:hAnsi="Arial"/>
                <w:sz w:val="19"/>
                <w:szCs w:val="19"/>
                <w:b w:val="1"/>
                <w:bCs w:val="1"/>
                <w:color w:val="auto"/>
                <w:vertAlign w:val="superscript"/>
              </w:rPr>
              <w:t>(1)</w:t>
            </w:r>
          </w:p>
        </w:tc>
        <w:tc>
          <w:tcPr>
            <w:tcW w:w="480" w:type="dxa"/>
            <w:vAlign w:val="bottom"/>
            <w:tcBorders>
              <w:right w:val="single" w:sz="8" w:color="auto"/>
            </w:tcBorders>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4.03%</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4.50%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4.44%</w:t>
            </w: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rPr>
              <w:t>-6bps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41bps</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3.57%</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4.27%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70bps</w:t>
            </w:r>
          </w:p>
        </w:tc>
        <w:tc>
          <w:tcPr>
            <w:tcW w:w="0" w:type="dxa"/>
            <w:vAlign w:val="bottom"/>
          </w:tcPr>
          <w:p>
            <w:pPr>
              <w:spacing w:after="0"/>
              <w:rPr>
                <w:sz w:val="1"/>
                <w:szCs w:val="1"/>
                <w:color w:val="auto"/>
              </w:rPr>
            </w:pPr>
          </w:p>
        </w:tc>
      </w:tr>
      <w:tr>
        <w:trPr>
          <w:trHeight w:val="161"/>
        </w:trPr>
        <w:tc>
          <w:tcPr>
            <w:tcW w:w="40" w:type="dxa"/>
            <w:vAlign w:val="bottom"/>
            <w:tcBorders>
              <w:right w:val="single" w:sz="8" w:color="auto"/>
            </w:tcBorders>
          </w:tcPr>
          <w:p>
            <w:pPr>
              <w:spacing w:after="0"/>
              <w:rPr>
                <w:sz w:val="13"/>
                <w:szCs w:val="13"/>
                <w:color w:val="auto"/>
              </w:rPr>
            </w:pPr>
          </w:p>
        </w:tc>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Net provisions for loan losses / Net interest income</w:t>
            </w:r>
          </w:p>
        </w:tc>
        <w:tc>
          <w:tcPr>
            <w:tcW w:w="48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15.33%</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22.53%</w:t>
            </w: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7.2%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17.4%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12.95%</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15.73%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2.78%</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820" w:type="dxa"/>
            <w:vAlign w:val="bottom"/>
          </w:tcPr>
          <w:p>
            <w:pPr>
              <w:spacing w:after="0"/>
              <w:rPr>
                <w:sz w:val="20"/>
                <w:szCs w:val="20"/>
                <w:color w:val="auto"/>
              </w:rPr>
            </w:pPr>
            <w:r>
              <w:rPr>
                <w:rFonts w:ascii="Arial" w:cs="Arial" w:eastAsia="Arial" w:hAnsi="Arial"/>
                <w:sz w:val="12"/>
                <w:szCs w:val="12"/>
                <w:color w:val="auto"/>
              </w:rPr>
              <w:t>(1) Annualized.</w:t>
            </w:r>
          </w:p>
        </w:tc>
        <w:tc>
          <w:tcPr>
            <w:tcW w:w="1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5"/>
        </w:trPr>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720" w:type="dxa"/>
            <w:vAlign w:val="bottom"/>
            <w:gridSpan w:val="8"/>
          </w:tcPr>
          <w:p>
            <w:pPr>
              <w:ind w:left="20"/>
              <w:spacing w:after="0"/>
              <w:rPr>
                <w:sz w:val="20"/>
                <w:szCs w:val="20"/>
                <w:color w:val="auto"/>
              </w:rPr>
            </w:pPr>
            <w:r>
              <w:rPr>
                <w:rFonts w:ascii="Arial" w:cs="Arial" w:eastAsia="Arial" w:hAnsi="Arial"/>
                <w:sz w:val="15"/>
                <w:szCs w:val="15"/>
                <w:b w:val="1"/>
                <w:bCs w:val="1"/>
                <w:color w:val="auto"/>
              </w:rPr>
              <w:t>Net Interest Margin (NIM) and Risk Adjusted NIM by subsidiary</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 w:type="dxa"/>
            <w:vAlign w:val="bottom"/>
            <w:tcBorders>
              <w:right w:val="single" w:sz="8" w:color="29D2C9"/>
            </w:tcBorders>
          </w:tcPr>
          <w:p>
            <w:pPr>
              <w:spacing w:after="0"/>
              <w:rPr>
                <w:sz w:val="17"/>
                <w:szCs w:val="17"/>
                <w:color w:val="auto"/>
              </w:rPr>
            </w:pPr>
          </w:p>
        </w:tc>
        <w:tc>
          <w:tcPr>
            <w:tcW w:w="1820" w:type="dxa"/>
            <w:vAlign w:val="bottom"/>
            <w:vMerge w:val="restart"/>
            <w:shd w:val="clear" w:color="auto" w:fill="29D2C9"/>
          </w:tcPr>
          <w:p>
            <w:pPr>
              <w:ind w:left="300"/>
              <w:spacing w:after="0"/>
              <w:rPr>
                <w:sz w:val="20"/>
                <w:szCs w:val="20"/>
                <w:color w:val="auto"/>
              </w:rPr>
            </w:pPr>
            <w:r>
              <w:rPr>
                <w:rFonts w:ascii="Arial" w:cs="Arial" w:eastAsia="Arial" w:hAnsi="Arial"/>
                <w:sz w:val="13"/>
                <w:szCs w:val="13"/>
                <w:b w:val="1"/>
                <w:bCs w:val="1"/>
                <w:color w:val="FFFFFF"/>
              </w:rPr>
              <w:t>NIM Breakdown</w:t>
            </w:r>
          </w:p>
        </w:tc>
        <w:tc>
          <w:tcPr>
            <w:tcW w:w="1500" w:type="dxa"/>
            <w:vAlign w:val="bottom"/>
            <w:vMerge w:val="restart"/>
            <w:shd w:val="clear" w:color="auto" w:fill="29D2C9"/>
          </w:tcPr>
          <w:p>
            <w:pPr>
              <w:jc w:val="center"/>
              <w:ind w:right="113"/>
              <w:spacing w:after="0"/>
              <w:rPr>
                <w:sz w:val="20"/>
                <w:szCs w:val="20"/>
                <w:color w:val="auto"/>
              </w:rPr>
            </w:pPr>
            <w:r>
              <w:rPr>
                <w:rFonts w:ascii="Arial" w:cs="Arial" w:eastAsia="Arial" w:hAnsi="Arial"/>
                <w:sz w:val="13"/>
                <w:szCs w:val="13"/>
                <w:b w:val="1"/>
                <w:bCs w:val="1"/>
                <w:color w:val="FFFFFF"/>
              </w:rPr>
              <w:t>BCP Stand-alone</w:t>
            </w:r>
          </w:p>
        </w:tc>
        <w:tc>
          <w:tcPr>
            <w:tcW w:w="1440" w:type="dxa"/>
            <w:vAlign w:val="bottom"/>
            <w:gridSpan w:val="2"/>
            <w:vMerge w:val="restart"/>
            <w:shd w:val="clear" w:color="auto" w:fill="29D2C9"/>
          </w:tcPr>
          <w:p>
            <w:pPr>
              <w:jc w:val="right"/>
              <w:ind w:right="553"/>
              <w:spacing w:after="0"/>
              <w:rPr>
                <w:sz w:val="20"/>
                <w:szCs w:val="20"/>
                <w:color w:val="auto"/>
              </w:rPr>
            </w:pPr>
            <w:r>
              <w:rPr>
                <w:rFonts w:ascii="Arial" w:cs="Arial" w:eastAsia="Arial" w:hAnsi="Arial"/>
                <w:sz w:val="13"/>
                <w:szCs w:val="13"/>
                <w:b w:val="1"/>
                <w:bCs w:val="1"/>
                <w:color w:val="FFFFFF"/>
              </w:rPr>
              <w:t>Mibanco</w:t>
            </w:r>
          </w:p>
        </w:tc>
        <w:tc>
          <w:tcPr>
            <w:tcW w:w="940" w:type="dxa"/>
            <w:vAlign w:val="bottom"/>
            <w:shd w:val="clear" w:color="auto" w:fill="29D2C9"/>
          </w:tcPr>
          <w:p>
            <w:pPr>
              <w:jc w:val="center"/>
              <w:ind w:right="433"/>
              <w:spacing w:after="0"/>
              <w:rPr>
                <w:sz w:val="20"/>
                <w:szCs w:val="20"/>
                <w:color w:val="auto"/>
              </w:rPr>
            </w:pPr>
            <w:r>
              <w:rPr>
                <w:rFonts w:ascii="Arial" w:cs="Arial" w:eastAsia="Arial" w:hAnsi="Arial"/>
                <w:sz w:val="13"/>
                <w:szCs w:val="13"/>
                <w:b w:val="1"/>
                <w:bCs w:val="1"/>
                <w:color w:val="FFFFFF"/>
              </w:rPr>
              <w:t>BCP</w:t>
            </w:r>
          </w:p>
        </w:tc>
        <w:tc>
          <w:tcPr>
            <w:tcW w:w="880" w:type="dxa"/>
            <w:vAlign w:val="bottom"/>
            <w:tcBorders>
              <w:right w:val="single" w:sz="8" w:color="29D2C9"/>
            </w:tcBorders>
            <w:vMerge w:val="restart"/>
            <w:shd w:val="clear" w:color="auto" w:fill="29D2C9"/>
          </w:tcPr>
          <w:p>
            <w:pPr>
              <w:jc w:val="right"/>
              <w:spacing w:after="0"/>
              <w:rPr>
                <w:sz w:val="20"/>
                <w:szCs w:val="20"/>
                <w:color w:val="auto"/>
              </w:rPr>
            </w:pPr>
            <w:r>
              <w:rPr>
                <w:rFonts w:ascii="Arial" w:cs="Arial" w:eastAsia="Arial" w:hAnsi="Arial"/>
                <w:sz w:val="13"/>
                <w:szCs w:val="13"/>
                <w:b w:val="1"/>
                <w:bCs w:val="1"/>
                <w:color w:val="FFFFFF"/>
              </w:rPr>
              <w:t>Credicorp</w:t>
            </w:r>
          </w:p>
        </w:tc>
        <w:tc>
          <w:tcPr>
            <w:tcW w:w="340" w:type="dxa"/>
            <w:vAlign w:val="bottom"/>
            <w:shd w:val="clear" w:color="auto" w:fill="29D2C9"/>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0" w:type="dxa"/>
            <w:vAlign w:val="bottom"/>
            <w:tcBorders>
              <w:right w:val="single" w:sz="8" w:color="29D2C9"/>
            </w:tcBorders>
          </w:tcPr>
          <w:p>
            <w:pPr>
              <w:spacing w:after="0"/>
              <w:rPr>
                <w:sz w:val="9"/>
                <w:szCs w:val="9"/>
                <w:color w:val="auto"/>
              </w:rPr>
            </w:pPr>
          </w:p>
        </w:tc>
        <w:tc>
          <w:tcPr>
            <w:tcW w:w="1820" w:type="dxa"/>
            <w:vAlign w:val="bottom"/>
            <w:vMerge w:val="continue"/>
            <w:shd w:val="clear" w:color="auto" w:fill="29D2C9"/>
          </w:tcPr>
          <w:p>
            <w:pPr>
              <w:spacing w:after="0"/>
              <w:rPr>
                <w:sz w:val="9"/>
                <w:szCs w:val="9"/>
                <w:color w:val="auto"/>
              </w:rPr>
            </w:pPr>
          </w:p>
        </w:tc>
        <w:tc>
          <w:tcPr>
            <w:tcW w:w="1500" w:type="dxa"/>
            <w:vAlign w:val="bottom"/>
            <w:vMerge w:val="continue"/>
            <w:shd w:val="clear" w:color="auto" w:fill="29D2C9"/>
          </w:tcPr>
          <w:p>
            <w:pPr>
              <w:spacing w:after="0"/>
              <w:rPr>
                <w:sz w:val="9"/>
                <w:szCs w:val="9"/>
                <w:color w:val="auto"/>
              </w:rPr>
            </w:pPr>
          </w:p>
        </w:tc>
        <w:tc>
          <w:tcPr>
            <w:tcW w:w="1440" w:type="dxa"/>
            <w:vAlign w:val="bottom"/>
            <w:gridSpan w:val="2"/>
            <w:vMerge w:val="continue"/>
            <w:shd w:val="clear" w:color="auto" w:fill="29D2C9"/>
          </w:tcPr>
          <w:p>
            <w:pPr>
              <w:spacing w:after="0"/>
              <w:rPr>
                <w:sz w:val="9"/>
                <w:szCs w:val="9"/>
                <w:color w:val="auto"/>
              </w:rPr>
            </w:pPr>
          </w:p>
        </w:tc>
        <w:tc>
          <w:tcPr>
            <w:tcW w:w="940" w:type="dxa"/>
            <w:vAlign w:val="bottom"/>
            <w:vMerge w:val="restart"/>
            <w:shd w:val="clear" w:color="auto" w:fill="29D2C9"/>
          </w:tcPr>
          <w:p>
            <w:pPr>
              <w:jc w:val="center"/>
              <w:ind w:right="393"/>
              <w:spacing w:after="0"/>
              <w:rPr>
                <w:sz w:val="20"/>
                <w:szCs w:val="20"/>
                <w:color w:val="auto"/>
              </w:rPr>
            </w:pPr>
            <w:r>
              <w:rPr>
                <w:rFonts w:ascii="Arial" w:cs="Arial" w:eastAsia="Arial" w:hAnsi="Arial"/>
                <w:sz w:val="13"/>
                <w:szCs w:val="13"/>
                <w:b w:val="1"/>
                <w:bCs w:val="1"/>
                <w:color w:val="FFFFFF"/>
              </w:rPr>
              <w:t>Bolivia</w:t>
            </w:r>
          </w:p>
        </w:tc>
        <w:tc>
          <w:tcPr>
            <w:tcW w:w="880" w:type="dxa"/>
            <w:vAlign w:val="bottom"/>
            <w:tcBorders>
              <w:right w:val="single" w:sz="8" w:color="29D2C9"/>
            </w:tcBorders>
            <w:vMerge w:val="continue"/>
            <w:shd w:val="clear" w:color="auto" w:fill="29D2C9"/>
          </w:tcPr>
          <w:p>
            <w:pPr>
              <w:spacing w:after="0"/>
              <w:rPr>
                <w:sz w:val="9"/>
                <w:szCs w:val="9"/>
                <w:color w:val="auto"/>
              </w:rPr>
            </w:pPr>
          </w:p>
        </w:tc>
        <w:tc>
          <w:tcPr>
            <w:tcW w:w="340" w:type="dxa"/>
            <w:vAlign w:val="bottom"/>
            <w:shd w:val="clear" w:color="auto" w:fill="29D2C9"/>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29D2C9"/>
            </w:tcBorders>
          </w:tcPr>
          <w:p>
            <w:pPr>
              <w:spacing w:after="0"/>
              <w:rPr>
                <w:sz w:val="9"/>
                <w:szCs w:val="9"/>
                <w:color w:val="auto"/>
              </w:rPr>
            </w:pPr>
          </w:p>
        </w:tc>
        <w:tc>
          <w:tcPr>
            <w:tcW w:w="1820" w:type="dxa"/>
            <w:vAlign w:val="bottom"/>
            <w:tcBorders>
              <w:bottom w:val="single" w:sz="8" w:color="29D2C9"/>
            </w:tcBorders>
            <w:shd w:val="clear" w:color="auto" w:fill="29D2C9"/>
          </w:tcPr>
          <w:p>
            <w:pPr>
              <w:spacing w:after="0"/>
              <w:rPr>
                <w:sz w:val="9"/>
                <w:szCs w:val="9"/>
                <w:color w:val="auto"/>
              </w:rPr>
            </w:pPr>
          </w:p>
        </w:tc>
        <w:tc>
          <w:tcPr>
            <w:tcW w:w="1500" w:type="dxa"/>
            <w:vAlign w:val="bottom"/>
            <w:tcBorders>
              <w:bottom w:val="single" w:sz="8" w:color="29D2C9"/>
            </w:tcBorders>
            <w:shd w:val="clear" w:color="auto" w:fill="29D2C9"/>
          </w:tcPr>
          <w:p>
            <w:pPr>
              <w:spacing w:after="0"/>
              <w:rPr>
                <w:sz w:val="9"/>
                <w:szCs w:val="9"/>
                <w:color w:val="auto"/>
              </w:rPr>
            </w:pPr>
          </w:p>
        </w:tc>
        <w:tc>
          <w:tcPr>
            <w:tcW w:w="480" w:type="dxa"/>
            <w:vAlign w:val="bottom"/>
            <w:tcBorders>
              <w:bottom w:val="single" w:sz="8" w:color="29D2C9"/>
              <w:right w:val="single" w:sz="8" w:color="29D2C9"/>
            </w:tcBorders>
            <w:shd w:val="clear" w:color="auto" w:fill="29D2C9"/>
          </w:tcPr>
          <w:p>
            <w:pPr>
              <w:spacing w:after="0"/>
              <w:rPr>
                <w:sz w:val="9"/>
                <w:szCs w:val="9"/>
                <w:color w:val="auto"/>
              </w:rPr>
            </w:pPr>
          </w:p>
        </w:tc>
        <w:tc>
          <w:tcPr>
            <w:tcW w:w="960" w:type="dxa"/>
            <w:vAlign w:val="bottom"/>
            <w:tcBorders>
              <w:bottom w:val="single" w:sz="8" w:color="29D2C9"/>
            </w:tcBorders>
            <w:shd w:val="clear" w:color="auto" w:fill="29D2C9"/>
          </w:tcPr>
          <w:p>
            <w:pPr>
              <w:spacing w:after="0"/>
              <w:rPr>
                <w:sz w:val="9"/>
                <w:szCs w:val="9"/>
                <w:color w:val="auto"/>
              </w:rPr>
            </w:pPr>
          </w:p>
        </w:tc>
        <w:tc>
          <w:tcPr>
            <w:tcW w:w="940" w:type="dxa"/>
            <w:vAlign w:val="bottom"/>
            <w:tcBorders>
              <w:bottom w:val="single" w:sz="8" w:color="29D2C9"/>
            </w:tcBorders>
            <w:vMerge w:val="continue"/>
            <w:shd w:val="clear" w:color="auto" w:fill="29D2C9"/>
          </w:tcPr>
          <w:p>
            <w:pPr>
              <w:spacing w:after="0"/>
              <w:rPr>
                <w:sz w:val="9"/>
                <w:szCs w:val="9"/>
                <w:color w:val="auto"/>
              </w:rPr>
            </w:pPr>
          </w:p>
        </w:tc>
        <w:tc>
          <w:tcPr>
            <w:tcW w:w="880" w:type="dxa"/>
            <w:vAlign w:val="bottom"/>
            <w:tcBorders>
              <w:bottom w:val="single" w:sz="8" w:color="29D2C9"/>
              <w:right w:val="single" w:sz="8" w:color="29D2C9"/>
            </w:tcBorders>
            <w:shd w:val="clear" w:color="auto" w:fill="29D2C9"/>
          </w:tcPr>
          <w:p>
            <w:pPr>
              <w:spacing w:after="0"/>
              <w:rPr>
                <w:sz w:val="9"/>
                <w:szCs w:val="9"/>
                <w:color w:val="auto"/>
              </w:rPr>
            </w:pPr>
          </w:p>
        </w:tc>
        <w:tc>
          <w:tcPr>
            <w:tcW w:w="340" w:type="dxa"/>
            <w:vAlign w:val="bottom"/>
            <w:tcBorders>
              <w:bottom w:val="single" w:sz="8" w:color="29D2C9"/>
            </w:tcBorders>
            <w:shd w:val="clear" w:color="auto" w:fill="29D2C9"/>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820" w:type="dxa"/>
            <w:vAlign w:val="bottom"/>
            <w:tcBorders>
              <w:top w:val="single" w:sz="8" w:color="auto"/>
            </w:tcBorders>
          </w:tcPr>
          <w:p>
            <w:pPr>
              <w:ind w:left="640"/>
              <w:spacing w:after="0"/>
              <w:rPr>
                <w:sz w:val="20"/>
                <w:szCs w:val="20"/>
                <w:color w:val="auto"/>
              </w:rPr>
            </w:pPr>
            <w:r>
              <w:rPr>
                <w:rFonts w:ascii="Arial" w:cs="Arial" w:eastAsia="Arial" w:hAnsi="Arial"/>
                <w:sz w:val="13"/>
                <w:szCs w:val="13"/>
                <w:b w:val="1"/>
                <w:bCs w:val="1"/>
                <w:color w:val="auto"/>
              </w:rPr>
              <w:t>4Q21</w:t>
            </w:r>
          </w:p>
        </w:tc>
        <w:tc>
          <w:tcPr>
            <w:tcW w:w="1500" w:type="dxa"/>
            <w:vAlign w:val="bottom"/>
            <w:tcBorders>
              <w:top w:val="single" w:sz="8" w:color="auto"/>
            </w:tcBorders>
          </w:tcPr>
          <w:p>
            <w:pPr>
              <w:jc w:val="center"/>
              <w:ind w:right="133"/>
              <w:spacing w:after="0"/>
              <w:rPr>
                <w:sz w:val="20"/>
                <w:szCs w:val="20"/>
                <w:color w:val="auto"/>
              </w:rPr>
            </w:pPr>
            <w:r>
              <w:rPr>
                <w:rFonts w:ascii="Arial" w:cs="Arial" w:eastAsia="Arial" w:hAnsi="Arial"/>
                <w:sz w:val="13"/>
                <w:szCs w:val="13"/>
                <w:color w:val="auto"/>
              </w:rPr>
              <w:t>3.68%</w:t>
            </w:r>
          </w:p>
        </w:tc>
        <w:tc>
          <w:tcPr>
            <w:tcW w:w="1440" w:type="dxa"/>
            <w:vAlign w:val="bottom"/>
            <w:tcBorders>
              <w:top w:val="single" w:sz="8" w:color="auto"/>
            </w:tcBorders>
            <w:gridSpan w:val="2"/>
          </w:tcPr>
          <w:p>
            <w:pPr>
              <w:jc w:val="right"/>
              <w:ind w:right="593"/>
              <w:spacing w:after="0"/>
              <w:rPr>
                <w:sz w:val="20"/>
                <w:szCs w:val="20"/>
                <w:color w:val="auto"/>
              </w:rPr>
            </w:pPr>
            <w:r>
              <w:rPr>
                <w:rFonts w:ascii="Arial" w:cs="Arial" w:eastAsia="Arial" w:hAnsi="Arial"/>
                <w:sz w:val="13"/>
                <w:szCs w:val="13"/>
                <w:color w:val="auto"/>
              </w:rPr>
              <w:t>12.83%</w:t>
            </w:r>
          </w:p>
        </w:tc>
        <w:tc>
          <w:tcPr>
            <w:tcW w:w="940" w:type="dxa"/>
            <w:vAlign w:val="bottom"/>
            <w:tcBorders>
              <w:top w:val="single" w:sz="8" w:color="auto"/>
            </w:tcBorders>
          </w:tcPr>
          <w:p>
            <w:pPr>
              <w:jc w:val="center"/>
              <w:ind w:right="413"/>
              <w:spacing w:after="0"/>
              <w:rPr>
                <w:sz w:val="20"/>
                <w:szCs w:val="20"/>
                <w:color w:val="auto"/>
              </w:rPr>
            </w:pPr>
            <w:r>
              <w:rPr>
                <w:rFonts w:ascii="Arial" w:cs="Arial" w:eastAsia="Arial" w:hAnsi="Arial"/>
                <w:sz w:val="13"/>
                <w:szCs w:val="13"/>
                <w:color w:val="auto"/>
              </w:rPr>
              <w:t>2.71%</w:t>
            </w:r>
          </w:p>
        </w:tc>
        <w:tc>
          <w:tcPr>
            <w:tcW w:w="88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4.25%</w:t>
            </w: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820" w:type="dxa"/>
            <w:vAlign w:val="bottom"/>
          </w:tcPr>
          <w:p>
            <w:pPr>
              <w:ind w:left="640"/>
              <w:spacing w:after="0"/>
              <w:rPr>
                <w:sz w:val="20"/>
                <w:szCs w:val="20"/>
                <w:color w:val="auto"/>
              </w:rPr>
            </w:pPr>
            <w:r>
              <w:rPr>
                <w:rFonts w:ascii="Arial" w:cs="Arial" w:eastAsia="Arial" w:hAnsi="Arial"/>
                <w:sz w:val="13"/>
                <w:szCs w:val="13"/>
                <w:b w:val="1"/>
                <w:bCs w:val="1"/>
                <w:color w:val="auto"/>
              </w:rPr>
              <w:t>3Q22</w:t>
            </w:r>
          </w:p>
        </w:tc>
        <w:tc>
          <w:tcPr>
            <w:tcW w:w="1500" w:type="dxa"/>
            <w:vAlign w:val="bottom"/>
          </w:tcPr>
          <w:p>
            <w:pPr>
              <w:jc w:val="center"/>
              <w:ind w:right="133"/>
              <w:spacing w:after="0"/>
              <w:rPr>
                <w:sz w:val="20"/>
                <w:szCs w:val="20"/>
                <w:color w:val="auto"/>
              </w:rPr>
            </w:pPr>
            <w:r>
              <w:rPr>
                <w:rFonts w:ascii="Arial" w:cs="Arial" w:eastAsia="Arial" w:hAnsi="Arial"/>
                <w:sz w:val="13"/>
                <w:szCs w:val="13"/>
                <w:color w:val="auto"/>
              </w:rPr>
              <w:t>4.83%</w:t>
            </w:r>
          </w:p>
        </w:tc>
        <w:tc>
          <w:tcPr>
            <w:tcW w:w="1440" w:type="dxa"/>
            <w:vAlign w:val="bottom"/>
            <w:gridSpan w:val="2"/>
          </w:tcPr>
          <w:p>
            <w:pPr>
              <w:jc w:val="right"/>
              <w:ind w:right="593"/>
              <w:spacing w:after="0"/>
              <w:rPr>
                <w:sz w:val="20"/>
                <w:szCs w:val="20"/>
                <w:color w:val="auto"/>
              </w:rPr>
            </w:pPr>
            <w:r>
              <w:rPr>
                <w:rFonts w:ascii="Arial" w:cs="Arial" w:eastAsia="Arial" w:hAnsi="Arial"/>
                <w:sz w:val="13"/>
                <w:szCs w:val="13"/>
                <w:color w:val="auto"/>
              </w:rPr>
              <w:t>12.99%</w:t>
            </w:r>
          </w:p>
        </w:tc>
        <w:tc>
          <w:tcPr>
            <w:tcW w:w="940" w:type="dxa"/>
            <w:vAlign w:val="bottom"/>
          </w:tcPr>
          <w:p>
            <w:pPr>
              <w:jc w:val="center"/>
              <w:ind w:right="413"/>
              <w:spacing w:after="0"/>
              <w:rPr>
                <w:sz w:val="20"/>
                <w:szCs w:val="20"/>
                <w:color w:val="auto"/>
              </w:rPr>
            </w:pPr>
            <w:r>
              <w:rPr>
                <w:rFonts w:ascii="Arial" w:cs="Arial" w:eastAsia="Arial" w:hAnsi="Arial"/>
                <w:sz w:val="13"/>
                <w:szCs w:val="13"/>
                <w:color w:val="auto"/>
              </w:rPr>
              <w:t>2.81%</w:t>
            </w: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5.31%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820" w:type="dxa"/>
            <w:vAlign w:val="bottom"/>
          </w:tcPr>
          <w:p>
            <w:pPr>
              <w:ind w:left="640"/>
              <w:spacing w:after="0"/>
              <w:rPr>
                <w:sz w:val="20"/>
                <w:szCs w:val="20"/>
                <w:color w:val="auto"/>
              </w:rPr>
            </w:pPr>
            <w:r>
              <w:rPr>
                <w:rFonts w:ascii="Arial" w:cs="Arial" w:eastAsia="Arial" w:hAnsi="Arial"/>
                <w:sz w:val="13"/>
                <w:szCs w:val="13"/>
                <w:b w:val="1"/>
                <w:bCs w:val="1"/>
                <w:color w:val="auto"/>
              </w:rPr>
              <w:t>4Q22</w:t>
            </w:r>
          </w:p>
        </w:tc>
        <w:tc>
          <w:tcPr>
            <w:tcW w:w="1500" w:type="dxa"/>
            <w:vAlign w:val="bottom"/>
          </w:tcPr>
          <w:p>
            <w:pPr>
              <w:jc w:val="center"/>
              <w:ind w:right="133"/>
              <w:spacing w:after="0"/>
              <w:rPr>
                <w:sz w:val="20"/>
                <w:szCs w:val="20"/>
                <w:color w:val="auto"/>
              </w:rPr>
            </w:pPr>
            <w:r>
              <w:rPr>
                <w:rFonts w:ascii="Arial" w:cs="Arial" w:eastAsia="Arial" w:hAnsi="Arial"/>
                <w:sz w:val="13"/>
                <w:szCs w:val="13"/>
                <w:color w:val="auto"/>
              </w:rPr>
              <w:t>5.41%</w:t>
            </w:r>
          </w:p>
        </w:tc>
        <w:tc>
          <w:tcPr>
            <w:tcW w:w="1440" w:type="dxa"/>
            <w:vAlign w:val="bottom"/>
            <w:gridSpan w:val="2"/>
          </w:tcPr>
          <w:p>
            <w:pPr>
              <w:jc w:val="right"/>
              <w:ind w:right="593"/>
              <w:spacing w:after="0"/>
              <w:rPr>
                <w:sz w:val="20"/>
                <w:szCs w:val="20"/>
                <w:color w:val="auto"/>
              </w:rPr>
            </w:pPr>
            <w:r>
              <w:rPr>
                <w:rFonts w:ascii="Arial" w:cs="Arial" w:eastAsia="Arial" w:hAnsi="Arial"/>
                <w:sz w:val="13"/>
                <w:szCs w:val="13"/>
                <w:color w:val="auto"/>
              </w:rPr>
              <w:t>12.73%</w:t>
            </w:r>
          </w:p>
        </w:tc>
        <w:tc>
          <w:tcPr>
            <w:tcW w:w="940" w:type="dxa"/>
            <w:vAlign w:val="bottom"/>
          </w:tcPr>
          <w:p>
            <w:pPr>
              <w:jc w:val="center"/>
              <w:ind w:right="413"/>
              <w:spacing w:after="0"/>
              <w:rPr>
                <w:sz w:val="20"/>
                <w:szCs w:val="20"/>
                <w:color w:val="auto"/>
              </w:rPr>
            </w:pPr>
            <w:r>
              <w:rPr>
                <w:rFonts w:ascii="Arial" w:cs="Arial" w:eastAsia="Arial" w:hAnsi="Arial"/>
                <w:sz w:val="13"/>
                <w:szCs w:val="13"/>
                <w:color w:val="auto"/>
              </w:rPr>
              <w:t>2.71%</w:t>
            </w:r>
          </w:p>
        </w:tc>
        <w:tc>
          <w:tcPr>
            <w:tcW w:w="880" w:type="dxa"/>
            <w:vAlign w:val="bottom"/>
          </w:tcPr>
          <w:p>
            <w:pPr>
              <w:jc w:val="right"/>
              <w:ind w:right="73"/>
              <w:spacing w:after="0"/>
              <w:rPr>
                <w:sz w:val="20"/>
                <w:szCs w:val="20"/>
                <w:color w:val="auto"/>
              </w:rPr>
            </w:pPr>
            <w:r>
              <w:rPr>
                <w:rFonts w:ascii="Arial" w:cs="Arial" w:eastAsia="Arial" w:hAnsi="Arial"/>
                <w:sz w:val="13"/>
                <w:szCs w:val="13"/>
                <w:b w:val="1"/>
                <w:bCs w:val="1"/>
                <w:color w:val="auto"/>
              </w:rPr>
              <w:t>5.73%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-789940</wp:posOffset>
            </wp:positionV>
            <wp:extent cx="4425315" cy="8229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425315" cy="8229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NIM: Annualized Net interest income / Average period end and period beginning interest 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5352415" cy="9423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352415" cy="94234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00" w:type="dxa"/>
            <w:vAlign w:val="bottom"/>
            <w:shd w:val="clear" w:color="auto" w:fill="29D2C9"/>
          </w:tcPr>
          <w:p>
            <w:pPr>
              <w:ind w:left="40"/>
              <w:spacing w:after="0"/>
              <w:rPr>
                <w:sz w:val="20"/>
                <w:szCs w:val="20"/>
                <w:color w:val="auto"/>
              </w:rPr>
            </w:pPr>
            <w:r>
              <w:rPr>
                <w:rFonts w:ascii="Arial" w:cs="Arial" w:eastAsia="Arial" w:hAnsi="Arial"/>
                <w:sz w:val="17"/>
                <w:szCs w:val="17"/>
                <w:b w:val="1"/>
                <w:bCs w:val="1"/>
                <w:color w:val="FFFFFF"/>
              </w:rPr>
              <w:t>Risk Adjusted NIM</w:t>
            </w:r>
          </w:p>
        </w:tc>
        <w:tc>
          <w:tcPr>
            <w:tcW w:w="2020" w:type="dxa"/>
            <w:vAlign w:val="bottom"/>
            <w:shd w:val="clear" w:color="auto" w:fill="29D2C9"/>
          </w:tcPr>
          <w:p>
            <w:pPr>
              <w:jc w:val="center"/>
              <w:ind w:left="416"/>
              <w:spacing w:after="0"/>
              <w:rPr>
                <w:sz w:val="20"/>
                <w:szCs w:val="20"/>
                <w:color w:val="auto"/>
              </w:rPr>
            </w:pPr>
            <w:r>
              <w:rPr>
                <w:rFonts w:ascii="Arial" w:cs="Arial" w:eastAsia="Arial" w:hAnsi="Arial"/>
                <w:sz w:val="17"/>
                <w:szCs w:val="17"/>
                <w:b w:val="1"/>
                <w:bCs w:val="1"/>
                <w:color w:val="FFFFFF"/>
              </w:rPr>
              <w:t>BCP</w:t>
            </w:r>
          </w:p>
        </w:tc>
        <w:tc>
          <w:tcPr>
            <w:tcW w:w="1220" w:type="dxa"/>
            <w:vAlign w:val="bottom"/>
            <w:vMerge w:val="restart"/>
            <w:shd w:val="clear" w:color="auto" w:fill="29D2C9"/>
          </w:tcPr>
          <w:p>
            <w:pPr>
              <w:ind w:left="280"/>
              <w:spacing w:after="0"/>
              <w:rPr>
                <w:sz w:val="20"/>
                <w:szCs w:val="20"/>
                <w:color w:val="auto"/>
              </w:rPr>
            </w:pPr>
            <w:r>
              <w:rPr>
                <w:rFonts w:ascii="Arial" w:cs="Arial" w:eastAsia="Arial" w:hAnsi="Arial"/>
                <w:sz w:val="17"/>
                <w:szCs w:val="17"/>
                <w:b w:val="1"/>
                <w:bCs w:val="1"/>
                <w:color w:val="FFFFFF"/>
              </w:rPr>
              <w:t>Mibanco</w:t>
            </w:r>
          </w:p>
        </w:tc>
        <w:tc>
          <w:tcPr>
            <w:tcW w:w="1160" w:type="dxa"/>
            <w:vAlign w:val="bottom"/>
            <w:shd w:val="clear" w:color="auto" w:fill="29D2C9"/>
          </w:tcPr>
          <w:p>
            <w:pPr>
              <w:jc w:val="center"/>
              <w:ind w:right="36"/>
              <w:spacing w:after="0"/>
              <w:rPr>
                <w:sz w:val="20"/>
                <w:szCs w:val="20"/>
                <w:color w:val="auto"/>
              </w:rPr>
            </w:pPr>
            <w:r>
              <w:rPr>
                <w:rFonts w:ascii="Arial" w:cs="Arial" w:eastAsia="Arial" w:hAnsi="Arial"/>
                <w:sz w:val="17"/>
                <w:szCs w:val="17"/>
                <w:b w:val="1"/>
                <w:bCs w:val="1"/>
                <w:color w:val="FFFFFF"/>
              </w:rPr>
              <w:t>BCP</w:t>
            </w:r>
          </w:p>
        </w:tc>
        <w:tc>
          <w:tcPr>
            <w:tcW w:w="1620" w:type="dxa"/>
            <w:vAlign w:val="bottom"/>
            <w:vMerge w:val="restart"/>
            <w:shd w:val="clear" w:color="auto" w:fill="29D2C9"/>
          </w:tcPr>
          <w:p>
            <w:pPr>
              <w:jc w:val="center"/>
              <w:spacing w:after="0"/>
              <w:rPr>
                <w:sz w:val="20"/>
                <w:szCs w:val="20"/>
                <w:color w:val="auto"/>
              </w:rPr>
            </w:pPr>
            <w:r>
              <w:rPr>
                <w:rFonts w:ascii="Arial" w:cs="Arial" w:eastAsia="Arial" w:hAnsi="Arial"/>
                <w:sz w:val="17"/>
                <w:szCs w:val="17"/>
                <w:b w:val="1"/>
                <w:bCs w:val="1"/>
                <w:color w:val="FFFFFF"/>
                <w:w w:val="99"/>
              </w:rPr>
              <w:t>Credicorp</w:t>
            </w:r>
          </w:p>
        </w:tc>
        <w:tc>
          <w:tcPr>
            <w:tcW w:w="0" w:type="dxa"/>
            <w:vAlign w:val="bottom"/>
          </w:tcPr>
          <w:p>
            <w:pPr>
              <w:spacing w:after="0"/>
              <w:rPr>
                <w:sz w:val="1"/>
                <w:szCs w:val="1"/>
                <w:color w:val="auto"/>
              </w:rPr>
            </w:pPr>
          </w:p>
        </w:tc>
      </w:tr>
      <w:tr>
        <w:trPr>
          <w:trHeight w:val="129"/>
        </w:trPr>
        <w:tc>
          <w:tcPr>
            <w:tcW w:w="2400" w:type="dxa"/>
            <w:vAlign w:val="bottom"/>
            <w:vMerge w:val="restart"/>
            <w:shd w:val="clear" w:color="auto" w:fill="29D2C9"/>
          </w:tcPr>
          <w:p>
            <w:pPr>
              <w:ind w:left="40"/>
              <w:spacing w:after="0"/>
              <w:rPr>
                <w:sz w:val="20"/>
                <w:szCs w:val="20"/>
                <w:color w:val="auto"/>
              </w:rPr>
            </w:pPr>
            <w:r>
              <w:rPr>
                <w:rFonts w:ascii="Arial" w:cs="Arial" w:eastAsia="Arial" w:hAnsi="Arial"/>
                <w:sz w:val="17"/>
                <w:szCs w:val="17"/>
                <w:b w:val="1"/>
                <w:bCs w:val="1"/>
                <w:color w:val="FFFFFF"/>
              </w:rPr>
              <w:t>Breakdown</w:t>
            </w:r>
          </w:p>
        </w:tc>
        <w:tc>
          <w:tcPr>
            <w:tcW w:w="2020" w:type="dxa"/>
            <w:vAlign w:val="bottom"/>
            <w:vMerge w:val="restart"/>
            <w:shd w:val="clear" w:color="auto" w:fill="29D2C9"/>
          </w:tcPr>
          <w:p>
            <w:pPr>
              <w:jc w:val="center"/>
              <w:ind w:left="416"/>
              <w:spacing w:after="0"/>
              <w:rPr>
                <w:sz w:val="20"/>
                <w:szCs w:val="20"/>
                <w:color w:val="auto"/>
              </w:rPr>
            </w:pPr>
            <w:r>
              <w:rPr>
                <w:rFonts w:ascii="Arial" w:cs="Arial" w:eastAsia="Arial" w:hAnsi="Arial"/>
                <w:sz w:val="17"/>
                <w:szCs w:val="17"/>
                <w:b w:val="1"/>
                <w:bCs w:val="1"/>
                <w:color w:val="FFFFFF"/>
                <w:w w:val="98"/>
              </w:rPr>
              <w:t>Stand-alone</w:t>
            </w:r>
          </w:p>
        </w:tc>
        <w:tc>
          <w:tcPr>
            <w:tcW w:w="1220" w:type="dxa"/>
            <w:vAlign w:val="bottom"/>
            <w:vMerge w:val="continue"/>
            <w:shd w:val="clear" w:color="auto" w:fill="29D2C9"/>
          </w:tcPr>
          <w:p>
            <w:pPr>
              <w:spacing w:after="0"/>
              <w:rPr>
                <w:sz w:val="11"/>
                <w:szCs w:val="11"/>
                <w:color w:val="auto"/>
              </w:rPr>
            </w:pPr>
          </w:p>
        </w:tc>
        <w:tc>
          <w:tcPr>
            <w:tcW w:w="1160" w:type="dxa"/>
            <w:vAlign w:val="bottom"/>
            <w:vMerge w:val="restart"/>
            <w:shd w:val="clear" w:color="auto" w:fill="29D2C9"/>
          </w:tcPr>
          <w:p>
            <w:pPr>
              <w:jc w:val="center"/>
              <w:ind w:right="36"/>
              <w:spacing w:after="0"/>
              <w:rPr>
                <w:sz w:val="20"/>
                <w:szCs w:val="20"/>
                <w:color w:val="auto"/>
              </w:rPr>
            </w:pPr>
            <w:r>
              <w:rPr>
                <w:rFonts w:ascii="Arial" w:cs="Arial" w:eastAsia="Arial" w:hAnsi="Arial"/>
                <w:sz w:val="17"/>
                <w:szCs w:val="17"/>
                <w:b w:val="1"/>
                <w:bCs w:val="1"/>
                <w:color w:val="FFFFFF"/>
              </w:rPr>
              <w:t>Bolivia</w:t>
            </w:r>
          </w:p>
        </w:tc>
        <w:tc>
          <w:tcPr>
            <w:tcW w:w="1620" w:type="dxa"/>
            <w:vAlign w:val="bottom"/>
            <w:vMerge w:val="continue"/>
            <w:shd w:val="clear" w:color="auto" w:fill="29D2C9"/>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400" w:type="dxa"/>
            <w:vAlign w:val="bottom"/>
            <w:tcBorders>
              <w:bottom w:val="single" w:sz="8" w:color="29D2C9"/>
            </w:tcBorders>
            <w:vMerge w:val="continue"/>
            <w:shd w:val="clear" w:color="auto" w:fill="29D2C9"/>
          </w:tcPr>
          <w:p>
            <w:pPr>
              <w:spacing w:after="0"/>
              <w:rPr>
                <w:sz w:val="12"/>
                <w:szCs w:val="12"/>
                <w:color w:val="auto"/>
              </w:rPr>
            </w:pPr>
          </w:p>
        </w:tc>
        <w:tc>
          <w:tcPr>
            <w:tcW w:w="2020" w:type="dxa"/>
            <w:vAlign w:val="bottom"/>
            <w:tcBorders>
              <w:bottom w:val="single" w:sz="8" w:color="29D2C9"/>
            </w:tcBorders>
            <w:vMerge w:val="continue"/>
            <w:shd w:val="clear" w:color="auto" w:fill="29D2C9"/>
          </w:tcPr>
          <w:p>
            <w:pPr>
              <w:spacing w:after="0"/>
              <w:rPr>
                <w:sz w:val="12"/>
                <w:szCs w:val="12"/>
                <w:color w:val="auto"/>
              </w:rPr>
            </w:pPr>
          </w:p>
        </w:tc>
        <w:tc>
          <w:tcPr>
            <w:tcW w:w="1220" w:type="dxa"/>
            <w:vAlign w:val="bottom"/>
            <w:tcBorders>
              <w:bottom w:val="single" w:sz="8" w:color="29D2C9"/>
            </w:tcBorders>
            <w:shd w:val="clear" w:color="auto" w:fill="29D2C9"/>
          </w:tcPr>
          <w:p>
            <w:pPr>
              <w:spacing w:after="0"/>
              <w:rPr>
                <w:sz w:val="12"/>
                <w:szCs w:val="12"/>
                <w:color w:val="auto"/>
              </w:rPr>
            </w:pPr>
          </w:p>
        </w:tc>
        <w:tc>
          <w:tcPr>
            <w:tcW w:w="1160" w:type="dxa"/>
            <w:vAlign w:val="bottom"/>
            <w:tcBorders>
              <w:bottom w:val="single" w:sz="8" w:color="29D2C9"/>
            </w:tcBorders>
            <w:vMerge w:val="continue"/>
            <w:shd w:val="clear" w:color="auto" w:fill="29D2C9"/>
          </w:tcPr>
          <w:p>
            <w:pPr>
              <w:spacing w:after="0"/>
              <w:rPr>
                <w:sz w:val="12"/>
                <w:szCs w:val="12"/>
                <w:color w:val="auto"/>
              </w:rPr>
            </w:pPr>
          </w:p>
        </w:tc>
        <w:tc>
          <w:tcPr>
            <w:tcW w:w="1620" w:type="dxa"/>
            <w:vAlign w:val="bottom"/>
            <w:tcBorders>
              <w:bottom w:val="single" w:sz="8" w:color="29D2C9"/>
            </w:tcBorders>
            <w:shd w:val="clear" w:color="auto" w:fill="29D2C9"/>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2400" w:type="dxa"/>
            <w:vAlign w:val="bottom"/>
            <w:tcBorders>
              <w:top w:val="single" w:sz="8" w:color="auto"/>
            </w:tcBorders>
          </w:tcPr>
          <w:p>
            <w:pPr>
              <w:ind w:left="1200"/>
              <w:spacing w:after="0"/>
              <w:rPr>
                <w:sz w:val="20"/>
                <w:szCs w:val="20"/>
                <w:color w:val="auto"/>
              </w:rPr>
            </w:pPr>
            <w:r>
              <w:rPr>
                <w:rFonts w:ascii="Arial" w:cs="Arial" w:eastAsia="Arial" w:hAnsi="Arial"/>
                <w:sz w:val="17"/>
                <w:szCs w:val="17"/>
                <w:b w:val="1"/>
                <w:bCs w:val="1"/>
                <w:color w:val="auto"/>
              </w:rPr>
              <w:t>4Q21</w:t>
            </w:r>
          </w:p>
        </w:tc>
        <w:tc>
          <w:tcPr>
            <w:tcW w:w="2020" w:type="dxa"/>
            <w:vAlign w:val="bottom"/>
            <w:tcBorders>
              <w:top w:val="single" w:sz="8" w:color="auto"/>
            </w:tcBorders>
          </w:tcPr>
          <w:p>
            <w:pPr>
              <w:jc w:val="center"/>
              <w:ind w:left="416"/>
              <w:spacing w:after="0"/>
              <w:rPr>
                <w:sz w:val="20"/>
                <w:szCs w:val="20"/>
                <w:color w:val="auto"/>
              </w:rPr>
            </w:pPr>
            <w:r>
              <w:rPr>
                <w:rFonts w:ascii="Arial" w:cs="Arial" w:eastAsia="Arial" w:hAnsi="Arial"/>
                <w:sz w:val="17"/>
                <w:szCs w:val="17"/>
                <w:color w:val="auto"/>
                <w:w w:val="99"/>
              </w:rPr>
              <w:t>3.48%</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7"/>
              </w:rPr>
              <w:t>11.81%</w:t>
            </w:r>
          </w:p>
        </w:tc>
        <w:tc>
          <w:tcPr>
            <w:tcW w:w="1160" w:type="dxa"/>
            <w:vAlign w:val="bottom"/>
            <w:tcBorders>
              <w:top w:val="single" w:sz="8" w:color="auto"/>
            </w:tcBorders>
          </w:tcPr>
          <w:p>
            <w:pPr>
              <w:jc w:val="center"/>
              <w:ind w:right="36"/>
              <w:spacing w:after="0"/>
              <w:rPr>
                <w:sz w:val="20"/>
                <w:szCs w:val="20"/>
                <w:color w:val="auto"/>
              </w:rPr>
            </w:pPr>
            <w:r>
              <w:rPr>
                <w:rFonts w:ascii="Arial" w:cs="Arial" w:eastAsia="Arial" w:hAnsi="Arial"/>
                <w:sz w:val="17"/>
                <w:szCs w:val="17"/>
                <w:color w:val="auto"/>
                <w:w w:val="99"/>
              </w:rPr>
              <w:t>2.45%</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4.03%</w:t>
            </w:r>
          </w:p>
        </w:tc>
        <w:tc>
          <w:tcPr>
            <w:tcW w:w="0" w:type="dxa"/>
            <w:vAlign w:val="bottom"/>
          </w:tcPr>
          <w:p>
            <w:pPr>
              <w:spacing w:after="0"/>
              <w:rPr>
                <w:sz w:val="1"/>
                <w:szCs w:val="1"/>
                <w:color w:val="auto"/>
              </w:rPr>
            </w:pPr>
          </w:p>
        </w:tc>
      </w:tr>
      <w:tr>
        <w:trPr>
          <w:trHeight w:val="315"/>
        </w:trPr>
        <w:tc>
          <w:tcPr>
            <w:tcW w:w="2400" w:type="dxa"/>
            <w:vAlign w:val="bottom"/>
          </w:tcPr>
          <w:p>
            <w:pPr>
              <w:ind w:left="1200"/>
              <w:spacing w:after="0"/>
              <w:rPr>
                <w:sz w:val="20"/>
                <w:szCs w:val="20"/>
                <w:color w:val="auto"/>
              </w:rPr>
            </w:pPr>
            <w:r>
              <w:rPr>
                <w:rFonts w:ascii="Arial" w:cs="Arial" w:eastAsia="Arial" w:hAnsi="Arial"/>
                <w:sz w:val="17"/>
                <w:szCs w:val="17"/>
                <w:b w:val="1"/>
                <w:bCs w:val="1"/>
                <w:color w:val="auto"/>
              </w:rPr>
              <w:t>3Q22</w:t>
            </w:r>
          </w:p>
        </w:tc>
        <w:tc>
          <w:tcPr>
            <w:tcW w:w="2020" w:type="dxa"/>
            <w:vAlign w:val="bottom"/>
          </w:tcPr>
          <w:p>
            <w:pPr>
              <w:jc w:val="center"/>
              <w:ind w:left="416"/>
              <w:spacing w:after="0"/>
              <w:rPr>
                <w:sz w:val="20"/>
                <w:szCs w:val="20"/>
                <w:color w:val="auto"/>
              </w:rPr>
            </w:pPr>
            <w:r>
              <w:rPr>
                <w:rFonts w:ascii="Arial" w:cs="Arial" w:eastAsia="Arial" w:hAnsi="Arial"/>
                <w:sz w:val="17"/>
                <w:szCs w:val="17"/>
                <w:color w:val="auto"/>
                <w:w w:val="99"/>
              </w:rPr>
              <w:t>4.00%</w:t>
            </w:r>
          </w:p>
        </w:tc>
        <w:tc>
          <w:tcPr>
            <w:tcW w:w="1220" w:type="dxa"/>
            <w:vAlign w:val="bottom"/>
          </w:tcPr>
          <w:p>
            <w:pPr>
              <w:jc w:val="center"/>
              <w:spacing w:after="0"/>
              <w:rPr>
                <w:sz w:val="20"/>
                <w:szCs w:val="20"/>
                <w:color w:val="auto"/>
              </w:rPr>
            </w:pPr>
            <w:r>
              <w:rPr>
                <w:rFonts w:ascii="Arial" w:cs="Arial" w:eastAsia="Arial" w:hAnsi="Arial"/>
                <w:sz w:val="17"/>
                <w:szCs w:val="17"/>
                <w:color w:val="auto"/>
                <w:w w:val="97"/>
              </w:rPr>
              <w:t>10.99%</w:t>
            </w:r>
          </w:p>
        </w:tc>
        <w:tc>
          <w:tcPr>
            <w:tcW w:w="1160" w:type="dxa"/>
            <w:vAlign w:val="bottom"/>
          </w:tcPr>
          <w:p>
            <w:pPr>
              <w:jc w:val="center"/>
              <w:ind w:right="36"/>
              <w:spacing w:after="0"/>
              <w:rPr>
                <w:sz w:val="20"/>
                <w:szCs w:val="20"/>
                <w:color w:val="auto"/>
              </w:rPr>
            </w:pPr>
            <w:r>
              <w:rPr>
                <w:rFonts w:ascii="Arial" w:cs="Arial" w:eastAsia="Arial" w:hAnsi="Arial"/>
                <w:sz w:val="17"/>
                <w:szCs w:val="17"/>
                <w:color w:val="auto"/>
                <w:w w:val="99"/>
              </w:rPr>
              <w:t>2.50%</w:t>
            </w:r>
          </w:p>
        </w:tc>
        <w:tc>
          <w:tcPr>
            <w:tcW w:w="1620" w:type="dxa"/>
            <w:vAlign w:val="bottom"/>
          </w:tcPr>
          <w:p>
            <w:pPr>
              <w:jc w:val="center"/>
              <w:spacing w:after="0"/>
              <w:rPr>
                <w:sz w:val="20"/>
                <w:szCs w:val="20"/>
                <w:color w:val="auto"/>
              </w:rPr>
            </w:pPr>
            <w:r>
              <w:rPr>
                <w:rFonts w:ascii="Arial" w:cs="Arial" w:eastAsia="Arial" w:hAnsi="Arial"/>
                <w:sz w:val="17"/>
                <w:szCs w:val="17"/>
                <w:b w:val="1"/>
                <w:bCs w:val="1"/>
                <w:color w:val="auto"/>
                <w:w w:val="99"/>
              </w:rPr>
              <w:t>4.50%</w:t>
            </w:r>
          </w:p>
        </w:tc>
        <w:tc>
          <w:tcPr>
            <w:tcW w:w="0" w:type="dxa"/>
            <w:vAlign w:val="bottom"/>
          </w:tcPr>
          <w:p>
            <w:pPr>
              <w:spacing w:after="0"/>
              <w:rPr>
                <w:sz w:val="1"/>
                <w:szCs w:val="1"/>
                <w:color w:val="auto"/>
              </w:rPr>
            </w:pPr>
          </w:p>
        </w:tc>
      </w:tr>
      <w:tr>
        <w:trPr>
          <w:trHeight w:val="315"/>
        </w:trPr>
        <w:tc>
          <w:tcPr>
            <w:tcW w:w="2400" w:type="dxa"/>
            <w:vAlign w:val="bottom"/>
          </w:tcPr>
          <w:p>
            <w:pPr>
              <w:ind w:left="1200"/>
              <w:spacing w:after="0"/>
              <w:rPr>
                <w:sz w:val="20"/>
                <w:szCs w:val="20"/>
                <w:color w:val="auto"/>
              </w:rPr>
            </w:pPr>
            <w:r>
              <w:rPr>
                <w:rFonts w:ascii="Arial" w:cs="Arial" w:eastAsia="Arial" w:hAnsi="Arial"/>
                <w:sz w:val="17"/>
                <w:szCs w:val="17"/>
                <w:b w:val="1"/>
                <w:bCs w:val="1"/>
                <w:color w:val="auto"/>
              </w:rPr>
              <w:t>4Q22</w:t>
            </w:r>
          </w:p>
        </w:tc>
        <w:tc>
          <w:tcPr>
            <w:tcW w:w="2020" w:type="dxa"/>
            <w:vAlign w:val="bottom"/>
          </w:tcPr>
          <w:p>
            <w:pPr>
              <w:jc w:val="center"/>
              <w:ind w:left="416"/>
              <w:spacing w:after="0"/>
              <w:rPr>
                <w:sz w:val="20"/>
                <w:szCs w:val="20"/>
                <w:color w:val="auto"/>
              </w:rPr>
            </w:pPr>
            <w:r>
              <w:rPr>
                <w:rFonts w:ascii="Arial" w:cs="Arial" w:eastAsia="Arial" w:hAnsi="Arial"/>
                <w:sz w:val="17"/>
                <w:szCs w:val="17"/>
                <w:color w:val="auto"/>
                <w:w w:val="99"/>
              </w:rPr>
              <w:t>4.24%</w:t>
            </w:r>
          </w:p>
        </w:tc>
        <w:tc>
          <w:tcPr>
            <w:tcW w:w="1220" w:type="dxa"/>
            <w:vAlign w:val="bottom"/>
          </w:tcPr>
          <w:p>
            <w:pPr>
              <w:jc w:val="center"/>
              <w:spacing w:after="0"/>
              <w:rPr>
                <w:sz w:val="20"/>
                <w:szCs w:val="20"/>
                <w:color w:val="auto"/>
              </w:rPr>
            </w:pPr>
            <w:r>
              <w:rPr>
                <w:rFonts w:ascii="Arial" w:cs="Arial" w:eastAsia="Arial" w:hAnsi="Arial"/>
                <w:sz w:val="17"/>
                <w:szCs w:val="17"/>
                <w:color w:val="auto"/>
                <w:w w:val="99"/>
              </w:rPr>
              <w:t>8.14%</w:t>
            </w:r>
          </w:p>
        </w:tc>
        <w:tc>
          <w:tcPr>
            <w:tcW w:w="1160" w:type="dxa"/>
            <w:vAlign w:val="bottom"/>
          </w:tcPr>
          <w:p>
            <w:pPr>
              <w:jc w:val="center"/>
              <w:ind w:right="36"/>
              <w:spacing w:after="0"/>
              <w:rPr>
                <w:sz w:val="20"/>
                <w:szCs w:val="20"/>
                <w:color w:val="auto"/>
              </w:rPr>
            </w:pPr>
            <w:r>
              <w:rPr>
                <w:rFonts w:ascii="Arial" w:cs="Arial" w:eastAsia="Arial" w:hAnsi="Arial"/>
                <w:sz w:val="17"/>
                <w:szCs w:val="17"/>
                <w:color w:val="auto"/>
                <w:w w:val="99"/>
              </w:rPr>
              <w:t>2.13%</w:t>
            </w:r>
          </w:p>
        </w:tc>
        <w:tc>
          <w:tcPr>
            <w:tcW w:w="1620" w:type="dxa"/>
            <w:vAlign w:val="bottom"/>
          </w:tcPr>
          <w:p>
            <w:pPr>
              <w:jc w:val="center"/>
              <w:spacing w:after="0"/>
              <w:rPr>
                <w:sz w:val="20"/>
                <w:szCs w:val="20"/>
                <w:color w:val="auto"/>
              </w:rPr>
            </w:pPr>
            <w:r>
              <w:rPr>
                <w:rFonts w:ascii="Arial" w:cs="Arial" w:eastAsia="Arial" w:hAnsi="Arial"/>
                <w:sz w:val="17"/>
                <w:szCs w:val="17"/>
                <w:b w:val="1"/>
                <w:bCs w:val="1"/>
                <w:color w:val="auto"/>
                <w:w w:val="99"/>
              </w:rPr>
              <w:t>4.44%</w:t>
            </w: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Risk-Adjusted NIM: (Annualized Net interest income - annualized provisions) / Average period end and period beginning interest earning assets.</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54" w:name="page55"/>
    <w:bookmarkEnd w:id="54"/>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88900</wp:posOffset>
            </wp:positionV>
            <wp:extent cx="7141845" cy="535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12.4. Regulatory Capital</w:t>
      </w:r>
    </w:p>
    <w:p>
      <w:pPr>
        <w:spacing w:after="0" w:line="186" w:lineRule="exact"/>
        <w:rPr>
          <w:sz w:val="20"/>
          <w:szCs w:val="20"/>
          <w:color w:val="auto"/>
        </w:rPr>
      </w:pPr>
    </w:p>
    <w:p>
      <w:pPr>
        <w:jc w:val="center"/>
        <w:ind w:left="1720"/>
        <w:spacing w:after="0"/>
        <w:rPr>
          <w:sz w:val="20"/>
          <w:szCs w:val="20"/>
          <w:color w:val="auto"/>
        </w:rPr>
      </w:pPr>
      <w:r>
        <w:rPr>
          <w:rFonts w:ascii="Arial" w:cs="Arial" w:eastAsia="Arial" w:hAnsi="Arial"/>
          <w:sz w:val="15"/>
          <w:szCs w:val="15"/>
          <w:b w:val="1"/>
          <w:bCs w:val="1"/>
          <w:color w:val="auto"/>
        </w:rPr>
        <w:t>Regulatory Capital and Capital Adequary Ratios</w:t>
      </w:r>
    </w:p>
    <w:p>
      <w:pPr>
        <w:spacing w:after="0" w:line="18" w:lineRule="exact"/>
        <w:rPr>
          <w:sz w:val="20"/>
          <w:szCs w:val="20"/>
          <w:color w:val="auto"/>
        </w:rPr>
      </w:pPr>
    </w:p>
    <w:p>
      <w:pPr>
        <w:jc w:val="center"/>
        <w:ind w:left="1720"/>
        <w:spacing w:after="0"/>
        <w:rPr>
          <w:sz w:val="20"/>
          <w:szCs w:val="20"/>
          <w:color w:val="auto"/>
        </w:rPr>
      </w:pPr>
      <w:r>
        <w:rPr>
          <w:rFonts w:ascii="Arial" w:cs="Arial" w:eastAsia="Arial" w:hAnsi="Arial"/>
          <w:sz w:val="15"/>
          <w:szCs w:val="15"/>
          <w:b w:val="1"/>
          <w:bCs w:val="1"/>
          <w:color w:val="auto"/>
        </w:rPr>
        <w:t>(S/ thousands, IFRS)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5440" w:type="dxa"/>
            <w:vAlign w:val="bottom"/>
            <w:tcBorders>
              <w:right w:val="single" w:sz="8" w:color="auto"/>
            </w:tcBorders>
          </w:tcPr>
          <w:p>
            <w:pPr>
              <w:spacing w:after="0"/>
              <w:rPr>
                <w:sz w:val="18"/>
                <w:szCs w:val="18"/>
                <w:color w:val="auto"/>
              </w:rPr>
            </w:pPr>
          </w:p>
        </w:tc>
        <w:tc>
          <w:tcPr>
            <w:tcW w:w="1520" w:type="dxa"/>
            <w:vAlign w:val="bottom"/>
            <w:tcBorders>
              <w:top w:val="single" w:sz="8" w:color="auto"/>
            </w:tcBorders>
            <w:shd w:val="clear" w:color="auto" w:fill="29D2C9"/>
          </w:tcPr>
          <w:p>
            <w:pPr>
              <w:spacing w:after="0"/>
              <w:rPr>
                <w:sz w:val="18"/>
                <w:szCs w:val="18"/>
                <w:color w:val="auto"/>
              </w:rPr>
            </w:pPr>
          </w:p>
        </w:tc>
        <w:tc>
          <w:tcPr>
            <w:tcW w:w="1340" w:type="dxa"/>
            <w:vAlign w:val="bottom"/>
            <w:tcBorders>
              <w:top w:val="single" w:sz="8" w:color="auto"/>
            </w:tcBorders>
            <w:shd w:val="clear" w:color="auto" w:fill="29D2C9"/>
          </w:tcPr>
          <w:p>
            <w:pPr>
              <w:jc w:val="right"/>
              <w:ind w:right="633"/>
              <w:spacing w:after="0"/>
              <w:rPr>
                <w:sz w:val="20"/>
                <w:szCs w:val="20"/>
                <w:color w:val="auto"/>
              </w:rPr>
            </w:pPr>
            <w:r>
              <w:rPr>
                <w:rFonts w:ascii="Arial" w:cs="Arial" w:eastAsia="Arial" w:hAnsi="Arial"/>
                <w:sz w:val="13"/>
                <w:szCs w:val="13"/>
                <w:b w:val="1"/>
                <w:bCs w:val="1"/>
                <w:color w:val="FFFFFF"/>
              </w:rPr>
              <w:t>As of</w:t>
            </w:r>
          </w:p>
        </w:tc>
        <w:tc>
          <w:tcPr>
            <w:tcW w:w="1160" w:type="dxa"/>
            <w:vAlign w:val="bottom"/>
            <w:tcBorders>
              <w:top w:val="single" w:sz="8" w:color="auto"/>
              <w:right w:val="single" w:sz="8" w:color="auto"/>
            </w:tcBorders>
            <w:shd w:val="clear" w:color="auto" w:fill="29D2C9"/>
          </w:tcPr>
          <w:p>
            <w:pPr>
              <w:spacing w:after="0"/>
              <w:rPr>
                <w:sz w:val="18"/>
                <w:szCs w:val="18"/>
                <w:color w:val="auto"/>
              </w:rPr>
            </w:pPr>
          </w:p>
        </w:tc>
        <w:tc>
          <w:tcPr>
            <w:tcW w:w="1800" w:type="dxa"/>
            <w:vAlign w:val="bottom"/>
            <w:tcBorders>
              <w:top w:val="single" w:sz="8" w:color="auto"/>
              <w:right w:val="single" w:sz="8" w:color="auto"/>
            </w:tcBorders>
            <w:gridSpan w:val="2"/>
            <w:shd w:val="clear" w:color="auto" w:fill="29D2C9"/>
          </w:tcPr>
          <w:p>
            <w:pPr>
              <w:ind w:left="560"/>
              <w:spacing w:after="0"/>
              <w:rPr>
                <w:sz w:val="20"/>
                <w:szCs w:val="20"/>
                <w:color w:val="auto"/>
              </w:rPr>
            </w:pPr>
            <w:r>
              <w:rPr>
                <w:rFonts w:ascii="Arial" w:cs="Arial" w:eastAsia="Arial" w:hAnsi="Arial"/>
                <w:sz w:val="13"/>
                <w:szCs w:val="13"/>
                <w:b w:val="1"/>
                <w:bCs w:val="1"/>
                <w:color w:val="FFFFFF"/>
              </w:rPr>
              <w:t>% Change</w:t>
            </w:r>
          </w:p>
        </w:tc>
      </w:tr>
      <w:tr>
        <w:trPr>
          <w:trHeight w:val="164"/>
        </w:trPr>
        <w:tc>
          <w:tcPr>
            <w:tcW w:w="5440" w:type="dxa"/>
            <w:vAlign w:val="bottom"/>
            <w:tcBorders>
              <w:bottom w:val="single" w:sz="8" w:color="auto"/>
              <w:right w:val="single" w:sz="8" w:color="auto"/>
            </w:tcBorders>
          </w:tcPr>
          <w:p>
            <w:pPr>
              <w:spacing w:after="0"/>
              <w:rPr>
                <w:sz w:val="14"/>
                <w:szCs w:val="14"/>
                <w:color w:val="auto"/>
              </w:rPr>
            </w:pPr>
          </w:p>
        </w:tc>
        <w:tc>
          <w:tcPr>
            <w:tcW w:w="1520" w:type="dxa"/>
            <w:vAlign w:val="bottom"/>
            <w:tcBorders>
              <w:bottom w:val="single" w:sz="8" w:color="auto"/>
            </w:tcBorders>
            <w:shd w:val="clear" w:color="auto" w:fill="29D2C9"/>
          </w:tcPr>
          <w:p>
            <w:pPr>
              <w:jc w:val="right"/>
              <w:ind w:right="593"/>
              <w:spacing w:after="0"/>
              <w:rPr>
                <w:sz w:val="20"/>
                <w:szCs w:val="20"/>
                <w:color w:val="auto"/>
              </w:rPr>
            </w:pPr>
            <w:r>
              <w:rPr>
                <w:rFonts w:ascii="Arial" w:cs="Arial" w:eastAsia="Arial" w:hAnsi="Arial"/>
                <w:sz w:val="13"/>
                <w:szCs w:val="13"/>
                <w:b w:val="1"/>
                <w:bCs w:val="1"/>
                <w:color w:val="FFFFFF"/>
              </w:rPr>
              <w:t>Dec 21</w:t>
            </w:r>
          </w:p>
        </w:tc>
        <w:tc>
          <w:tcPr>
            <w:tcW w:w="1340" w:type="dxa"/>
            <w:vAlign w:val="bottom"/>
            <w:tcBorders>
              <w:bottom w:val="single" w:sz="8" w:color="auto"/>
            </w:tcBorders>
            <w:shd w:val="clear" w:color="auto" w:fill="29D2C9"/>
          </w:tcPr>
          <w:p>
            <w:pPr>
              <w:jc w:val="right"/>
              <w:ind w:right="593"/>
              <w:spacing w:after="0"/>
              <w:rPr>
                <w:sz w:val="20"/>
                <w:szCs w:val="20"/>
                <w:color w:val="auto"/>
              </w:rPr>
            </w:pPr>
            <w:r>
              <w:rPr>
                <w:rFonts w:ascii="Arial" w:cs="Arial" w:eastAsia="Arial" w:hAnsi="Arial"/>
                <w:sz w:val="13"/>
                <w:szCs w:val="13"/>
                <w:b w:val="1"/>
                <w:bCs w:val="1"/>
                <w:color w:val="FFFFFF"/>
              </w:rPr>
              <w:t>Sep 22</w:t>
            </w:r>
          </w:p>
        </w:tc>
        <w:tc>
          <w:tcPr>
            <w:tcW w:w="1160" w:type="dxa"/>
            <w:vAlign w:val="bottom"/>
            <w:tcBorders>
              <w:bottom w:val="single" w:sz="8" w:color="auto"/>
              <w:right w:val="single" w:sz="8" w:color="auto"/>
            </w:tcBorders>
            <w:shd w:val="clear" w:color="auto" w:fill="29D2C9"/>
          </w:tcPr>
          <w:p>
            <w:pPr>
              <w:jc w:val="right"/>
              <w:ind w:right="393"/>
              <w:spacing w:after="0"/>
              <w:rPr>
                <w:sz w:val="20"/>
                <w:szCs w:val="20"/>
                <w:color w:val="auto"/>
              </w:rPr>
            </w:pPr>
            <w:r>
              <w:rPr>
                <w:rFonts w:ascii="Arial" w:cs="Arial" w:eastAsia="Arial" w:hAnsi="Arial"/>
                <w:sz w:val="13"/>
                <w:szCs w:val="13"/>
                <w:b w:val="1"/>
                <w:bCs w:val="1"/>
                <w:color w:val="FFFFFF"/>
              </w:rPr>
              <w:t>Dec 22</w:t>
            </w:r>
          </w:p>
        </w:tc>
        <w:tc>
          <w:tcPr>
            <w:tcW w:w="840" w:type="dxa"/>
            <w:vAlign w:val="bottom"/>
            <w:tcBorders>
              <w:bottom w:val="single" w:sz="8" w:color="auto"/>
            </w:tcBorders>
            <w:shd w:val="clear" w:color="auto" w:fill="29D2C9"/>
          </w:tcPr>
          <w:p>
            <w:pPr>
              <w:ind w:left="300"/>
              <w:spacing w:after="0"/>
              <w:rPr>
                <w:sz w:val="20"/>
                <w:szCs w:val="20"/>
                <w:color w:val="auto"/>
              </w:rPr>
            </w:pPr>
            <w:r>
              <w:rPr>
                <w:rFonts w:ascii="Arial" w:cs="Arial" w:eastAsia="Arial" w:hAnsi="Arial"/>
                <w:sz w:val="13"/>
                <w:szCs w:val="13"/>
                <w:b w:val="1"/>
                <w:bCs w:val="1"/>
                <w:color w:val="FFFFFF"/>
              </w:rPr>
              <w:t>QoQ</w:t>
            </w:r>
          </w:p>
        </w:tc>
        <w:tc>
          <w:tcPr>
            <w:tcW w:w="960" w:type="dxa"/>
            <w:vAlign w:val="bottom"/>
            <w:tcBorders>
              <w:bottom w:val="single" w:sz="8" w:color="auto"/>
              <w:right w:val="single" w:sz="8" w:color="auto"/>
            </w:tcBorders>
            <w:shd w:val="clear" w:color="auto" w:fill="29D2C9"/>
          </w:tcPr>
          <w:p>
            <w:pPr>
              <w:ind w:left="360"/>
              <w:spacing w:after="0"/>
              <w:rPr>
                <w:sz w:val="20"/>
                <w:szCs w:val="20"/>
                <w:color w:val="auto"/>
              </w:rPr>
            </w:pPr>
            <w:r>
              <w:rPr>
                <w:rFonts w:ascii="Arial" w:cs="Arial" w:eastAsia="Arial" w:hAnsi="Arial"/>
                <w:sz w:val="13"/>
                <w:szCs w:val="13"/>
                <w:b w:val="1"/>
                <w:bCs w:val="1"/>
                <w:color w:val="FFFFFF"/>
              </w:rPr>
              <w:t>YoY</w:t>
            </w:r>
          </w:p>
        </w:tc>
      </w:tr>
      <w:tr>
        <w:trPr>
          <w:trHeight w:val="174"/>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Capital Stock</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1,318,993</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1,318,993</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1,318,993</w:t>
            </w:r>
          </w:p>
        </w:tc>
        <w:tc>
          <w:tcPr>
            <w:tcW w:w="840" w:type="dxa"/>
            <w:vAlign w:val="bottom"/>
          </w:tcPr>
          <w:p>
            <w:pPr>
              <w:jc w:val="center"/>
              <w:spacing w:after="0"/>
              <w:rPr>
                <w:sz w:val="20"/>
                <w:szCs w:val="20"/>
                <w:color w:val="auto"/>
              </w:rPr>
            </w:pPr>
            <w:r>
              <w:rPr>
                <w:rFonts w:ascii="Arial" w:cs="Arial" w:eastAsia="Arial" w:hAnsi="Arial"/>
                <w:sz w:val="13"/>
                <w:szCs w:val="13"/>
                <w:color w:val="auto"/>
              </w:rPr>
              <w:t>0.0%</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0.0%</w:t>
            </w:r>
          </w:p>
        </w:tc>
      </w:tr>
      <w:tr>
        <w:trPr>
          <w:trHeight w:val="189"/>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Treasury Stocks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(207,538)</w:t>
            </w:r>
          </w:p>
        </w:tc>
        <w:tc>
          <w:tcPr>
            <w:tcW w:w="1340" w:type="dxa"/>
            <w:vAlign w:val="bottom"/>
          </w:tcPr>
          <w:p>
            <w:pPr>
              <w:jc w:val="right"/>
              <w:ind w:right="173"/>
              <w:spacing w:after="0"/>
              <w:rPr>
                <w:sz w:val="20"/>
                <w:szCs w:val="20"/>
                <w:color w:val="auto"/>
              </w:rPr>
            </w:pPr>
            <w:r>
              <w:rPr>
                <w:rFonts w:ascii="Arial" w:cs="Arial" w:eastAsia="Arial" w:hAnsi="Arial"/>
                <w:sz w:val="13"/>
                <w:szCs w:val="13"/>
                <w:color w:val="auto"/>
              </w:rPr>
              <w:t>(207,518)</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(207,518)</w:t>
            </w:r>
          </w:p>
        </w:tc>
        <w:tc>
          <w:tcPr>
            <w:tcW w:w="840" w:type="dxa"/>
            <w:vAlign w:val="bottom"/>
          </w:tcPr>
          <w:p>
            <w:pPr>
              <w:jc w:val="center"/>
              <w:spacing w:after="0"/>
              <w:rPr>
                <w:sz w:val="20"/>
                <w:szCs w:val="20"/>
                <w:color w:val="auto"/>
              </w:rPr>
            </w:pPr>
            <w:r>
              <w:rPr>
                <w:rFonts w:ascii="Arial" w:cs="Arial" w:eastAsia="Arial" w:hAnsi="Arial"/>
                <w:sz w:val="13"/>
                <w:szCs w:val="13"/>
                <w:color w:val="auto"/>
              </w:rPr>
              <w:t>0.0%</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0.0%</w:t>
            </w:r>
          </w:p>
        </w:tc>
      </w:tr>
      <w:tr>
        <w:trPr>
          <w:trHeight w:val="189"/>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Capital Surplus</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228,857</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225,832</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231,556</w:t>
            </w:r>
          </w:p>
        </w:tc>
        <w:tc>
          <w:tcPr>
            <w:tcW w:w="840" w:type="dxa"/>
            <w:vAlign w:val="bottom"/>
          </w:tcPr>
          <w:p>
            <w:pPr>
              <w:jc w:val="center"/>
              <w:spacing w:after="0"/>
              <w:rPr>
                <w:sz w:val="20"/>
                <w:szCs w:val="20"/>
                <w:color w:val="auto"/>
              </w:rPr>
            </w:pPr>
            <w:r>
              <w:rPr>
                <w:rFonts w:ascii="Arial" w:cs="Arial" w:eastAsia="Arial" w:hAnsi="Arial"/>
                <w:sz w:val="13"/>
                <w:szCs w:val="13"/>
                <w:color w:val="auto"/>
              </w:rPr>
              <w:t>2.5%</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1.2%</w:t>
            </w:r>
          </w:p>
        </w:tc>
      </w:tr>
      <w:tr>
        <w:trPr>
          <w:trHeight w:val="189"/>
        </w:trPr>
        <w:tc>
          <w:tcPr>
            <w:tcW w:w="544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3"/>
                <w:szCs w:val="13"/>
                <w:color w:val="auto"/>
              </w:rPr>
              <w:t xml:space="preserve">Legal and Other capital reserves </w:t>
            </w:r>
            <w:r>
              <w:rPr>
                <w:rFonts w:ascii="Arial" w:cs="Arial" w:eastAsia="Arial" w:hAnsi="Arial"/>
                <w:sz w:val="21"/>
                <w:szCs w:val="21"/>
                <w:color w:val="auto"/>
                <w:vertAlign w:val="superscript"/>
              </w:rPr>
              <w:t>(1)</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21,364,272</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23,687,946</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23,702,590</w:t>
            </w:r>
          </w:p>
        </w:tc>
        <w:tc>
          <w:tcPr>
            <w:tcW w:w="840" w:type="dxa"/>
            <w:vAlign w:val="bottom"/>
          </w:tcPr>
          <w:p>
            <w:pPr>
              <w:jc w:val="center"/>
              <w:spacing w:after="0"/>
              <w:rPr>
                <w:sz w:val="20"/>
                <w:szCs w:val="20"/>
                <w:color w:val="auto"/>
              </w:rPr>
            </w:pPr>
            <w:r>
              <w:rPr>
                <w:rFonts w:ascii="Arial" w:cs="Arial" w:eastAsia="Arial" w:hAnsi="Arial"/>
                <w:sz w:val="13"/>
                <w:szCs w:val="13"/>
                <w:color w:val="auto"/>
              </w:rPr>
              <w:t>0.1%</w:t>
            </w:r>
          </w:p>
        </w:tc>
        <w:tc>
          <w:tcPr>
            <w:tcW w:w="9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10.9%</w:t>
            </w:r>
          </w:p>
        </w:tc>
      </w:tr>
      <w:tr>
        <w:trPr>
          <w:trHeight w:val="189"/>
        </w:trPr>
        <w:tc>
          <w:tcPr>
            <w:tcW w:w="544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3"/>
                <w:szCs w:val="13"/>
                <w:color w:val="auto"/>
              </w:rPr>
              <w:t xml:space="preserve">Minority interest </w:t>
            </w:r>
            <w:r>
              <w:rPr>
                <w:rFonts w:ascii="Arial" w:cs="Arial" w:eastAsia="Arial" w:hAnsi="Arial"/>
                <w:sz w:val="21"/>
                <w:szCs w:val="21"/>
                <w:color w:val="auto"/>
                <w:vertAlign w:val="superscript"/>
              </w:rPr>
              <w:t>(2)</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420,062</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488,486</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430,709</w:t>
            </w:r>
          </w:p>
        </w:tc>
        <w:tc>
          <w:tcPr>
            <w:tcW w:w="840" w:type="dxa"/>
            <w:vAlign w:val="bottom"/>
          </w:tcPr>
          <w:p>
            <w:pPr>
              <w:jc w:val="center"/>
              <w:spacing w:after="0"/>
              <w:rPr>
                <w:sz w:val="20"/>
                <w:szCs w:val="20"/>
                <w:color w:val="auto"/>
              </w:rPr>
            </w:pPr>
            <w:r>
              <w:rPr>
                <w:rFonts w:ascii="Arial" w:cs="Arial" w:eastAsia="Arial" w:hAnsi="Arial"/>
                <w:sz w:val="13"/>
                <w:szCs w:val="13"/>
                <w:color w:val="auto"/>
              </w:rPr>
              <w:t>-11.8%</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2.5%</w:t>
            </w:r>
          </w:p>
        </w:tc>
      </w:tr>
      <w:tr>
        <w:trPr>
          <w:trHeight w:val="189"/>
        </w:trPr>
        <w:tc>
          <w:tcPr>
            <w:tcW w:w="544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3"/>
                <w:szCs w:val="13"/>
                <w:color w:val="auto"/>
              </w:rPr>
              <w:t xml:space="preserve">Loan loss reserves </w:t>
            </w:r>
            <w:r>
              <w:rPr>
                <w:rFonts w:ascii="Arial" w:cs="Arial" w:eastAsia="Arial" w:hAnsi="Arial"/>
                <w:sz w:val="21"/>
                <w:szCs w:val="21"/>
                <w:color w:val="auto"/>
                <w:vertAlign w:val="superscript"/>
              </w:rPr>
              <w:t>(3)</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2,001,065</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2,139,971</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2,128,732</w:t>
            </w:r>
          </w:p>
        </w:tc>
        <w:tc>
          <w:tcPr>
            <w:tcW w:w="840" w:type="dxa"/>
            <w:vAlign w:val="bottom"/>
          </w:tcPr>
          <w:p>
            <w:pPr>
              <w:jc w:val="center"/>
              <w:spacing w:after="0"/>
              <w:rPr>
                <w:sz w:val="20"/>
                <w:szCs w:val="20"/>
                <w:color w:val="auto"/>
              </w:rPr>
            </w:pPr>
            <w:r>
              <w:rPr>
                <w:rFonts w:ascii="Arial" w:cs="Arial" w:eastAsia="Arial" w:hAnsi="Arial"/>
                <w:sz w:val="13"/>
                <w:szCs w:val="13"/>
                <w:color w:val="auto"/>
                <w:w w:val="99"/>
              </w:rPr>
              <w:t>-0.5%</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6.4%</w:t>
            </w:r>
          </w:p>
        </w:tc>
      </w:tr>
      <w:tr>
        <w:trPr>
          <w:trHeight w:val="189"/>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Perpetual subordinated debt</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w w:val="91"/>
              </w:rPr>
              <w:t>-</w:t>
            </w:r>
          </w:p>
        </w:tc>
      </w:tr>
      <w:tr>
        <w:trPr>
          <w:trHeight w:val="189"/>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Subordinated Debt</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6,125,315</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6,015,765</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5,770,557</w:t>
            </w:r>
          </w:p>
        </w:tc>
        <w:tc>
          <w:tcPr>
            <w:tcW w:w="84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-5.8%</w:t>
            </w:r>
          </w:p>
        </w:tc>
      </w:tr>
      <w:tr>
        <w:trPr>
          <w:trHeight w:val="189"/>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Investments in equity and subordinated debt of financial and insurance</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(712,518)</w:t>
            </w:r>
          </w:p>
        </w:tc>
        <w:tc>
          <w:tcPr>
            <w:tcW w:w="1340" w:type="dxa"/>
            <w:vAlign w:val="bottom"/>
          </w:tcPr>
          <w:p>
            <w:pPr>
              <w:jc w:val="right"/>
              <w:ind w:right="173"/>
              <w:spacing w:after="0"/>
              <w:rPr>
                <w:sz w:val="20"/>
                <w:szCs w:val="20"/>
                <w:color w:val="auto"/>
              </w:rPr>
            </w:pPr>
            <w:r>
              <w:rPr>
                <w:rFonts w:ascii="Arial" w:cs="Arial" w:eastAsia="Arial" w:hAnsi="Arial"/>
                <w:sz w:val="13"/>
                <w:szCs w:val="13"/>
                <w:color w:val="auto"/>
              </w:rPr>
              <w:t>(868,747)</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(889,246)</w:t>
            </w:r>
          </w:p>
        </w:tc>
        <w:tc>
          <w:tcPr>
            <w:tcW w:w="840" w:type="dxa"/>
            <w:vAlign w:val="bottom"/>
          </w:tcPr>
          <w:p>
            <w:pPr>
              <w:jc w:val="center"/>
              <w:spacing w:after="0"/>
              <w:rPr>
                <w:sz w:val="20"/>
                <w:szCs w:val="20"/>
                <w:color w:val="auto"/>
              </w:rPr>
            </w:pPr>
            <w:r>
              <w:rPr>
                <w:rFonts w:ascii="Arial" w:cs="Arial" w:eastAsia="Arial" w:hAnsi="Arial"/>
                <w:sz w:val="13"/>
                <w:szCs w:val="13"/>
                <w:color w:val="auto"/>
              </w:rPr>
              <w:t>2.4%</w:t>
            </w:r>
          </w:p>
        </w:tc>
        <w:tc>
          <w:tcPr>
            <w:tcW w:w="9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24.8%</w:t>
            </w:r>
          </w:p>
        </w:tc>
      </w:tr>
      <w:tr>
        <w:trPr>
          <w:trHeight w:val="189"/>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Goodwill</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(796,859)</w:t>
            </w:r>
          </w:p>
        </w:tc>
        <w:tc>
          <w:tcPr>
            <w:tcW w:w="1340" w:type="dxa"/>
            <w:vAlign w:val="bottom"/>
          </w:tcPr>
          <w:p>
            <w:pPr>
              <w:jc w:val="right"/>
              <w:ind w:right="173"/>
              <w:spacing w:after="0"/>
              <w:rPr>
                <w:sz w:val="20"/>
                <w:szCs w:val="20"/>
                <w:color w:val="auto"/>
              </w:rPr>
            </w:pPr>
            <w:r>
              <w:rPr>
                <w:rFonts w:ascii="Arial" w:cs="Arial" w:eastAsia="Arial" w:hAnsi="Arial"/>
                <w:sz w:val="13"/>
                <w:szCs w:val="13"/>
                <w:color w:val="auto"/>
              </w:rPr>
              <w:t>(788,179)</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(772,213)</w:t>
            </w:r>
          </w:p>
        </w:tc>
        <w:tc>
          <w:tcPr>
            <w:tcW w:w="840" w:type="dxa"/>
            <w:vAlign w:val="bottom"/>
          </w:tcPr>
          <w:p>
            <w:pPr>
              <w:jc w:val="center"/>
              <w:spacing w:after="0"/>
              <w:rPr>
                <w:sz w:val="20"/>
                <w:szCs w:val="20"/>
                <w:color w:val="auto"/>
              </w:rPr>
            </w:pPr>
            <w:r>
              <w:rPr>
                <w:rFonts w:ascii="Arial" w:cs="Arial" w:eastAsia="Arial" w:hAnsi="Arial"/>
                <w:sz w:val="13"/>
                <w:szCs w:val="13"/>
                <w:color w:val="auto"/>
                <w:w w:val="99"/>
              </w:rPr>
              <w:t>-2.0%</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-3.1%</w:t>
            </w:r>
          </w:p>
        </w:tc>
      </w:tr>
      <w:tr>
        <w:trPr>
          <w:trHeight w:val="189"/>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Current year Net Loss</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w w:val="91"/>
              </w:rPr>
              <w:t>-</w:t>
            </w:r>
          </w:p>
        </w:tc>
      </w:tr>
      <w:tr>
        <w:trPr>
          <w:trHeight w:val="189"/>
        </w:trPr>
        <w:tc>
          <w:tcPr>
            <w:tcW w:w="544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3"/>
                <w:szCs w:val="13"/>
                <w:color w:val="auto"/>
              </w:rPr>
              <w:t xml:space="preserve">Deduction for subordinated debt limit (50% of Tier I excluding deductions) </w:t>
            </w:r>
            <w:r>
              <w:rPr>
                <w:rFonts w:ascii="Arial" w:cs="Arial" w:eastAsia="Arial" w:hAnsi="Arial"/>
                <w:sz w:val="21"/>
                <w:szCs w:val="21"/>
                <w:color w:val="auto"/>
                <w:vertAlign w:val="superscript"/>
              </w:rPr>
              <w:t>(4)</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w w:val="91"/>
              </w:rPr>
              <w:t>-</w:t>
            </w:r>
          </w:p>
        </w:tc>
      </w:tr>
      <w:tr>
        <w:trPr>
          <w:trHeight w:val="184"/>
        </w:trPr>
        <w:tc>
          <w:tcPr>
            <w:tcW w:w="5440" w:type="dxa"/>
            <w:vAlign w:val="bottom"/>
            <w:tcBorders>
              <w:left w:val="single" w:sz="8" w:color="auto"/>
              <w:bottom w:val="single" w:sz="8" w:color="auto"/>
              <w:right w:val="single" w:sz="8" w:color="auto"/>
            </w:tcBorders>
          </w:tcPr>
          <w:p>
            <w:pPr>
              <w:ind w:left="40"/>
              <w:spacing w:after="0" w:line="184" w:lineRule="exact"/>
              <w:rPr>
                <w:sz w:val="20"/>
                <w:szCs w:val="20"/>
                <w:color w:val="auto"/>
              </w:rPr>
            </w:pPr>
            <w:r>
              <w:rPr>
                <w:rFonts w:ascii="Arial" w:cs="Arial" w:eastAsia="Arial" w:hAnsi="Arial"/>
                <w:sz w:val="13"/>
                <w:szCs w:val="13"/>
                <w:color w:val="auto"/>
              </w:rPr>
              <w:t xml:space="preserve">Deduction for Tier I Limit (50% of Regulatory capital) </w:t>
            </w:r>
            <w:r>
              <w:rPr>
                <w:rFonts w:ascii="Arial" w:cs="Arial" w:eastAsia="Arial" w:hAnsi="Arial"/>
                <w:sz w:val="21"/>
                <w:szCs w:val="21"/>
                <w:color w:val="auto"/>
                <w:vertAlign w:val="superscript"/>
              </w:rPr>
              <w:t>(4)</w:t>
            </w: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right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3"/>
                <w:szCs w:val="13"/>
                <w:color w:val="auto"/>
                <w:w w:val="91"/>
              </w:rPr>
              <w:t>-</w:t>
            </w:r>
          </w:p>
        </w:tc>
      </w:tr>
      <w:tr>
        <w:trPr>
          <w:trHeight w:val="169"/>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Regulatory Capital (A)</w:t>
            </w: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29,741,649</w:t>
            </w: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32,012,549</w:t>
            </w:r>
          </w:p>
        </w:tc>
        <w:tc>
          <w:tcPr>
            <w:tcW w:w="11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31,714,160</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-0.9%</w:t>
            </w:r>
          </w:p>
        </w:tc>
        <w:tc>
          <w:tcPr>
            <w:tcW w:w="96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3"/>
                <w:szCs w:val="13"/>
                <w:b w:val="1"/>
                <w:bCs w:val="1"/>
                <w:color w:val="auto"/>
              </w:rPr>
              <w:t>6.6%</w:t>
            </w:r>
          </w:p>
        </w:tc>
      </w:tr>
      <w:tr>
        <w:trPr>
          <w:trHeight w:val="55"/>
        </w:trPr>
        <w:tc>
          <w:tcPr>
            <w:tcW w:w="54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74"/>
        </w:trPr>
        <w:tc>
          <w:tcPr>
            <w:tcW w:w="54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2"/>
                <w:szCs w:val="12"/>
                <w:color w:val="auto"/>
              </w:rPr>
              <w:t xml:space="preserve">Tier 1 </w:t>
            </w:r>
            <w:r>
              <w:rPr>
                <w:rFonts w:ascii="Arial" w:cs="Arial" w:eastAsia="Arial" w:hAnsi="Arial"/>
                <w:sz w:val="20"/>
                <w:szCs w:val="20"/>
                <w:color w:val="auto"/>
                <w:vertAlign w:val="superscript"/>
              </w:rPr>
              <w:t>(5)</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15,352,163</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16,961,210</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16,914,873</w:t>
            </w:r>
          </w:p>
        </w:tc>
        <w:tc>
          <w:tcPr>
            <w:tcW w:w="840" w:type="dxa"/>
            <w:vAlign w:val="bottom"/>
          </w:tcPr>
          <w:p>
            <w:pPr>
              <w:jc w:val="center"/>
              <w:spacing w:after="0"/>
              <w:rPr>
                <w:sz w:val="20"/>
                <w:szCs w:val="20"/>
                <w:color w:val="auto"/>
              </w:rPr>
            </w:pPr>
            <w:r>
              <w:rPr>
                <w:rFonts w:ascii="Arial" w:cs="Arial" w:eastAsia="Arial" w:hAnsi="Arial"/>
                <w:sz w:val="13"/>
                <w:szCs w:val="13"/>
                <w:color w:val="auto"/>
                <w:w w:val="99"/>
              </w:rPr>
              <w:t>-0.3%</w:t>
            </w:r>
          </w:p>
        </w:tc>
        <w:tc>
          <w:tcPr>
            <w:tcW w:w="9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10.2%</w:t>
            </w:r>
          </w:p>
        </w:tc>
      </w:tr>
      <w:tr>
        <w:trPr>
          <w:trHeight w:val="184"/>
        </w:trPr>
        <w:tc>
          <w:tcPr>
            <w:tcW w:w="5440" w:type="dxa"/>
            <w:vAlign w:val="bottom"/>
            <w:tcBorders>
              <w:left w:val="single" w:sz="8" w:color="auto"/>
              <w:bottom w:val="single" w:sz="8" w:color="auto"/>
              <w:right w:val="single" w:sz="8" w:color="auto"/>
            </w:tcBorders>
          </w:tcPr>
          <w:p>
            <w:pPr>
              <w:ind w:left="40"/>
              <w:spacing w:after="0" w:line="184" w:lineRule="exact"/>
              <w:rPr>
                <w:sz w:val="20"/>
                <w:szCs w:val="20"/>
                <w:color w:val="auto"/>
              </w:rPr>
            </w:pPr>
            <w:r>
              <w:rPr>
                <w:rFonts w:ascii="Arial" w:cs="Arial" w:eastAsia="Arial" w:hAnsi="Arial"/>
                <w:sz w:val="13"/>
                <w:szCs w:val="13"/>
                <w:color w:val="auto"/>
              </w:rPr>
              <w:t xml:space="preserve">Tier 2 </w:t>
            </w:r>
            <w:r>
              <w:rPr>
                <w:rFonts w:ascii="Arial" w:cs="Arial" w:eastAsia="Arial" w:hAnsi="Arial"/>
                <w:sz w:val="21"/>
                <w:szCs w:val="21"/>
                <w:color w:val="auto"/>
                <w:vertAlign w:val="superscript"/>
              </w:rPr>
              <w:t>(6)</w:t>
            </w:r>
            <w:r>
              <w:rPr>
                <w:rFonts w:ascii="Arial" w:cs="Arial" w:eastAsia="Arial" w:hAnsi="Arial"/>
                <w:sz w:val="13"/>
                <w:szCs w:val="13"/>
                <w:color w:val="auto"/>
              </w:rPr>
              <w:t xml:space="preserve"> + Tier 3 </w:t>
            </w:r>
            <w:r>
              <w:rPr>
                <w:rFonts w:ascii="Arial" w:cs="Arial" w:eastAsia="Arial" w:hAnsi="Arial"/>
                <w:sz w:val="21"/>
                <w:szCs w:val="21"/>
                <w:color w:val="auto"/>
                <w:vertAlign w:val="superscript"/>
              </w:rPr>
              <w:t>(7)</w:t>
            </w: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14,389,486</w:t>
            </w: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15,051,339</w:t>
            </w:r>
          </w:p>
        </w:tc>
        <w:tc>
          <w:tcPr>
            <w:tcW w:w="11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14,799,287</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-1.7%</w:t>
            </w:r>
          </w:p>
        </w:tc>
        <w:tc>
          <w:tcPr>
            <w:tcW w:w="96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3"/>
                <w:szCs w:val="13"/>
                <w:color w:val="auto"/>
              </w:rPr>
              <w:t>2.8%</w:t>
            </w:r>
          </w:p>
        </w:tc>
      </w:tr>
      <w:tr>
        <w:trPr>
          <w:trHeight w:val="55"/>
        </w:trPr>
        <w:tc>
          <w:tcPr>
            <w:tcW w:w="54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74"/>
        </w:trPr>
        <w:tc>
          <w:tcPr>
            <w:tcW w:w="5440" w:type="dxa"/>
            <w:vAlign w:val="bottom"/>
          </w:tcPr>
          <w:p>
            <w:pPr>
              <w:ind w:left="40"/>
              <w:spacing w:after="0" w:line="174" w:lineRule="exact"/>
              <w:rPr>
                <w:sz w:val="20"/>
                <w:szCs w:val="20"/>
                <w:color w:val="auto"/>
              </w:rPr>
            </w:pPr>
            <w:r>
              <w:rPr>
                <w:rFonts w:ascii="Arial" w:cs="Arial" w:eastAsia="Arial" w:hAnsi="Arial"/>
                <w:sz w:val="12"/>
                <w:szCs w:val="12"/>
                <w:color w:val="auto"/>
              </w:rPr>
              <w:t xml:space="preserve">Financial Consolidated Group (FCG) Regulatory Capital Requirements </w:t>
            </w:r>
            <w:r>
              <w:rPr>
                <w:rFonts w:ascii="Arial" w:cs="Arial" w:eastAsia="Arial" w:hAnsi="Arial"/>
                <w:sz w:val="20"/>
                <w:szCs w:val="20"/>
                <w:color w:val="auto"/>
                <w:vertAlign w:val="superscript"/>
              </w:rPr>
              <w:t>(8)</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18,530,113</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20,973,716</w:t>
            </w: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22,506,113</w:t>
            </w:r>
          </w:p>
        </w:tc>
        <w:tc>
          <w:tcPr>
            <w:tcW w:w="840" w:type="dxa"/>
            <w:vAlign w:val="bottom"/>
          </w:tcPr>
          <w:p>
            <w:pPr>
              <w:jc w:val="center"/>
              <w:spacing w:after="0"/>
              <w:rPr>
                <w:sz w:val="20"/>
                <w:szCs w:val="20"/>
                <w:color w:val="auto"/>
              </w:rPr>
            </w:pPr>
            <w:r>
              <w:rPr>
                <w:rFonts w:ascii="Arial" w:cs="Arial" w:eastAsia="Arial" w:hAnsi="Arial"/>
                <w:sz w:val="13"/>
                <w:szCs w:val="13"/>
                <w:color w:val="auto"/>
              </w:rPr>
              <w:t>7.3%</w:t>
            </w:r>
          </w:p>
        </w:tc>
        <w:tc>
          <w:tcPr>
            <w:tcW w:w="9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21.5%</w:t>
            </w:r>
          </w:p>
        </w:tc>
      </w:tr>
      <w:tr>
        <w:trPr>
          <w:trHeight w:val="189"/>
        </w:trPr>
        <w:tc>
          <w:tcPr>
            <w:tcW w:w="5440" w:type="dxa"/>
            <w:vAlign w:val="bottom"/>
          </w:tcPr>
          <w:p>
            <w:pPr>
              <w:ind w:left="40"/>
              <w:spacing w:after="0" w:line="189" w:lineRule="exact"/>
              <w:rPr>
                <w:sz w:val="20"/>
                <w:szCs w:val="20"/>
                <w:color w:val="auto"/>
              </w:rPr>
            </w:pPr>
            <w:r>
              <w:rPr>
                <w:rFonts w:ascii="Arial" w:cs="Arial" w:eastAsia="Arial" w:hAnsi="Arial"/>
                <w:sz w:val="13"/>
                <w:szCs w:val="13"/>
                <w:color w:val="auto"/>
              </w:rPr>
              <w:t xml:space="preserve">Insurance Consolidated Group (ICG) Capital Requirements </w:t>
            </w:r>
            <w:r>
              <w:rPr>
                <w:rFonts w:ascii="Arial" w:cs="Arial" w:eastAsia="Arial" w:hAnsi="Arial"/>
                <w:sz w:val="21"/>
                <w:szCs w:val="21"/>
                <w:color w:val="auto"/>
                <w:vertAlign w:val="superscript"/>
              </w:rPr>
              <w:t>(9)</w:t>
            </w:r>
          </w:p>
        </w:tc>
        <w:tc>
          <w:tcPr>
            <w:tcW w:w="1520" w:type="dxa"/>
            <w:vAlign w:val="bottom"/>
          </w:tcPr>
          <w:p>
            <w:pPr>
              <w:jc w:val="right"/>
              <w:ind w:right="233"/>
              <w:spacing w:after="0"/>
              <w:rPr>
                <w:sz w:val="20"/>
                <w:szCs w:val="20"/>
                <w:color w:val="auto"/>
              </w:rPr>
            </w:pPr>
            <w:r>
              <w:rPr>
                <w:rFonts w:ascii="Arial" w:cs="Arial" w:eastAsia="Arial" w:hAnsi="Arial"/>
                <w:sz w:val="13"/>
                <w:szCs w:val="13"/>
                <w:color w:val="auto"/>
              </w:rPr>
              <w:t>1,430,567</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1,558,334</w:t>
            </w:r>
          </w:p>
        </w:tc>
        <w:tc>
          <w:tcPr>
            <w:tcW w:w="1160" w:type="dxa"/>
            <w:vAlign w:val="bottom"/>
          </w:tcPr>
          <w:p>
            <w:pPr>
              <w:jc w:val="right"/>
              <w:ind w:right="53"/>
              <w:spacing w:after="0"/>
              <w:rPr>
                <w:sz w:val="20"/>
                <w:szCs w:val="20"/>
                <w:color w:val="auto"/>
              </w:rPr>
            </w:pPr>
            <w:r>
              <w:rPr>
                <w:rFonts w:ascii="Arial" w:cs="Arial" w:eastAsia="Arial" w:hAnsi="Arial"/>
                <w:sz w:val="13"/>
                <w:szCs w:val="13"/>
                <w:color w:val="auto"/>
              </w:rPr>
              <w:t>1,562,893</w:t>
            </w:r>
          </w:p>
        </w:tc>
        <w:tc>
          <w:tcPr>
            <w:tcW w:w="840" w:type="dxa"/>
            <w:vAlign w:val="bottom"/>
          </w:tcPr>
          <w:p>
            <w:pPr>
              <w:jc w:val="center"/>
              <w:spacing w:after="0"/>
              <w:rPr>
                <w:sz w:val="20"/>
                <w:szCs w:val="20"/>
                <w:color w:val="auto"/>
              </w:rPr>
            </w:pPr>
            <w:r>
              <w:rPr>
                <w:rFonts w:ascii="Arial" w:cs="Arial" w:eastAsia="Arial" w:hAnsi="Arial"/>
                <w:sz w:val="13"/>
                <w:szCs w:val="13"/>
                <w:color w:val="auto"/>
              </w:rPr>
              <w:t>0.3%</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9.2%</w:t>
            </w:r>
          </w:p>
        </w:tc>
      </w:tr>
      <w:tr>
        <w:trPr>
          <w:trHeight w:val="189"/>
        </w:trPr>
        <w:tc>
          <w:tcPr>
            <w:tcW w:w="5440" w:type="dxa"/>
            <w:vAlign w:val="bottom"/>
          </w:tcPr>
          <w:p>
            <w:pPr>
              <w:ind w:left="40"/>
              <w:spacing w:after="0"/>
              <w:rPr>
                <w:sz w:val="20"/>
                <w:szCs w:val="20"/>
                <w:color w:val="auto"/>
              </w:rPr>
            </w:pPr>
            <w:r>
              <w:rPr>
                <w:rFonts w:ascii="Arial" w:cs="Arial" w:eastAsia="Arial" w:hAnsi="Arial"/>
                <w:sz w:val="13"/>
                <w:szCs w:val="13"/>
                <w:color w:val="auto"/>
              </w:rPr>
              <w:t>FCG Capital Requirements related to operations with ICG</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(513,262)</w:t>
            </w:r>
          </w:p>
        </w:tc>
        <w:tc>
          <w:tcPr>
            <w:tcW w:w="1340" w:type="dxa"/>
            <w:vAlign w:val="bottom"/>
          </w:tcPr>
          <w:p>
            <w:pPr>
              <w:jc w:val="right"/>
              <w:ind w:right="173"/>
              <w:spacing w:after="0"/>
              <w:rPr>
                <w:sz w:val="20"/>
                <w:szCs w:val="20"/>
                <w:color w:val="auto"/>
              </w:rPr>
            </w:pPr>
            <w:r>
              <w:rPr>
                <w:rFonts w:ascii="Arial" w:cs="Arial" w:eastAsia="Arial" w:hAnsi="Arial"/>
                <w:sz w:val="13"/>
                <w:szCs w:val="13"/>
                <w:color w:val="auto"/>
              </w:rPr>
              <w:t>(465,143)</w:t>
            </w:r>
          </w:p>
        </w:tc>
        <w:tc>
          <w:tcPr>
            <w:tcW w:w="1160" w:type="dxa"/>
            <w:vAlign w:val="bottom"/>
          </w:tcPr>
          <w:p>
            <w:pPr>
              <w:jc w:val="right"/>
              <w:spacing w:after="0"/>
              <w:rPr>
                <w:sz w:val="20"/>
                <w:szCs w:val="20"/>
                <w:color w:val="auto"/>
              </w:rPr>
            </w:pPr>
            <w:r>
              <w:rPr>
                <w:rFonts w:ascii="Arial" w:cs="Arial" w:eastAsia="Arial" w:hAnsi="Arial"/>
                <w:sz w:val="13"/>
                <w:szCs w:val="13"/>
                <w:color w:val="auto"/>
              </w:rPr>
              <w:t>(471,371)</w:t>
            </w:r>
          </w:p>
        </w:tc>
        <w:tc>
          <w:tcPr>
            <w:tcW w:w="840" w:type="dxa"/>
            <w:vAlign w:val="bottom"/>
          </w:tcPr>
          <w:p>
            <w:pPr>
              <w:jc w:val="center"/>
              <w:spacing w:after="0"/>
              <w:rPr>
                <w:sz w:val="20"/>
                <w:szCs w:val="20"/>
                <w:color w:val="auto"/>
              </w:rPr>
            </w:pPr>
            <w:r>
              <w:rPr>
                <w:rFonts w:ascii="Arial" w:cs="Arial" w:eastAsia="Arial" w:hAnsi="Arial"/>
                <w:sz w:val="13"/>
                <w:szCs w:val="13"/>
                <w:color w:val="auto"/>
              </w:rPr>
              <w:t>1.3%</w:t>
            </w:r>
          </w:p>
        </w:tc>
        <w:tc>
          <w:tcPr>
            <w:tcW w:w="9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-8.2%</w:t>
            </w:r>
          </w:p>
        </w:tc>
      </w:tr>
      <w:tr>
        <w:trPr>
          <w:trHeight w:val="184"/>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ICG Capital Requirements related to operations with FCG</w:t>
            </w: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3"/>
                <w:szCs w:val="13"/>
                <w:color w:val="auto"/>
                <w:w w:val="91"/>
              </w:rPr>
              <w:t>-</w:t>
            </w:r>
          </w:p>
        </w:tc>
      </w:tr>
      <w:tr>
        <w:trPr>
          <w:trHeight w:val="169"/>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Regulatory Capital Requirements (B)</w:t>
            </w: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19,447,418</w:t>
            </w: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22,066,907</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23,597,635</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6.9%</w:t>
            </w:r>
          </w:p>
        </w:tc>
        <w:tc>
          <w:tcPr>
            <w:tcW w:w="96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21.3%</w:t>
            </w:r>
          </w:p>
        </w:tc>
      </w:tr>
      <w:tr>
        <w:trPr>
          <w:trHeight w:val="169"/>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Regulatory Capital Ratio (A) / (B)</w:t>
            </w:r>
          </w:p>
        </w:tc>
        <w:tc>
          <w:tcPr>
            <w:tcW w:w="15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1.53</w:t>
            </w: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1.45</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1.34</w:t>
            </w: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8"/>
        </w:trPr>
        <w:tc>
          <w:tcPr>
            <w:tcW w:w="5440" w:type="dxa"/>
            <w:vAlign w:val="bottom"/>
          </w:tcPr>
          <w:p>
            <w:pPr>
              <w:ind w:left="40"/>
              <w:spacing w:after="0" w:line="189" w:lineRule="exact"/>
              <w:rPr>
                <w:sz w:val="20"/>
                <w:szCs w:val="20"/>
                <w:color w:val="auto"/>
              </w:rPr>
            </w:pPr>
            <w:r>
              <w:rPr>
                <w:rFonts w:ascii="Arial" w:cs="Arial" w:eastAsia="Arial" w:hAnsi="Arial"/>
                <w:sz w:val="13"/>
                <w:szCs w:val="13"/>
                <w:b w:val="1"/>
                <w:bCs w:val="1"/>
                <w:color w:val="auto"/>
              </w:rPr>
              <w:t xml:space="preserve">Required Regulatory Capital Ratio </w:t>
            </w:r>
            <w:r>
              <w:rPr>
                <w:rFonts w:ascii="Arial" w:cs="Arial" w:eastAsia="Arial" w:hAnsi="Arial"/>
                <w:sz w:val="21"/>
                <w:szCs w:val="21"/>
                <w:b w:val="1"/>
                <w:bCs w:val="1"/>
                <w:color w:val="auto"/>
                <w:vertAlign w:val="superscript"/>
              </w:rPr>
              <w:t>(10)</w:t>
            </w:r>
          </w:p>
        </w:tc>
        <w:tc>
          <w:tcPr>
            <w:tcW w:w="1520" w:type="dxa"/>
            <w:vAlign w:val="bottom"/>
          </w:tcPr>
          <w:p>
            <w:pPr>
              <w:jc w:val="right"/>
              <w:ind w:right="233"/>
              <w:spacing w:after="0"/>
              <w:rPr>
                <w:sz w:val="20"/>
                <w:szCs w:val="20"/>
                <w:color w:val="auto"/>
              </w:rPr>
            </w:pPr>
            <w:r>
              <w:rPr>
                <w:rFonts w:ascii="Arial" w:cs="Arial" w:eastAsia="Arial" w:hAnsi="Arial"/>
                <w:sz w:val="13"/>
                <w:szCs w:val="13"/>
                <w:b w:val="1"/>
                <w:bCs w:val="1"/>
                <w:color w:val="auto"/>
              </w:rPr>
              <w:t>1.00</w:t>
            </w:r>
          </w:p>
        </w:tc>
        <w:tc>
          <w:tcPr>
            <w:tcW w:w="1340" w:type="dxa"/>
            <w:vAlign w:val="bottom"/>
          </w:tcPr>
          <w:p>
            <w:pPr>
              <w:jc w:val="right"/>
              <w:ind w:right="233"/>
              <w:spacing w:after="0"/>
              <w:rPr>
                <w:sz w:val="20"/>
                <w:szCs w:val="20"/>
                <w:color w:val="auto"/>
              </w:rPr>
            </w:pPr>
            <w:r>
              <w:rPr>
                <w:rFonts w:ascii="Arial" w:cs="Arial" w:eastAsia="Arial" w:hAnsi="Arial"/>
                <w:sz w:val="13"/>
                <w:szCs w:val="13"/>
                <w:b w:val="1"/>
                <w:bCs w:val="1"/>
                <w:color w:val="auto"/>
              </w:rPr>
              <w:t>1.00</w:t>
            </w:r>
          </w:p>
        </w:tc>
        <w:tc>
          <w:tcPr>
            <w:tcW w:w="1160" w:type="dxa"/>
            <w:vAlign w:val="bottom"/>
          </w:tcPr>
          <w:p>
            <w:pPr>
              <w:jc w:val="right"/>
              <w:ind w:right="53"/>
              <w:spacing w:after="0"/>
              <w:rPr>
                <w:sz w:val="20"/>
                <w:szCs w:val="20"/>
                <w:color w:val="auto"/>
              </w:rPr>
            </w:pPr>
            <w:r>
              <w:rPr>
                <w:rFonts w:ascii="Arial" w:cs="Arial" w:eastAsia="Arial" w:hAnsi="Arial"/>
                <w:sz w:val="13"/>
                <w:szCs w:val="13"/>
                <w:b w:val="1"/>
                <w:bCs w:val="1"/>
                <w:color w:val="auto"/>
              </w:rPr>
              <w:t>1.00</w:t>
            </w: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-850900</wp:posOffset>
            </wp:positionV>
            <wp:extent cx="6007100" cy="8547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07100" cy="854710"/>
                    </a:xfrm>
                    <a:prstGeom prst="rect">
                      <a:avLst/>
                    </a:prstGeom>
                    <a:noFill/>
                  </pic:spPr>
                </pic:pic>
              </a:graphicData>
            </a:graphic>
          </wp:anchor>
        </w:drawing>
      </w:r>
    </w:p>
    <w:p>
      <w:pPr>
        <w:ind w:left="180" w:hanging="179"/>
        <w:spacing w:after="0" w:line="218" w:lineRule="auto"/>
        <w:tabs>
          <w:tab w:leader="none" w:pos="1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Legal and other capital reserves include restricted capital reserves (PEN 14,745 million) and optional capital reserves (PEN 6,661 million).</w:t>
      </w:r>
    </w:p>
    <w:p>
      <w:pPr>
        <w:ind w:left="180" w:hanging="179"/>
        <w:spacing w:after="0" w:line="218" w:lineRule="auto"/>
        <w:tabs>
          <w:tab w:leader="none" w:pos="1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Minority interest includes Tier I (PEN 421 million)</w:t>
      </w:r>
    </w:p>
    <w:p>
      <w:pPr>
        <w:ind w:left="180" w:hanging="179"/>
        <w:spacing w:after="0" w:line="218" w:lineRule="auto"/>
        <w:tabs>
          <w:tab w:leader="none" w:pos="1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Up to 1.25% of total risk-weighted assets of Banco de Credito del Peru, Solucion Empresa Administradora Hipotecaria, Mibanco and ASB Bank Corp.</w:t>
      </w:r>
    </w:p>
    <w:p>
      <w:pPr>
        <w:ind w:left="180" w:hanging="179"/>
        <w:spacing w:after="0" w:line="218" w:lineRule="auto"/>
        <w:tabs>
          <w:tab w:leader="none" w:pos="1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Tier II + Tier III can not be more than 50% of total regulatory capital.</w:t>
      </w:r>
    </w:p>
    <w:p>
      <w:pPr>
        <w:ind w:left="180" w:hanging="179"/>
        <w:spacing w:after="0" w:line="218" w:lineRule="auto"/>
        <w:tabs>
          <w:tab w:leader="none" w:pos="1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Tier I = capital + restricted capital reserves + Tier I minority interest - goodwill - (0.5 x investment in equity and subordinated debt of financial and insurance companies)+ perpetual subordinated debt.</w:t>
      </w:r>
    </w:p>
    <w:p>
      <w:pPr>
        <w:ind w:left="180" w:hanging="179"/>
        <w:spacing w:after="0" w:line="218" w:lineRule="auto"/>
        <w:tabs>
          <w:tab w:leader="none" w:pos="1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Tier II = subordinated debt + TierII minority interest tier + loan loss reserves - (0.5 x investment in equity and subordinated debt of financial and insurance companies).</w:t>
      </w:r>
    </w:p>
    <w:p>
      <w:pPr>
        <w:ind w:left="180" w:hanging="179"/>
        <w:spacing w:after="0" w:line="218" w:lineRule="auto"/>
        <w:tabs>
          <w:tab w:leader="none" w:pos="1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Tier III = Subordinated debt covering market risk only.</w:t>
      </w:r>
    </w:p>
    <w:p>
      <w:pPr>
        <w:ind w:left="180" w:hanging="179"/>
        <w:spacing w:after="0" w:line="218" w:lineRule="auto"/>
        <w:tabs>
          <w:tab w:leader="none" w:pos="1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regulatory capital requirements of the financial consolidated group.</w:t>
      </w:r>
    </w:p>
    <w:p>
      <w:pPr>
        <w:ind w:left="180" w:hanging="179"/>
        <w:spacing w:after="0" w:line="218" w:lineRule="auto"/>
        <w:tabs>
          <w:tab w:leader="none" w:pos="1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regulatory capital requirements of the insurance consolidated group.</w:t>
      </w:r>
    </w:p>
    <w:p>
      <w:pPr>
        <w:ind w:left="240" w:hanging="239"/>
        <w:spacing w:after="0"/>
        <w:tabs>
          <w:tab w:leader="none" w:pos="2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Regulatory Capital / Total Regulatory Capital Requirements (legal minimum = 1.00).</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55" w:name="page56"/>
    <w:bookmarkEnd w:id="55"/>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Regulatory and Capital Adecuacy Ratios at BCP Stand-alone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S/ thousands)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544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Regulatory Capital and Capital Adequacy Ratios - SBS</w:t>
            </w:r>
          </w:p>
        </w:tc>
        <w:tc>
          <w:tcPr>
            <w:tcW w:w="1540" w:type="dxa"/>
            <w:vAlign w:val="bottom"/>
            <w:tcBorders>
              <w:top w:val="single" w:sz="8" w:color="auto"/>
            </w:tcBorders>
            <w:shd w:val="clear" w:color="auto" w:fill="2AD2C9"/>
          </w:tcPr>
          <w:p>
            <w:pPr>
              <w:spacing w:after="0"/>
              <w:rPr>
                <w:sz w:val="14"/>
                <w:szCs w:val="14"/>
                <w:color w:val="auto"/>
              </w:rPr>
            </w:pPr>
          </w:p>
        </w:tc>
        <w:tc>
          <w:tcPr>
            <w:tcW w:w="1340" w:type="dxa"/>
            <w:vAlign w:val="bottom"/>
            <w:tcBorders>
              <w:top w:val="single" w:sz="8" w:color="auto"/>
            </w:tcBorders>
            <w:shd w:val="clear" w:color="auto" w:fill="2AD2C9"/>
          </w:tcPr>
          <w:p>
            <w:pPr>
              <w:jc w:val="right"/>
              <w:ind w:right="653"/>
              <w:spacing w:after="0"/>
              <w:rPr>
                <w:sz w:val="20"/>
                <w:szCs w:val="20"/>
                <w:color w:val="auto"/>
              </w:rPr>
            </w:pPr>
            <w:r>
              <w:rPr>
                <w:rFonts w:ascii="Arial" w:cs="Arial" w:eastAsia="Arial" w:hAnsi="Arial"/>
                <w:sz w:val="13"/>
                <w:szCs w:val="13"/>
                <w:b w:val="1"/>
                <w:bCs w:val="1"/>
                <w:color w:val="FFFFFF"/>
              </w:rPr>
              <w:t>As of</w:t>
            </w:r>
          </w:p>
        </w:tc>
        <w:tc>
          <w:tcPr>
            <w:tcW w:w="1140" w:type="dxa"/>
            <w:vAlign w:val="bottom"/>
            <w:tcBorders>
              <w:top w:val="single" w:sz="8" w:color="auto"/>
              <w:right w:val="single" w:sz="8" w:color="auto"/>
            </w:tcBorders>
            <w:shd w:val="clear" w:color="auto" w:fill="2AD2C9"/>
          </w:tcPr>
          <w:p>
            <w:pPr>
              <w:spacing w:after="0"/>
              <w:rPr>
                <w:sz w:val="14"/>
                <w:szCs w:val="14"/>
                <w:color w:val="auto"/>
              </w:rPr>
            </w:pPr>
          </w:p>
        </w:tc>
        <w:tc>
          <w:tcPr>
            <w:tcW w:w="180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S/ 000</w:t>
            </w:r>
          </w:p>
        </w:tc>
        <w:tc>
          <w:tcPr>
            <w:tcW w:w="1540" w:type="dxa"/>
            <w:vAlign w:val="bottom"/>
            <w:tcBorders>
              <w:bottom w:val="single" w:sz="8" w:color="auto"/>
            </w:tcBorders>
            <w:shd w:val="clear" w:color="auto" w:fill="2AD2C9"/>
          </w:tcPr>
          <w:p>
            <w:pPr>
              <w:jc w:val="right"/>
              <w:ind w:right="613"/>
              <w:spacing w:after="0"/>
              <w:rPr>
                <w:sz w:val="20"/>
                <w:szCs w:val="20"/>
                <w:color w:val="auto"/>
              </w:rPr>
            </w:pPr>
            <w:r>
              <w:rPr>
                <w:rFonts w:ascii="Arial" w:cs="Arial" w:eastAsia="Arial" w:hAnsi="Arial"/>
                <w:sz w:val="13"/>
                <w:szCs w:val="13"/>
                <w:b w:val="1"/>
                <w:bCs w:val="1"/>
                <w:color w:val="FFFFFF"/>
              </w:rPr>
              <w:t>Dec 21</w:t>
            </w:r>
          </w:p>
        </w:tc>
        <w:tc>
          <w:tcPr>
            <w:tcW w:w="1340" w:type="dxa"/>
            <w:vAlign w:val="bottom"/>
            <w:tcBorders>
              <w:bottom w:val="single" w:sz="8" w:color="auto"/>
            </w:tcBorders>
            <w:shd w:val="clear" w:color="auto" w:fill="2AD2C9"/>
          </w:tcPr>
          <w:p>
            <w:pPr>
              <w:jc w:val="right"/>
              <w:ind w:right="613"/>
              <w:spacing w:after="0"/>
              <w:rPr>
                <w:sz w:val="20"/>
                <w:szCs w:val="20"/>
                <w:color w:val="auto"/>
              </w:rPr>
            </w:pPr>
            <w:r>
              <w:rPr>
                <w:rFonts w:ascii="Arial" w:cs="Arial" w:eastAsia="Arial" w:hAnsi="Arial"/>
                <w:sz w:val="13"/>
                <w:szCs w:val="13"/>
                <w:b w:val="1"/>
                <w:bCs w:val="1"/>
                <w:color w:val="FFFFFF"/>
              </w:rPr>
              <w:t>Sep 22</w:t>
            </w:r>
          </w:p>
        </w:tc>
        <w:tc>
          <w:tcPr>
            <w:tcW w:w="1140" w:type="dxa"/>
            <w:vAlign w:val="bottom"/>
            <w:tcBorders>
              <w:bottom w:val="single" w:sz="8" w:color="auto"/>
              <w:right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Dec 22</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36"/>
        </w:trPr>
        <w:tc>
          <w:tcPr>
            <w:tcW w:w="5440" w:type="dxa"/>
            <w:vAlign w:val="bottom"/>
            <w:tcBorders>
              <w:left w:val="single" w:sz="8" w:color="auto"/>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Capital Stock</w:t>
            </w:r>
          </w:p>
        </w:tc>
        <w:tc>
          <w:tcPr>
            <w:tcW w:w="15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11,317,387</w:t>
            </w:r>
          </w:p>
        </w:tc>
        <w:tc>
          <w:tcPr>
            <w:tcW w:w="13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12,176,365</w:t>
            </w:r>
          </w:p>
        </w:tc>
        <w:tc>
          <w:tcPr>
            <w:tcW w:w="114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12,176,365</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Legal and Other capital reserves</w:t>
            </w:r>
          </w:p>
        </w:tc>
        <w:tc>
          <w:tcPr>
            <w:tcW w:w="1540" w:type="dxa"/>
            <w:vAlign w:val="bottom"/>
          </w:tcPr>
          <w:p>
            <w:pPr>
              <w:jc w:val="right"/>
              <w:ind w:right="253"/>
              <w:spacing w:after="0"/>
              <w:rPr>
                <w:sz w:val="20"/>
                <w:szCs w:val="20"/>
                <w:color w:val="auto"/>
              </w:rPr>
            </w:pPr>
            <w:r>
              <w:rPr>
                <w:rFonts w:ascii="Arial" w:cs="Arial" w:eastAsia="Arial" w:hAnsi="Arial"/>
                <w:sz w:val="13"/>
                <w:szCs w:val="13"/>
                <w:color w:val="auto"/>
              </w:rPr>
              <w:t>6,707,831</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7,516,897</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6,759,527</w:t>
            </w:r>
          </w:p>
        </w:tc>
        <w:tc>
          <w:tcPr>
            <w:tcW w:w="880" w:type="dxa"/>
            <w:vAlign w:val="bottom"/>
          </w:tcPr>
          <w:p>
            <w:pPr>
              <w:jc w:val="center"/>
              <w:spacing w:after="0"/>
              <w:rPr>
                <w:sz w:val="20"/>
                <w:szCs w:val="20"/>
                <w:color w:val="auto"/>
              </w:rPr>
            </w:pPr>
            <w:r>
              <w:rPr>
                <w:rFonts w:ascii="Arial" w:cs="Arial" w:eastAsia="Arial" w:hAnsi="Arial"/>
                <w:sz w:val="13"/>
                <w:szCs w:val="13"/>
                <w:color w:val="auto"/>
              </w:rPr>
              <w:t>-10.1%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Accumulated earnings with capitalization agreement</w:t>
            </w:r>
          </w:p>
        </w:tc>
        <w:tc>
          <w:tcPr>
            <w:tcW w:w="154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Loan loss reserves (1)</w:t>
            </w:r>
          </w:p>
        </w:tc>
        <w:tc>
          <w:tcPr>
            <w:tcW w:w="1540" w:type="dxa"/>
            <w:vAlign w:val="bottom"/>
          </w:tcPr>
          <w:p>
            <w:pPr>
              <w:jc w:val="right"/>
              <w:ind w:right="253"/>
              <w:spacing w:after="0"/>
              <w:rPr>
                <w:sz w:val="20"/>
                <w:szCs w:val="20"/>
                <w:color w:val="auto"/>
              </w:rPr>
            </w:pPr>
            <w:r>
              <w:rPr>
                <w:rFonts w:ascii="Arial" w:cs="Arial" w:eastAsia="Arial" w:hAnsi="Arial"/>
                <w:sz w:val="13"/>
                <w:szCs w:val="13"/>
                <w:color w:val="auto"/>
              </w:rPr>
              <w:t>1,735,372</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1,845,016</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1,838,178</w:t>
            </w:r>
          </w:p>
        </w:tc>
        <w:tc>
          <w:tcPr>
            <w:tcW w:w="880" w:type="dxa"/>
            <w:vAlign w:val="bottom"/>
          </w:tcPr>
          <w:p>
            <w:pPr>
              <w:jc w:val="center"/>
              <w:spacing w:after="0"/>
              <w:rPr>
                <w:sz w:val="20"/>
                <w:szCs w:val="20"/>
                <w:color w:val="auto"/>
              </w:rPr>
            </w:pPr>
            <w:r>
              <w:rPr>
                <w:rFonts w:ascii="Arial" w:cs="Arial" w:eastAsia="Arial" w:hAnsi="Arial"/>
                <w:sz w:val="13"/>
                <w:szCs w:val="13"/>
                <w:color w:val="auto"/>
              </w:rPr>
              <w:t>-0.4%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Perpetual subordinated debt</w:t>
            </w:r>
          </w:p>
        </w:tc>
        <w:tc>
          <w:tcPr>
            <w:tcW w:w="154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1140" w:type="dxa"/>
            <w:vAlign w:val="bottom"/>
            <w:tcBorders>
              <w:right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Subordinated Debt</w:t>
            </w:r>
          </w:p>
        </w:tc>
        <w:tc>
          <w:tcPr>
            <w:tcW w:w="1540" w:type="dxa"/>
            <w:vAlign w:val="bottom"/>
          </w:tcPr>
          <w:p>
            <w:pPr>
              <w:jc w:val="right"/>
              <w:ind w:right="253"/>
              <w:spacing w:after="0"/>
              <w:rPr>
                <w:sz w:val="20"/>
                <w:szCs w:val="20"/>
                <w:color w:val="auto"/>
              </w:rPr>
            </w:pPr>
            <w:r>
              <w:rPr>
                <w:rFonts w:ascii="Arial" w:cs="Arial" w:eastAsia="Arial" w:hAnsi="Arial"/>
                <w:sz w:val="13"/>
                <w:szCs w:val="13"/>
                <w:color w:val="auto"/>
              </w:rPr>
              <w:t>5,397,450</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5,374,350</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5,148,900</w:t>
            </w:r>
          </w:p>
        </w:tc>
        <w:tc>
          <w:tcPr>
            <w:tcW w:w="880" w:type="dxa"/>
            <w:vAlign w:val="bottom"/>
          </w:tcPr>
          <w:p>
            <w:pPr>
              <w:jc w:val="center"/>
              <w:spacing w:after="0"/>
              <w:rPr>
                <w:sz w:val="20"/>
                <w:szCs w:val="20"/>
                <w:color w:val="auto"/>
              </w:rPr>
            </w:pPr>
            <w:r>
              <w:rPr>
                <w:rFonts w:ascii="Arial" w:cs="Arial" w:eastAsia="Arial" w:hAnsi="Arial"/>
                <w:sz w:val="13"/>
                <w:szCs w:val="13"/>
                <w:color w:val="auto"/>
              </w:rPr>
              <w:t>-4.2%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-4.6%</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Investment in subsidiaries and others, net of unrealized profit and net income</w:t>
            </w:r>
          </w:p>
        </w:tc>
        <w:tc>
          <w:tcPr>
            <w:tcW w:w="1540" w:type="dxa"/>
            <w:vAlign w:val="bottom"/>
          </w:tcPr>
          <w:p>
            <w:pPr>
              <w:jc w:val="right"/>
              <w:ind w:right="233"/>
              <w:spacing w:after="0"/>
              <w:rPr>
                <w:sz w:val="20"/>
                <w:szCs w:val="20"/>
                <w:color w:val="auto"/>
              </w:rPr>
            </w:pPr>
            <w:r>
              <w:rPr>
                <w:rFonts w:ascii="Arial" w:cs="Arial" w:eastAsia="Arial" w:hAnsi="Arial"/>
                <w:sz w:val="13"/>
                <w:szCs w:val="13"/>
                <w:color w:val="auto"/>
              </w:rPr>
              <w:t>(2,263,805)</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(2,436,525)</w:t>
            </w:r>
          </w:p>
        </w:tc>
        <w:tc>
          <w:tcPr>
            <w:tcW w:w="11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(2,436,525)</w:t>
            </w:r>
          </w:p>
        </w:tc>
        <w:tc>
          <w:tcPr>
            <w:tcW w:w="880" w:type="dxa"/>
            <w:vAlign w:val="bottom"/>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Investment in subsidiaries and others</w:t>
            </w:r>
          </w:p>
        </w:tc>
        <w:tc>
          <w:tcPr>
            <w:tcW w:w="1540" w:type="dxa"/>
            <w:vAlign w:val="bottom"/>
          </w:tcPr>
          <w:p>
            <w:pPr>
              <w:jc w:val="right"/>
              <w:ind w:right="233"/>
              <w:spacing w:after="0"/>
              <w:rPr>
                <w:sz w:val="20"/>
                <w:szCs w:val="20"/>
                <w:color w:val="auto"/>
              </w:rPr>
            </w:pPr>
            <w:r>
              <w:rPr>
                <w:rFonts w:ascii="Arial" w:cs="Arial" w:eastAsia="Arial" w:hAnsi="Arial"/>
                <w:sz w:val="13"/>
                <w:szCs w:val="13"/>
                <w:color w:val="auto"/>
              </w:rPr>
              <w:t>(2,435,661)</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(2,774,129)</w:t>
            </w:r>
          </w:p>
        </w:tc>
        <w:tc>
          <w:tcPr>
            <w:tcW w:w="11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(2,844,248)</w:t>
            </w:r>
          </w:p>
        </w:tc>
        <w:tc>
          <w:tcPr>
            <w:tcW w:w="880" w:type="dxa"/>
            <w:vAlign w:val="bottom"/>
          </w:tcPr>
          <w:p>
            <w:pPr>
              <w:jc w:val="center"/>
              <w:spacing w:after="0"/>
              <w:rPr>
                <w:sz w:val="20"/>
                <w:szCs w:val="20"/>
                <w:color w:val="auto"/>
              </w:rPr>
            </w:pPr>
            <w:r>
              <w:rPr>
                <w:rFonts w:ascii="Arial" w:cs="Arial" w:eastAsia="Arial" w:hAnsi="Arial"/>
                <w:sz w:val="13"/>
                <w:szCs w:val="13"/>
                <w:color w:val="auto"/>
              </w:rPr>
              <w:t>2.5%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Unrealized profit and net income in subsidiaries</w:t>
            </w:r>
          </w:p>
        </w:tc>
        <w:tc>
          <w:tcPr>
            <w:tcW w:w="1540" w:type="dxa"/>
            <w:vAlign w:val="bottom"/>
          </w:tcPr>
          <w:p>
            <w:pPr>
              <w:jc w:val="right"/>
              <w:ind w:right="213"/>
              <w:spacing w:after="0"/>
              <w:rPr>
                <w:sz w:val="20"/>
                <w:szCs w:val="20"/>
                <w:color w:val="auto"/>
              </w:rPr>
            </w:pPr>
            <w:r>
              <w:rPr>
                <w:rFonts w:ascii="Arial" w:cs="Arial" w:eastAsia="Arial" w:hAnsi="Arial"/>
                <w:sz w:val="13"/>
                <w:szCs w:val="13"/>
                <w:color w:val="auto"/>
              </w:rPr>
              <w:t>171,857</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337,605</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407,723</w:t>
            </w:r>
          </w:p>
        </w:tc>
        <w:tc>
          <w:tcPr>
            <w:tcW w:w="880" w:type="dxa"/>
            <w:vAlign w:val="bottom"/>
          </w:tcPr>
          <w:p>
            <w:pPr>
              <w:jc w:val="center"/>
              <w:spacing w:after="0"/>
              <w:rPr>
                <w:sz w:val="20"/>
                <w:szCs w:val="20"/>
                <w:color w:val="auto"/>
              </w:rPr>
            </w:pPr>
            <w:r>
              <w:rPr>
                <w:rFonts w:ascii="Arial" w:cs="Arial" w:eastAsia="Arial" w:hAnsi="Arial"/>
                <w:sz w:val="13"/>
                <w:szCs w:val="13"/>
                <w:color w:val="auto"/>
              </w:rPr>
              <w:t>20.8%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137.2%</w:t>
            </w:r>
          </w:p>
        </w:tc>
        <w:tc>
          <w:tcPr>
            <w:tcW w:w="0" w:type="dxa"/>
            <w:vAlign w:val="bottom"/>
          </w:tcPr>
          <w:p>
            <w:pPr>
              <w:spacing w:after="0"/>
              <w:rPr>
                <w:sz w:val="1"/>
                <w:szCs w:val="1"/>
                <w:color w:val="auto"/>
              </w:rPr>
            </w:pPr>
          </w:p>
        </w:tc>
      </w:tr>
      <w:tr>
        <w:trPr>
          <w:trHeight w:val="149"/>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Goodwill</w:t>
            </w:r>
          </w:p>
        </w:tc>
        <w:tc>
          <w:tcPr>
            <w:tcW w:w="1540" w:type="dxa"/>
            <w:vAlign w:val="bottom"/>
          </w:tcPr>
          <w:p>
            <w:pPr>
              <w:jc w:val="right"/>
              <w:ind w:right="233"/>
              <w:spacing w:after="0"/>
              <w:rPr>
                <w:sz w:val="20"/>
                <w:szCs w:val="20"/>
                <w:color w:val="auto"/>
              </w:rPr>
            </w:pPr>
            <w:r>
              <w:rPr>
                <w:rFonts w:ascii="Arial" w:cs="Arial" w:eastAsia="Arial" w:hAnsi="Arial"/>
                <w:sz w:val="13"/>
                <w:szCs w:val="13"/>
                <w:color w:val="auto"/>
              </w:rPr>
              <w:t>(122,083)</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(122,083)</w:t>
            </w:r>
          </w:p>
        </w:tc>
        <w:tc>
          <w:tcPr>
            <w:tcW w:w="11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(122,083)</w:t>
            </w:r>
          </w:p>
        </w:tc>
        <w:tc>
          <w:tcPr>
            <w:tcW w:w="880" w:type="dxa"/>
            <w:vAlign w:val="bottom"/>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1"/>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Total Regulatory Capital - SBS</w:t>
            </w:r>
          </w:p>
        </w:tc>
        <w:tc>
          <w:tcPr>
            <w:tcW w:w="15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22,772,151</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24,354,019</w:t>
            </w:r>
          </w:p>
        </w:tc>
        <w:tc>
          <w:tcPr>
            <w:tcW w:w="11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23,364,361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2.6%</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440" w:type="dxa"/>
            <w:vAlign w:val="bottom"/>
            <w:tcBorders>
              <w:left w:val="single" w:sz="8" w:color="auto"/>
              <w:bottom w:val="single" w:sz="8" w:color="auto"/>
              <w:right w:val="single" w:sz="8" w:color="auto"/>
            </w:tcBorders>
          </w:tcPr>
          <w:p>
            <w:pPr>
              <w:ind w:left="40"/>
              <w:spacing w:after="0" w:line="144" w:lineRule="exact"/>
              <w:rPr>
                <w:sz w:val="20"/>
                <w:szCs w:val="20"/>
                <w:color w:val="auto"/>
              </w:rPr>
            </w:pPr>
            <w:r>
              <w:rPr>
                <w:rFonts w:ascii="Arial" w:cs="Arial" w:eastAsia="Arial" w:hAnsi="Arial"/>
                <w:sz w:val="13"/>
                <w:szCs w:val="13"/>
                <w:b w:val="1"/>
                <w:bCs w:val="1"/>
                <w:color w:val="auto"/>
              </w:rPr>
              <w:t>Off-balance sheet</w:t>
            </w:r>
          </w:p>
        </w:tc>
        <w:tc>
          <w:tcPr>
            <w:tcW w:w="15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color w:val="auto"/>
              </w:rPr>
              <w:t>94,628,498</w:t>
            </w:r>
          </w:p>
        </w:tc>
        <w:tc>
          <w:tcPr>
            <w:tcW w:w="13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color w:val="auto"/>
              </w:rPr>
              <w:t>94,156,153</w:t>
            </w:r>
          </w:p>
        </w:tc>
        <w:tc>
          <w:tcPr>
            <w:tcW w:w="1140" w:type="dxa"/>
            <w:vAlign w:val="bottom"/>
            <w:tcBorders>
              <w:bottom w:val="single" w:sz="8" w:color="auto"/>
              <w:right w:val="single" w:sz="8" w:color="auto"/>
            </w:tcBorders>
          </w:tcPr>
          <w:p>
            <w:pPr>
              <w:jc w:val="right"/>
              <w:ind w:right="53"/>
              <w:spacing w:after="0" w:line="144" w:lineRule="exact"/>
              <w:rPr>
                <w:sz w:val="20"/>
                <w:szCs w:val="20"/>
                <w:color w:val="auto"/>
              </w:rPr>
            </w:pPr>
            <w:r>
              <w:rPr>
                <w:rFonts w:ascii="Arial" w:cs="Arial" w:eastAsia="Arial" w:hAnsi="Arial"/>
                <w:sz w:val="13"/>
                <w:szCs w:val="13"/>
                <w:color w:val="auto"/>
              </w:rPr>
              <w:t>93,211,649</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color w:val="auto"/>
              </w:rPr>
              <w:t>-1.0%</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9"/>
              </w:rPr>
              <w:t>-1.5%</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544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9"/>
                <w:szCs w:val="9"/>
                <w:color w:val="auto"/>
              </w:rPr>
              <w:t xml:space="preserve">Regulatory Tier 1 Capital </w:t>
            </w:r>
            <w:r>
              <w:rPr>
                <w:rFonts w:ascii="Arial" w:cs="Arial" w:eastAsia="Arial" w:hAnsi="Arial"/>
                <w:sz w:val="13"/>
                <w:szCs w:val="13"/>
                <w:color w:val="auto"/>
                <w:vertAlign w:val="superscript"/>
              </w:rPr>
              <w:t>(2)</w:t>
            </w:r>
          </w:p>
        </w:tc>
        <w:tc>
          <w:tcPr>
            <w:tcW w:w="1540" w:type="dxa"/>
            <w:vAlign w:val="bottom"/>
          </w:tcPr>
          <w:p>
            <w:pPr>
              <w:jc w:val="right"/>
              <w:ind w:right="253"/>
              <w:spacing w:after="0" w:line="121" w:lineRule="exact"/>
              <w:rPr>
                <w:sz w:val="20"/>
                <w:szCs w:val="20"/>
                <w:color w:val="auto"/>
              </w:rPr>
            </w:pPr>
            <w:r>
              <w:rPr>
                <w:rFonts w:ascii="Arial" w:cs="Arial" w:eastAsia="Arial" w:hAnsi="Arial"/>
                <w:sz w:val="13"/>
                <w:szCs w:val="13"/>
                <w:color w:val="auto"/>
              </w:rPr>
              <w:t>15,142,988</w:t>
            </w:r>
          </w:p>
        </w:tc>
        <w:tc>
          <w:tcPr>
            <w:tcW w:w="1340" w:type="dxa"/>
            <w:vAlign w:val="bottom"/>
          </w:tcPr>
          <w:p>
            <w:pPr>
              <w:jc w:val="right"/>
              <w:ind w:right="253"/>
              <w:spacing w:after="0" w:line="121" w:lineRule="exact"/>
              <w:rPr>
                <w:sz w:val="20"/>
                <w:szCs w:val="20"/>
                <w:color w:val="auto"/>
              </w:rPr>
            </w:pPr>
            <w:r>
              <w:rPr>
                <w:rFonts w:ascii="Arial" w:cs="Arial" w:eastAsia="Arial" w:hAnsi="Arial"/>
                <w:sz w:val="13"/>
                <w:szCs w:val="13"/>
                <w:color w:val="auto"/>
              </w:rPr>
              <w:t>16,219,133</w:t>
            </w:r>
          </w:p>
        </w:tc>
        <w:tc>
          <w:tcPr>
            <w:tcW w:w="1140" w:type="dxa"/>
            <w:vAlign w:val="bottom"/>
            <w:tcBorders>
              <w:right w:val="single" w:sz="8" w:color="auto"/>
            </w:tcBorders>
          </w:tcPr>
          <w:p>
            <w:pPr>
              <w:jc w:val="right"/>
              <w:ind w:right="53"/>
              <w:spacing w:after="0" w:line="121" w:lineRule="exact"/>
              <w:rPr>
                <w:sz w:val="20"/>
                <w:szCs w:val="20"/>
                <w:color w:val="auto"/>
              </w:rPr>
            </w:pPr>
            <w:r>
              <w:rPr>
                <w:rFonts w:ascii="Arial" w:cs="Arial" w:eastAsia="Arial" w:hAnsi="Arial"/>
                <w:sz w:val="13"/>
                <w:szCs w:val="13"/>
                <w:color w:val="auto"/>
              </w:rPr>
              <w:t>16,219,133</w:t>
            </w: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74"/>
        </w:trPr>
        <w:tc>
          <w:tcPr>
            <w:tcW w:w="5440" w:type="dxa"/>
            <w:vAlign w:val="bottom"/>
            <w:tcBorders>
              <w:left w:val="single" w:sz="8" w:color="auto"/>
              <w:bottom w:val="single" w:sz="8" w:color="auto"/>
              <w:right w:val="single" w:sz="8" w:color="auto"/>
            </w:tcBorders>
          </w:tcPr>
          <w:p>
            <w:pPr>
              <w:ind w:left="40"/>
              <w:spacing w:after="0" w:line="174" w:lineRule="exact"/>
              <w:rPr>
                <w:sz w:val="20"/>
                <w:szCs w:val="20"/>
                <w:color w:val="auto"/>
              </w:rPr>
            </w:pPr>
            <w:r>
              <w:rPr>
                <w:rFonts w:ascii="Arial" w:cs="Arial" w:eastAsia="Arial" w:hAnsi="Arial"/>
                <w:sz w:val="12"/>
                <w:szCs w:val="12"/>
                <w:color w:val="auto"/>
              </w:rPr>
              <w:t xml:space="preserve">Regulatory Tier 2 Capital </w:t>
            </w:r>
            <w:r>
              <w:rPr>
                <w:rFonts w:ascii="Arial" w:cs="Arial" w:eastAsia="Arial" w:hAnsi="Arial"/>
                <w:sz w:val="20"/>
                <w:szCs w:val="20"/>
                <w:color w:val="auto"/>
                <w:vertAlign w:val="superscript"/>
              </w:rPr>
              <w:t>(3)</w:t>
            </w:r>
          </w:p>
        </w:tc>
        <w:tc>
          <w:tcPr>
            <w:tcW w:w="15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7,629,163</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8,134,886</w:t>
            </w:r>
          </w:p>
        </w:tc>
        <w:tc>
          <w:tcPr>
            <w:tcW w:w="11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7,145,228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-6.3%</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440" w:type="dxa"/>
            <w:vAlign w:val="bottom"/>
            <w:tcBorders>
              <w:left w:val="single" w:sz="8" w:color="auto"/>
              <w:bottom w:val="single" w:sz="8" w:color="auto"/>
              <w:right w:val="single" w:sz="8" w:color="auto"/>
            </w:tcBorders>
          </w:tcPr>
          <w:p>
            <w:pPr>
              <w:ind w:left="40"/>
              <w:spacing w:after="0" w:line="144" w:lineRule="exact"/>
              <w:rPr>
                <w:sz w:val="20"/>
                <w:szCs w:val="20"/>
                <w:color w:val="auto"/>
              </w:rPr>
            </w:pPr>
            <w:r>
              <w:rPr>
                <w:rFonts w:ascii="Arial" w:cs="Arial" w:eastAsia="Arial" w:hAnsi="Arial"/>
                <w:sz w:val="10"/>
                <w:szCs w:val="10"/>
                <w:b w:val="1"/>
                <w:bCs w:val="1"/>
                <w:color w:val="auto"/>
              </w:rPr>
              <w:t xml:space="preserve">Total risk-weighted assets - SBS </w:t>
            </w:r>
            <w:r>
              <w:rPr>
                <w:rFonts w:ascii="Arial" w:cs="Arial" w:eastAsia="Arial" w:hAnsi="Arial"/>
                <w:sz w:val="16"/>
                <w:szCs w:val="16"/>
                <w:b w:val="1"/>
                <w:bCs w:val="1"/>
                <w:color w:val="auto"/>
                <w:vertAlign w:val="superscript"/>
              </w:rPr>
              <w:t>(4)</w:t>
            </w:r>
          </w:p>
        </w:tc>
        <w:tc>
          <w:tcPr>
            <w:tcW w:w="15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152,376,235</w:t>
            </w:r>
          </w:p>
        </w:tc>
        <w:tc>
          <w:tcPr>
            <w:tcW w:w="13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163,140,250</w:t>
            </w:r>
          </w:p>
        </w:tc>
        <w:tc>
          <w:tcPr>
            <w:tcW w:w="1140" w:type="dxa"/>
            <w:vAlign w:val="bottom"/>
            <w:tcBorders>
              <w:bottom w:val="single" w:sz="8" w:color="auto"/>
              <w:right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161,938,838</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-0.7%</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121"/>
        </w:trPr>
        <w:tc>
          <w:tcPr>
            <w:tcW w:w="544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13"/>
                <w:szCs w:val="13"/>
                <w:color w:val="auto"/>
              </w:rPr>
              <w:t>Credit risk-weighted assets</w:t>
            </w:r>
          </w:p>
        </w:tc>
        <w:tc>
          <w:tcPr>
            <w:tcW w:w="1540" w:type="dxa"/>
            <w:vAlign w:val="bottom"/>
          </w:tcPr>
          <w:p>
            <w:pPr>
              <w:jc w:val="right"/>
              <w:ind w:right="253"/>
              <w:spacing w:after="0" w:line="121" w:lineRule="exact"/>
              <w:rPr>
                <w:sz w:val="20"/>
                <w:szCs w:val="20"/>
                <w:color w:val="auto"/>
              </w:rPr>
            </w:pPr>
            <w:r>
              <w:rPr>
                <w:rFonts w:ascii="Arial" w:cs="Arial" w:eastAsia="Arial" w:hAnsi="Arial"/>
                <w:sz w:val="13"/>
                <w:szCs w:val="13"/>
                <w:color w:val="auto"/>
              </w:rPr>
              <w:t>137,707,535</w:t>
            </w:r>
          </w:p>
        </w:tc>
        <w:tc>
          <w:tcPr>
            <w:tcW w:w="1340" w:type="dxa"/>
            <w:vAlign w:val="bottom"/>
          </w:tcPr>
          <w:p>
            <w:pPr>
              <w:jc w:val="right"/>
              <w:ind w:right="253"/>
              <w:spacing w:after="0" w:line="121" w:lineRule="exact"/>
              <w:rPr>
                <w:sz w:val="20"/>
                <w:szCs w:val="20"/>
                <w:color w:val="auto"/>
              </w:rPr>
            </w:pPr>
            <w:r>
              <w:rPr>
                <w:rFonts w:ascii="Arial" w:cs="Arial" w:eastAsia="Arial" w:hAnsi="Arial"/>
                <w:sz w:val="13"/>
                <w:szCs w:val="13"/>
                <w:color w:val="auto"/>
              </w:rPr>
              <w:t>146,511,610</w:t>
            </w:r>
          </w:p>
        </w:tc>
        <w:tc>
          <w:tcPr>
            <w:tcW w:w="1140" w:type="dxa"/>
            <w:vAlign w:val="bottom"/>
            <w:tcBorders>
              <w:right w:val="single" w:sz="8" w:color="auto"/>
            </w:tcBorders>
          </w:tcPr>
          <w:p>
            <w:pPr>
              <w:jc w:val="right"/>
              <w:ind w:right="53"/>
              <w:spacing w:after="0" w:line="121" w:lineRule="exact"/>
              <w:rPr>
                <w:sz w:val="20"/>
                <w:szCs w:val="20"/>
                <w:color w:val="auto"/>
              </w:rPr>
            </w:pPr>
            <w:r>
              <w:rPr>
                <w:rFonts w:ascii="Arial" w:cs="Arial" w:eastAsia="Arial" w:hAnsi="Arial"/>
                <w:sz w:val="13"/>
                <w:szCs w:val="13"/>
                <w:color w:val="auto"/>
              </w:rPr>
              <w:t>145,968,020</w:t>
            </w: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rPr>
              <w:t>-0.4%</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6"/>
        </w:trPr>
        <w:tc>
          <w:tcPr>
            <w:tcW w:w="5440" w:type="dxa"/>
            <w:vAlign w:val="bottom"/>
            <w:tcBorders>
              <w:left w:val="single" w:sz="8" w:color="auto"/>
              <w:right w:val="single" w:sz="8" w:color="auto"/>
            </w:tcBorders>
          </w:tcPr>
          <w:p>
            <w:pPr>
              <w:ind w:left="40"/>
              <w:spacing w:after="0" w:line="166" w:lineRule="exact"/>
              <w:rPr>
                <w:sz w:val="20"/>
                <w:szCs w:val="20"/>
                <w:color w:val="auto"/>
              </w:rPr>
            </w:pPr>
            <w:r>
              <w:rPr>
                <w:rFonts w:ascii="Arial" w:cs="Arial" w:eastAsia="Arial" w:hAnsi="Arial"/>
                <w:sz w:val="12"/>
                <w:szCs w:val="12"/>
                <w:color w:val="auto"/>
              </w:rPr>
              <w:t xml:space="preserve">Market risk-weighted assets </w:t>
            </w:r>
            <w:r>
              <w:rPr>
                <w:rFonts w:ascii="Arial" w:cs="Arial" w:eastAsia="Arial" w:hAnsi="Arial"/>
                <w:sz w:val="19"/>
                <w:szCs w:val="19"/>
                <w:color w:val="auto"/>
                <w:vertAlign w:val="superscript"/>
              </w:rPr>
              <w:t>(5)</w:t>
            </w:r>
          </w:p>
        </w:tc>
        <w:tc>
          <w:tcPr>
            <w:tcW w:w="1540" w:type="dxa"/>
            <w:vAlign w:val="bottom"/>
          </w:tcPr>
          <w:p>
            <w:pPr>
              <w:jc w:val="right"/>
              <w:ind w:right="253"/>
              <w:spacing w:after="0"/>
              <w:rPr>
                <w:sz w:val="20"/>
                <w:szCs w:val="20"/>
                <w:color w:val="auto"/>
              </w:rPr>
            </w:pPr>
            <w:r>
              <w:rPr>
                <w:rFonts w:ascii="Arial" w:cs="Arial" w:eastAsia="Arial" w:hAnsi="Arial"/>
                <w:sz w:val="13"/>
                <w:szCs w:val="13"/>
                <w:color w:val="auto"/>
              </w:rPr>
              <w:t>2,408,770</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2,618,693</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1,560,281</w:t>
            </w:r>
          </w:p>
        </w:tc>
        <w:tc>
          <w:tcPr>
            <w:tcW w:w="880" w:type="dxa"/>
            <w:vAlign w:val="bottom"/>
          </w:tcPr>
          <w:p>
            <w:pPr>
              <w:jc w:val="center"/>
              <w:spacing w:after="0"/>
              <w:rPr>
                <w:sz w:val="20"/>
                <w:szCs w:val="20"/>
                <w:color w:val="auto"/>
              </w:rPr>
            </w:pPr>
            <w:r>
              <w:rPr>
                <w:rFonts w:ascii="Arial" w:cs="Arial" w:eastAsia="Arial" w:hAnsi="Arial"/>
                <w:sz w:val="13"/>
                <w:szCs w:val="13"/>
                <w:color w:val="auto"/>
              </w:rPr>
              <w:t>-40.4%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59"/>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Operational risk-weighted assets</w:t>
            </w:r>
          </w:p>
        </w:tc>
        <w:tc>
          <w:tcPr>
            <w:tcW w:w="15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12,259,930</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14,009,947</w:t>
            </w:r>
          </w:p>
        </w:tc>
        <w:tc>
          <w:tcPr>
            <w:tcW w:w="11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14,410,537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2.9%</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440" w:type="dxa"/>
            <w:vAlign w:val="bottom"/>
            <w:tcBorders>
              <w:left w:val="single" w:sz="8" w:color="auto"/>
              <w:bottom w:val="single" w:sz="8" w:color="auto"/>
              <w:right w:val="single" w:sz="8" w:color="auto"/>
            </w:tcBorders>
          </w:tcPr>
          <w:p>
            <w:pPr>
              <w:ind w:left="40"/>
              <w:spacing w:after="0" w:line="144" w:lineRule="exact"/>
              <w:rPr>
                <w:sz w:val="20"/>
                <w:szCs w:val="20"/>
                <w:color w:val="auto"/>
              </w:rPr>
            </w:pPr>
            <w:r>
              <w:rPr>
                <w:rFonts w:ascii="Arial" w:cs="Arial" w:eastAsia="Arial" w:hAnsi="Arial"/>
                <w:sz w:val="13"/>
                <w:szCs w:val="13"/>
                <w:b w:val="1"/>
                <w:bCs w:val="1"/>
                <w:color w:val="auto"/>
              </w:rPr>
              <w:t>Total capital requirement - SBS</w:t>
            </w:r>
          </w:p>
        </w:tc>
        <w:tc>
          <w:tcPr>
            <w:tcW w:w="15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14,433,033</w:t>
            </w:r>
          </w:p>
        </w:tc>
        <w:tc>
          <w:tcPr>
            <w:tcW w:w="13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16,360,962</w:t>
            </w:r>
          </w:p>
        </w:tc>
        <w:tc>
          <w:tcPr>
            <w:tcW w:w="1140" w:type="dxa"/>
            <w:vAlign w:val="bottom"/>
            <w:tcBorders>
              <w:bottom w:val="single" w:sz="8" w:color="auto"/>
              <w:right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17,730,539</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8.4%</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22.8%</w:t>
            </w:r>
          </w:p>
        </w:tc>
        <w:tc>
          <w:tcPr>
            <w:tcW w:w="0" w:type="dxa"/>
            <w:vAlign w:val="bottom"/>
          </w:tcPr>
          <w:p>
            <w:pPr>
              <w:spacing w:after="0"/>
              <w:rPr>
                <w:sz w:val="1"/>
                <w:szCs w:val="1"/>
                <w:color w:val="auto"/>
              </w:rPr>
            </w:pPr>
          </w:p>
        </w:tc>
      </w:tr>
      <w:tr>
        <w:trPr>
          <w:trHeight w:val="136"/>
        </w:trPr>
        <w:tc>
          <w:tcPr>
            <w:tcW w:w="5440" w:type="dxa"/>
            <w:vAlign w:val="bottom"/>
            <w:tcBorders>
              <w:left w:val="single" w:sz="8" w:color="auto"/>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Credit risk capital requirement</w:t>
            </w:r>
          </w:p>
        </w:tc>
        <w:tc>
          <w:tcPr>
            <w:tcW w:w="15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11,016,603</w:t>
            </w:r>
          </w:p>
        </w:tc>
        <w:tc>
          <w:tcPr>
            <w:tcW w:w="13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12,453,487</w:t>
            </w:r>
          </w:p>
        </w:tc>
        <w:tc>
          <w:tcPr>
            <w:tcW w:w="114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12,407,282</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-0.4%</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Market risk capital requirement</w:t>
            </w:r>
          </w:p>
        </w:tc>
        <w:tc>
          <w:tcPr>
            <w:tcW w:w="1540" w:type="dxa"/>
            <w:vAlign w:val="bottom"/>
          </w:tcPr>
          <w:p>
            <w:pPr>
              <w:jc w:val="right"/>
              <w:ind w:right="253"/>
              <w:spacing w:after="0"/>
              <w:rPr>
                <w:sz w:val="20"/>
                <w:szCs w:val="20"/>
                <w:color w:val="auto"/>
              </w:rPr>
            </w:pPr>
            <w:r>
              <w:rPr>
                <w:rFonts w:ascii="Arial" w:cs="Arial" w:eastAsia="Arial" w:hAnsi="Arial"/>
                <w:sz w:val="13"/>
                <w:szCs w:val="13"/>
                <w:color w:val="auto"/>
              </w:rPr>
              <w:t>240,877</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261,869</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156,028</w:t>
            </w:r>
          </w:p>
        </w:tc>
        <w:tc>
          <w:tcPr>
            <w:tcW w:w="880" w:type="dxa"/>
            <w:vAlign w:val="bottom"/>
          </w:tcPr>
          <w:p>
            <w:pPr>
              <w:jc w:val="center"/>
              <w:spacing w:after="0"/>
              <w:rPr>
                <w:sz w:val="20"/>
                <w:szCs w:val="20"/>
                <w:color w:val="auto"/>
              </w:rPr>
            </w:pPr>
            <w:r>
              <w:rPr>
                <w:rFonts w:ascii="Arial" w:cs="Arial" w:eastAsia="Arial" w:hAnsi="Arial"/>
                <w:sz w:val="13"/>
                <w:szCs w:val="13"/>
                <w:color w:val="auto"/>
              </w:rPr>
              <w:t>-40.4%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Operational risk capital requirement</w:t>
            </w:r>
          </w:p>
        </w:tc>
        <w:tc>
          <w:tcPr>
            <w:tcW w:w="1540" w:type="dxa"/>
            <w:vAlign w:val="bottom"/>
          </w:tcPr>
          <w:p>
            <w:pPr>
              <w:jc w:val="right"/>
              <w:ind w:right="253"/>
              <w:spacing w:after="0"/>
              <w:rPr>
                <w:sz w:val="20"/>
                <w:szCs w:val="20"/>
                <w:color w:val="auto"/>
              </w:rPr>
            </w:pPr>
            <w:r>
              <w:rPr>
                <w:rFonts w:ascii="Arial" w:cs="Arial" w:eastAsia="Arial" w:hAnsi="Arial"/>
                <w:sz w:val="13"/>
                <w:szCs w:val="13"/>
                <w:color w:val="auto"/>
              </w:rPr>
              <w:t>1,225,993</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1,400,995</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1,441,054</w:t>
            </w:r>
          </w:p>
        </w:tc>
        <w:tc>
          <w:tcPr>
            <w:tcW w:w="880" w:type="dxa"/>
            <w:vAlign w:val="bottom"/>
          </w:tcPr>
          <w:p>
            <w:pPr>
              <w:jc w:val="center"/>
              <w:spacing w:after="0"/>
              <w:rPr>
                <w:sz w:val="20"/>
                <w:szCs w:val="20"/>
                <w:color w:val="auto"/>
              </w:rPr>
            </w:pPr>
            <w:r>
              <w:rPr>
                <w:rFonts w:ascii="Arial" w:cs="Arial" w:eastAsia="Arial" w:hAnsi="Arial"/>
                <w:sz w:val="13"/>
                <w:szCs w:val="13"/>
                <w:color w:val="auto"/>
              </w:rPr>
              <w:t>2.9%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59"/>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Additional capital requirements</w:t>
            </w:r>
          </w:p>
        </w:tc>
        <w:tc>
          <w:tcPr>
            <w:tcW w:w="15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1,949,560</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2,244,611</w:t>
            </w:r>
          </w:p>
        </w:tc>
        <w:tc>
          <w:tcPr>
            <w:tcW w:w="11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3,726,175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66.0%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91.1%</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440" w:type="dxa"/>
            <w:vAlign w:val="bottom"/>
            <w:tcBorders>
              <w:left w:val="single" w:sz="8" w:color="auto"/>
              <w:bottom w:val="single" w:sz="8" w:color="auto"/>
              <w:right w:val="single" w:sz="8" w:color="auto"/>
            </w:tcBorders>
          </w:tcPr>
          <w:p>
            <w:pPr>
              <w:ind w:left="40"/>
              <w:spacing w:after="0" w:line="144" w:lineRule="exact"/>
              <w:rPr>
                <w:sz w:val="20"/>
                <w:szCs w:val="20"/>
                <w:color w:val="auto"/>
              </w:rPr>
            </w:pPr>
            <w:r>
              <w:rPr>
                <w:rFonts w:ascii="Arial" w:cs="Arial" w:eastAsia="Arial" w:hAnsi="Arial"/>
                <w:sz w:val="10"/>
                <w:szCs w:val="10"/>
                <w:b w:val="1"/>
                <w:bCs w:val="1"/>
                <w:color w:val="auto"/>
              </w:rPr>
              <w:t xml:space="preserve">Common Equity Tier 1 - Basel IFRS </w:t>
            </w:r>
            <w:r>
              <w:rPr>
                <w:rFonts w:ascii="Arial" w:cs="Arial" w:eastAsia="Arial" w:hAnsi="Arial"/>
                <w:sz w:val="16"/>
                <w:szCs w:val="16"/>
                <w:b w:val="1"/>
                <w:bCs w:val="1"/>
                <w:color w:val="auto"/>
                <w:vertAlign w:val="superscript"/>
              </w:rPr>
              <w:t>(6)</w:t>
            </w:r>
          </w:p>
        </w:tc>
        <w:tc>
          <w:tcPr>
            <w:tcW w:w="15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17,024,608</w:t>
            </w:r>
          </w:p>
        </w:tc>
        <w:tc>
          <w:tcPr>
            <w:tcW w:w="13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18,084,114</w:t>
            </w:r>
          </w:p>
        </w:tc>
        <w:tc>
          <w:tcPr>
            <w:tcW w:w="1140" w:type="dxa"/>
            <w:vAlign w:val="bottom"/>
            <w:tcBorders>
              <w:bottom w:val="single" w:sz="8" w:color="auto"/>
              <w:right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18,949,687</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1.6%</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19.8%</w:t>
            </w:r>
          </w:p>
        </w:tc>
        <w:tc>
          <w:tcPr>
            <w:tcW w:w="0" w:type="dxa"/>
            <w:vAlign w:val="bottom"/>
          </w:tcPr>
          <w:p>
            <w:pPr>
              <w:spacing w:after="0"/>
              <w:rPr>
                <w:sz w:val="1"/>
                <w:szCs w:val="1"/>
                <w:color w:val="auto"/>
              </w:rPr>
            </w:pPr>
          </w:p>
        </w:tc>
      </w:tr>
      <w:tr>
        <w:trPr>
          <w:trHeight w:val="136"/>
        </w:trPr>
        <w:tc>
          <w:tcPr>
            <w:tcW w:w="5440" w:type="dxa"/>
            <w:vAlign w:val="bottom"/>
            <w:tcBorders>
              <w:left w:val="single" w:sz="8" w:color="auto"/>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Capital and reserves</w:t>
            </w:r>
          </w:p>
        </w:tc>
        <w:tc>
          <w:tcPr>
            <w:tcW w:w="15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17,512,975</w:t>
            </w:r>
          </w:p>
        </w:tc>
        <w:tc>
          <w:tcPr>
            <w:tcW w:w="13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19,181,019</w:t>
            </w:r>
          </w:p>
        </w:tc>
        <w:tc>
          <w:tcPr>
            <w:tcW w:w="114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18,423,649</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Retained earnings</w:t>
            </w:r>
          </w:p>
        </w:tc>
        <w:tc>
          <w:tcPr>
            <w:tcW w:w="1540" w:type="dxa"/>
            <w:vAlign w:val="bottom"/>
          </w:tcPr>
          <w:p>
            <w:pPr>
              <w:jc w:val="right"/>
              <w:ind w:right="253"/>
              <w:spacing w:after="0"/>
              <w:rPr>
                <w:sz w:val="20"/>
                <w:szCs w:val="20"/>
                <w:color w:val="auto"/>
              </w:rPr>
            </w:pPr>
            <w:r>
              <w:rPr>
                <w:rFonts w:ascii="Arial" w:cs="Arial" w:eastAsia="Arial" w:hAnsi="Arial"/>
                <w:sz w:val="13"/>
                <w:szCs w:val="13"/>
                <w:color w:val="auto"/>
              </w:rPr>
              <w:t>3,615,646</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4,187,468</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5,249,495</w:t>
            </w:r>
          </w:p>
        </w:tc>
        <w:tc>
          <w:tcPr>
            <w:tcW w:w="880" w:type="dxa"/>
            <w:vAlign w:val="bottom"/>
          </w:tcPr>
          <w:p>
            <w:pPr>
              <w:jc w:val="center"/>
              <w:spacing w:after="0"/>
              <w:rPr>
                <w:sz w:val="20"/>
                <w:szCs w:val="20"/>
                <w:color w:val="auto"/>
              </w:rPr>
            </w:pPr>
            <w:r>
              <w:rPr>
                <w:rFonts w:ascii="Arial" w:cs="Arial" w:eastAsia="Arial" w:hAnsi="Arial"/>
                <w:sz w:val="13"/>
                <w:szCs w:val="13"/>
                <w:color w:val="auto"/>
              </w:rPr>
              <w:t>41.1%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Unrealized gains (losses)</w:t>
            </w:r>
          </w:p>
        </w:tc>
        <w:tc>
          <w:tcPr>
            <w:tcW w:w="1540" w:type="dxa"/>
            <w:vAlign w:val="bottom"/>
          </w:tcPr>
          <w:p>
            <w:pPr>
              <w:jc w:val="right"/>
              <w:ind w:right="233"/>
              <w:spacing w:after="0"/>
              <w:rPr>
                <w:sz w:val="20"/>
                <w:szCs w:val="20"/>
                <w:color w:val="auto"/>
              </w:rPr>
            </w:pPr>
            <w:r>
              <w:rPr>
                <w:rFonts w:ascii="Arial" w:cs="Arial" w:eastAsia="Arial" w:hAnsi="Arial"/>
                <w:sz w:val="13"/>
                <w:szCs w:val="13"/>
                <w:color w:val="auto"/>
              </w:rPr>
              <w:t>(495,371)</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(1,274,918)</w:t>
            </w:r>
          </w:p>
        </w:tc>
        <w:tc>
          <w:tcPr>
            <w:tcW w:w="11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(549,319)</w:t>
            </w:r>
          </w:p>
        </w:tc>
        <w:tc>
          <w:tcPr>
            <w:tcW w:w="880" w:type="dxa"/>
            <w:vAlign w:val="bottom"/>
          </w:tcPr>
          <w:p>
            <w:pPr>
              <w:jc w:val="center"/>
              <w:spacing w:after="0"/>
              <w:rPr>
                <w:sz w:val="20"/>
                <w:szCs w:val="20"/>
                <w:color w:val="auto"/>
              </w:rPr>
            </w:pPr>
            <w:r>
              <w:rPr>
                <w:rFonts w:ascii="Arial" w:cs="Arial" w:eastAsia="Arial" w:hAnsi="Arial"/>
                <w:sz w:val="13"/>
                <w:szCs w:val="13"/>
                <w:color w:val="auto"/>
              </w:rPr>
              <w:t>-21.1%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Goodwill and intangibles</w:t>
            </w:r>
          </w:p>
        </w:tc>
        <w:tc>
          <w:tcPr>
            <w:tcW w:w="1540" w:type="dxa"/>
            <w:vAlign w:val="bottom"/>
          </w:tcPr>
          <w:p>
            <w:pPr>
              <w:jc w:val="right"/>
              <w:ind w:right="233"/>
              <w:spacing w:after="0"/>
              <w:rPr>
                <w:sz w:val="20"/>
                <w:szCs w:val="20"/>
                <w:color w:val="auto"/>
              </w:rPr>
            </w:pPr>
            <w:r>
              <w:rPr>
                <w:rFonts w:ascii="Arial" w:cs="Arial" w:eastAsia="Arial" w:hAnsi="Arial"/>
                <w:sz w:val="13"/>
                <w:szCs w:val="13"/>
                <w:color w:val="auto"/>
              </w:rPr>
              <w:t>(1,302,414)</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(1,355,924)</w:t>
            </w:r>
          </w:p>
        </w:tc>
        <w:tc>
          <w:tcPr>
            <w:tcW w:w="11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(1,472,073)</w:t>
            </w:r>
          </w:p>
        </w:tc>
        <w:tc>
          <w:tcPr>
            <w:tcW w:w="88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Investments in subsidiaries</w:t>
            </w:r>
          </w:p>
        </w:tc>
        <w:tc>
          <w:tcPr>
            <w:tcW w:w="15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(2,306,228)</w:t>
            </w: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(2,653,531)</w:t>
            </w:r>
          </w:p>
        </w:tc>
        <w:tc>
          <w:tcPr>
            <w:tcW w:w="11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(2,702,065)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440" w:type="dxa"/>
            <w:vAlign w:val="bottom"/>
            <w:tcBorders>
              <w:left w:val="single" w:sz="8" w:color="auto"/>
              <w:bottom w:val="single" w:sz="8" w:color="auto"/>
              <w:right w:val="single" w:sz="8" w:color="auto"/>
            </w:tcBorders>
          </w:tcPr>
          <w:p>
            <w:pPr>
              <w:ind w:left="40"/>
              <w:spacing w:after="0" w:line="144" w:lineRule="exact"/>
              <w:rPr>
                <w:sz w:val="20"/>
                <w:szCs w:val="20"/>
                <w:color w:val="auto"/>
              </w:rPr>
            </w:pPr>
            <w:r>
              <w:rPr>
                <w:rFonts w:ascii="Arial" w:cs="Arial" w:eastAsia="Arial" w:hAnsi="Arial"/>
                <w:sz w:val="10"/>
                <w:szCs w:val="10"/>
                <w:b w:val="1"/>
                <w:bCs w:val="1"/>
                <w:color w:val="auto"/>
              </w:rPr>
              <w:t xml:space="preserve">Risk-Weighted Assets - Basel IFRS </w:t>
            </w:r>
            <w:r>
              <w:rPr>
                <w:rFonts w:ascii="Arial" w:cs="Arial" w:eastAsia="Arial" w:hAnsi="Arial"/>
                <w:sz w:val="16"/>
                <w:szCs w:val="16"/>
                <w:b w:val="1"/>
                <w:bCs w:val="1"/>
                <w:color w:val="auto"/>
                <w:vertAlign w:val="superscript"/>
              </w:rPr>
              <w:t>(7)</w:t>
            </w:r>
          </w:p>
        </w:tc>
        <w:tc>
          <w:tcPr>
            <w:tcW w:w="15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142,915,780</w:t>
            </w:r>
          </w:p>
        </w:tc>
        <w:tc>
          <w:tcPr>
            <w:tcW w:w="13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152,849,186</w:t>
            </w:r>
          </w:p>
        </w:tc>
        <w:tc>
          <w:tcPr>
            <w:tcW w:w="1140" w:type="dxa"/>
            <w:vAlign w:val="bottom"/>
            <w:tcBorders>
              <w:bottom w:val="single" w:sz="8" w:color="auto"/>
              <w:right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150,535,662</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-1.5%</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5.3%</w:t>
            </w:r>
          </w:p>
        </w:tc>
        <w:tc>
          <w:tcPr>
            <w:tcW w:w="0" w:type="dxa"/>
            <w:vAlign w:val="bottom"/>
          </w:tcPr>
          <w:p>
            <w:pPr>
              <w:spacing w:after="0"/>
              <w:rPr>
                <w:sz w:val="1"/>
                <w:szCs w:val="1"/>
                <w:color w:val="auto"/>
              </w:rPr>
            </w:pPr>
          </w:p>
        </w:tc>
      </w:tr>
      <w:tr>
        <w:trPr>
          <w:trHeight w:val="136"/>
        </w:trPr>
        <w:tc>
          <w:tcPr>
            <w:tcW w:w="5440" w:type="dxa"/>
            <w:vAlign w:val="bottom"/>
            <w:tcBorders>
              <w:left w:val="single" w:sz="8" w:color="auto"/>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Total risk-weighted assets</w:t>
            </w:r>
          </w:p>
        </w:tc>
        <w:tc>
          <w:tcPr>
            <w:tcW w:w="15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152,376,235</w:t>
            </w:r>
          </w:p>
        </w:tc>
        <w:tc>
          <w:tcPr>
            <w:tcW w:w="13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163,140,250</w:t>
            </w:r>
          </w:p>
        </w:tc>
        <w:tc>
          <w:tcPr>
            <w:tcW w:w="114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161,938,838</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-0.7%</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 RWA Intangible assets, excluding goodwill.</w:t>
            </w:r>
          </w:p>
        </w:tc>
        <w:tc>
          <w:tcPr>
            <w:tcW w:w="1540" w:type="dxa"/>
            <w:vAlign w:val="bottom"/>
          </w:tcPr>
          <w:p>
            <w:pPr>
              <w:jc w:val="right"/>
              <w:ind w:right="253"/>
              <w:spacing w:after="0"/>
              <w:rPr>
                <w:sz w:val="20"/>
                <w:szCs w:val="20"/>
                <w:color w:val="auto"/>
              </w:rPr>
            </w:pPr>
            <w:r>
              <w:rPr>
                <w:rFonts w:ascii="Arial" w:cs="Arial" w:eastAsia="Arial" w:hAnsi="Arial"/>
                <w:sz w:val="13"/>
                <w:szCs w:val="13"/>
                <w:color w:val="auto"/>
              </w:rPr>
              <w:t>10,993,753</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11,847,404</w:t>
            </w:r>
          </w:p>
        </w:tc>
        <w:tc>
          <w:tcPr>
            <w:tcW w:w="114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13,065,877</w:t>
            </w:r>
          </w:p>
        </w:tc>
        <w:tc>
          <w:tcPr>
            <w:tcW w:w="880" w:type="dxa"/>
            <w:vAlign w:val="bottom"/>
          </w:tcPr>
          <w:p>
            <w:pPr>
              <w:jc w:val="center"/>
              <w:spacing w:after="0"/>
              <w:rPr>
                <w:sz w:val="20"/>
                <w:szCs w:val="20"/>
                <w:color w:val="auto"/>
              </w:rPr>
            </w:pPr>
            <w:r>
              <w:rPr>
                <w:rFonts w:ascii="Arial" w:cs="Arial" w:eastAsia="Arial" w:hAnsi="Arial"/>
                <w:sz w:val="13"/>
                <w:szCs w:val="13"/>
                <w:color w:val="auto"/>
              </w:rPr>
              <w:t>10.3%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 RWA Deferred tax assets generated as a result of temporary differences in income</w:t>
            </w:r>
          </w:p>
        </w:tc>
        <w:tc>
          <w:tcPr>
            <w:tcW w:w="1540" w:type="dxa"/>
            <w:vAlign w:val="bottom"/>
            <w:vMerge w:val="restart"/>
          </w:tcPr>
          <w:p>
            <w:pPr>
              <w:jc w:val="right"/>
              <w:ind w:right="253"/>
              <w:spacing w:after="0"/>
              <w:rPr>
                <w:sz w:val="20"/>
                <w:szCs w:val="20"/>
                <w:color w:val="auto"/>
              </w:rPr>
            </w:pPr>
            <w:r>
              <w:rPr>
                <w:rFonts w:ascii="Arial" w:cs="Arial" w:eastAsia="Arial" w:hAnsi="Arial"/>
                <w:sz w:val="13"/>
                <w:szCs w:val="13"/>
                <w:color w:val="auto"/>
              </w:rPr>
              <w:t>1,001,471</w:t>
            </w:r>
          </w:p>
        </w:tc>
        <w:tc>
          <w:tcPr>
            <w:tcW w:w="1340" w:type="dxa"/>
            <w:vAlign w:val="bottom"/>
            <w:vMerge w:val="restart"/>
          </w:tcPr>
          <w:p>
            <w:pPr>
              <w:jc w:val="right"/>
              <w:ind w:right="253"/>
              <w:spacing w:after="0"/>
              <w:rPr>
                <w:sz w:val="20"/>
                <w:szCs w:val="20"/>
                <w:color w:val="auto"/>
              </w:rPr>
            </w:pPr>
            <w:r>
              <w:rPr>
                <w:rFonts w:ascii="Arial" w:cs="Arial" w:eastAsia="Arial" w:hAnsi="Arial"/>
                <w:sz w:val="13"/>
                <w:szCs w:val="13"/>
                <w:color w:val="auto"/>
              </w:rPr>
              <w:t>909,119</w:t>
            </w:r>
          </w:p>
        </w:tc>
        <w:tc>
          <w:tcPr>
            <w:tcW w:w="114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917,317</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0.9%</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-8.4%</w:t>
            </w:r>
          </w:p>
        </w:tc>
        <w:tc>
          <w:tcPr>
            <w:tcW w:w="0" w:type="dxa"/>
            <w:vAlign w:val="bottom"/>
          </w:tcPr>
          <w:p>
            <w:pPr>
              <w:spacing w:after="0"/>
              <w:rPr>
                <w:sz w:val="1"/>
                <w:szCs w:val="1"/>
                <w:color w:val="auto"/>
              </w:rPr>
            </w:pPr>
          </w:p>
        </w:tc>
      </w:tr>
      <w:tr>
        <w:trPr>
          <w:trHeight w:val="100"/>
        </w:trPr>
        <w:tc>
          <w:tcPr>
            <w:tcW w:w="5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tax, in excess of 10% of CET1</w:t>
            </w:r>
          </w:p>
        </w:tc>
        <w:tc>
          <w:tcPr>
            <w:tcW w:w="154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5440" w:type="dxa"/>
            <w:vAlign w:val="bottom"/>
            <w:tcBorders>
              <w:left w:val="single" w:sz="8" w:color="auto"/>
              <w:right w:val="single" w:sz="8" w:color="auto"/>
            </w:tcBorders>
            <w:vMerge w:val="continue"/>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440" w:type="dxa"/>
            <w:vAlign w:val="bottom"/>
            <w:tcBorders>
              <w:left w:val="single" w:sz="8" w:color="auto"/>
              <w:right w:val="single" w:sz="8" w:color="auto"/>
            </w:tcBorders>
          </w:tcPr>
          <w:p>
            <w:pPr>
              <w:ind w:left="220"/>
              <w:spacing w:after="0" w:line="136" w:lineRule="exact"/>
              <w:rPr>
                <w:sz w:val="20"/>
                <w:szCs w:val="20"/>
                <w:color w:val="auto"/>
              </w:rPr>
            </w:pPr>
            <w:r>
              <w:rPr>
                <w:rFonts w:ascii="Arial" w:cs="Arial" w:eastAsia="Arial" w:hAnsi="Arial"/>
                <w:sz w:val="13"/>
                <w:szCs w:val="13"/>
                <w:color w:val="auto"/>
              </w:rPr>
              <w:t>(+) RWA Deferred tax assets generated as a result of past losses</w:t>
            </w:r>
          </w:p>
        </w:tc>
        <w:tc>
          <w:tcPr>
            <w:tcW w:w="1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4"/>
        </w:trPr>
        <w:tc>
          <w:tcPr>
            <w:tcW w:w="5440" w:type="dxa"/>
            <w:vAlign w:val="bottom"/>
            <w:tcBorders>
              <w:left w:val="single" w:sz="8" w:color="auto"/>
              <w:bottom w:val="single" w:sz="8" w:color="auto"/>
              <w:right w:val="single" w:sz="8" w:color="auto"/>
            </w:tcBorders>
          </w:tcPr>
          <w:p>
            <w:pPr>
              <w:ind w:left="220"/>
              <w:spacing w:after="0" w:line="174" w:lineRule="exact"/>
              <w:rPr>
                <w:sz w:val="20"/>
                <w:szCs w:val="20"/>
                <w:color w:val="auto"/>
              </w:rPr>
            </w:pPr>
            <w:r>
              <w:rPr>
                <w:rFonts w:ascii="Arial" w:cs="Arial" w:eastAsia="Arial" w:hAnsi="Arial"/>
                <w:sz w:val="12"/>
                <w:szCs w:val="12"/>
                <w:color w:val="auto"/>
              </w:rPr>
              <w:t xml:space="preserve">(+) IFRS Adjustments </w:t>
            </w:r>
            <w:r>
              <w:rPr>
                <w:rFonts w:ascii="Arial" w:cs="Arial" w:eastAsia="Arial" w:hAnsi="Arial"/>
                <w:sz w:val="20"/>
                <w:szCs w:val="20"/>
                <w:color w:val="auto"/>
                <w:vertAlign w:val="superscript"/>
              </w:rPr>
              <w:t>(11)</w:t>
            </w:r>
          </w:p>
        </w:tc>
        <w:tc>
          <w:tcPr>
            <w:tcW w:w="15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531,826</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647,220</w:t>
            </w:r>
          </w:p>
        </w:tc>
        <w:tc>
          <w:tcPr>
            <w:tcW w:w="11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745,384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15.2%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06"/>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Capital ratios</w:t>
            </w:r>
          </w:p>
        </w:tc>
        <w:tc>
          <w:tcPr>
            <w:tcW w:w="1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440" w:type="dxa"/>
            <w:vAlign w:val="bottom"/>
          </w:tcPr>
          <w:p>
            <w:pPr>
              <w:ind w:left="40"/>
              <w:spacing w:after="0" w:line="121" w:lineRule="exact"/>
              <w:rPr>
                <w:sz w:val="20"/>
                <w:szCs w:val="20"/>
                <w:color w:val="auto"/>
              </w:rPr>
            </w:pPr>
            <w:r>
              <w:rPr>
                <w:rFonts w:ascii="Arial" w:cs="Arial" w:eastAsia="Arial" w:hAnsi="Arial"/>
                <w:sz w:val="9"/>
                <w:szCs w:val="9"/>
                <w:color w:val="auto"/>
              </w:rPr>
              <w:t xml:space="preserve">Regulatory Tier 1 ratio </w:t>
            </w:r>
            <w:r>
              <w:rPr>
                <w:rFonts w:ascii="Arial" w:cs="Arial" w:eastAsia="Arial" w:hAnsi="Arial"/>
                <w:sz w:val="13"/>
                <w:szCs w:val="13"/>
                <w:color w:val="auto"/>
                <w:vertAlign w:val="superscript"/>
              </w:rPr>
              <w:t>(8)</w:t>
            </w:r>
          </w:p>
        </w:tc>
        <w:tc>
          <w:tcPr>
            <w:tcW w:w="1540" w:type="dxa"/>
            <w:vAlign w:val="bottom"/>
          </w:tcPr>
          <w:p>
            <w:pPr>
              <w:jc w:val="right"/>
              <w:ind w:right="173"/>
              <w:spacing w:after="0" w:line="121" w:lineRule="exact"/>
              <w:rPr>
                <w:sz w:val="20"/>
                <w:szCs w:val="20"/>
                <w:color w:val="auto"/>
              </w:rPr>
            </w:pPr>
            <w:r>
              <w:rPr>
                <w:rFonts w:ascii="Arial" w:cs="Arial" w:eastAsia="Arial" w:hAnsi="Arial"/>
                <w:sz w:val="13"/>
                <w:szCs w:val="13"/>
                <w:color w:val="auto"/>
              </w:rPr>
              <w:t>9.94%</w:t>
            </w:r>
          </w:p>
        </w:tc>
        <w:tc>
          <w:tcPr>
            <w:tcW w:w="1340" w:type="dxa"/>
            <w:vAlign w:val="bottom"/>
          </w:tcPr>
          <w:p>
            <w:pPr>
              <w:jc w:val="right"/>
              <w:ind w:right="173"/>
              <w:spacing w:after="0" w:line="121" w:lineRule="exact"/>
              <w:rPr>
                <w:sz w:val="20"/>
                <w:szCs w:val="20"/>
                <w:color w:val="auto"/>
              </w:rPr>
            </w:pPr>
            <w:r>
              <w:rPr>
                <w:rFonts w:ascii="Arial" w:cs="Arial" w:eastAsia="Arial" w:hAnsi="Arial"/>
                <w:sz w:val="13"/>
                <w:szCs w:val="13"/>
                <w:color w:val="auto"/>
              </w:rPr>
              <w:t>9.94%</w:t>
            </w:r>
          </w:p>
        </w:tc>
        <w:tc>
          <w:tcPr>
            <w:tcW w:w="1140" w:type="dxa"/>
            <w:vAlign w:val="bottom"/>
          </w:tcPr>
          <w:p>
            <w:pPr>
              <w:jc w:val="right"/>
              <w:spacing w:after="0" w:line="121" w:lineRule="exact"/>
              <w:rPr>
                <w:sz w:val="20"/>
                <w:szCs w:val="20"/>
                <w:color w:val="auto"/>
              </w:rPr>
            </w:pPr>
            <w:r>
              <w:rPr>
                <w:rFonts w:ascii="Arial" w:cs="Arial" w:eastAsia="Arial" w:hAnsi="Arial"/>
                <w:sz w:val="13"/>
                <w:szCs w:val="13"/>
                <w:color w:val="auto"/>
              </w:rPr>
              <w:t>10.02%</w:t>
            </w: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rPr>
              <w:t>8 bps</w:t>
            </w:r>
          </w:p>
        </w:tc>
        <w:tc>
          <w:tcPr>
            <w:tcW w:w="920" w:type="dxa"/>
            <w:vAlign w:val="bottom"/>
          </w:tcPr>
          <w:p>
            <w:pPr>
              <w:jc w:val="center"/>
              <w:spacing w:after="0" w:line="121" w:lineRule="exact"/>
              <w:rPr>
                <w:sz w:val="20"/>
                <w:szCs w:val="20"/>
                <w:color w:val="auto"/>
              </w:rPr>
            </w:pPr>
            <w:r>
              <w:rPr>
                <w:rFonts w:ascii="Arial" w:cs="Arial" w:eastAsia="Arial" w:hAnsi="Arial"/>
                <w:sz w:val="13"/>
                <w:szCs w:val="13"/>
                <w:color w:val="auto"/>
              </w:rPr>
              <w:t>8 bps</w:t>
            </w:r>
          </w:p>
        </w:tc>
        <w:tc>
          <w:tcPr>
            <w:tcW w:w="0" w:type="dxa"/>
            <w:vAlign w:val="bottom"/>
          </w:tcPr>
          <w:p>
            <w:pPr>
              <w:spacing w:after="0"/>
              <w:rPr>
                <w:sz w:val="1"/>
                <w:szCs w:val="1"/>
                <w:color w:val="auto"/>
              </w:rPr>
            </w:pPr>
          </w:p>
        </w:tc>
      </w:tr>
      <w:tr>
        <w:trPr>
          <w:trHeight w:val="151"/>
        </w:trPr>
        <w:tc>
          <w:tcPr>
            <w:tcW w:w="5440" w:type="dxa"/>
            <w:vAlign w:val="bottom"/>
          </w:tcPr>
          <w:p>
            <w:pPr>
              <w:ind w:left="40"/>
              <w:spacing w:after="0" w:line="151" w:lineRule="exact"/>
              <w:rPr>
                <w:sz w:val="20"/>
                <w:szCs w:val="20"/>
                <w:color w:val="auto"/>
              </w:rPr>
            </w:pPr>
            <w:r>
              <w:rPr>
                <w:rFonts w:ascii="Arial" w:cs="Arial" w:eastAsia="Arial" w:hAnsi="Arial"/>
                <w:sz w:val="11"/>
                <w:szCs w:val="11"/>
                <w:color w:val="auto"/>
              </w:rPr>
              <w:t xml:space="preserve">Common Equity Tier 1 ratio </w:t>
            </w:r>
            <w:r>
              <w:rPr>
                <w:rFonts w:ascii="Arial" w:cs="Arial" w:eastAsia="Arial" w:hAnsi="Arial"/>
                <w:sz w:val="17"/>
                <w:szCs w:val="17"/>
                <w:color w:val="auto"/>
                <w:vertAlign w:val="superscript"/>
              </w:rPr>
              <w:t>(9)(12)</w:t>
            </w:r>
          </w:p>
        </w:tc>
        <w:tc>
          <w:tcPr>
            <w:tcW w:w="1540" w:type="dxa"/>
            <w:vAlign w:val="bottom"/>
          </w:tcPr>
          <w:p>
            <w:pPr>
              <w:jc w:val="right"/>
              <w:ind w:right="173"/>
              <w:spacing w:after="0"/>
              <w:rPr>
                <w:sz w:val="20"/>
                <w:szCs w:val="20"/>
                <w:color w:val="auto"/>
              </w:rPr>
            </w:pPr>
            <w:r>
              <w:rPr>
                <w:rFonts w:ascii="Arial" w:cs="Arial" w:eastAsia="Arial" w:hAnsi="Arial"/>
                <w:sz w:val="13"/>
                <w:szCs w:val="13"/>
                <w:color w:val="auto"/>
              </w:rPr>
              <w:t>11.91%</w:t>
            </w:r>
          </w:p>
        </w:tc>
        <w:tc>
          <w:tcPr>
            <w:tcW w:w="1340" w:type="dxa"/>
            <w:vAlign w:val="bottom"/>
          </w:tcPr>
          <w:p>
            <w:pPr>
              <w:jc w:val="right"/>
              <w:ind w:right="173"/>
              <w:spacing w:after="0"/>
              <w:rPr>
                <w:sz w:val="20"/>
                <w:szCs w:val="20"/>
                <w:color w:val="auto"/>
              </w:rPr>
            </w:pPr>
            <w:r>
              <w:rPr>
                <w:rFonts w:ascii="Arial" w:cs="Arial" w:eastAsia="Arial" w:hAnsi="Arial"/>
                <w:sz w:val="13"/>
                <w:szCs w:val="13"/>
                <w:color w:val="auto"/>
              </w:rPr>
              <w:t>11.83%</w:t>
            </w:r>
          </w:p>
        </w:tc>
        <w:tc>
          <w:tcPr>
            <w:tcW w:w="1140" w:type="dxa"/>
            <w:vAlign w:val="bottom"/>
          </w:tcPr>
          <w:p>
            <w:pPr>
              <w:jc w:val="right"/>
              <w:spacing w:after="0"/>
              <w:rPr>
                <w:sz w:val="20"/>
                <w:szCs w:val="20"/>
                <w:color w:val="auto"/>
              </w:rPr>
            </w:pPr>
            <w:r>
              <w:rPr>
                <w:rFonts w:ascii="Arial" w:cs="Arial" w:eastAsia="Arial" w:hAnsi="Arial"/>
                <w:sz w:val="13"/>
                <w:szCs w:val="13"/>
                <w:color w:val="auto"/>
              </w:rPr>
              <w:t>12.59%</w:t>
            </w:r>
          </w:p>
        </w:tc>
        <w:tc>
          <w:tcPr>
            <w:tcW w:w="880" w:type="dxa"/>
            <w:vAlign w:val="bottom"/>
          </w:tcPr>
          <w:p>
            <w:pPr>
              <w:jc w:val="center"/>
              <w:spacing w:after="0"/>
              <w:rPr>
                <w:sz w:val="20"/>
                <w:szCs w:val="20"/>
                <w:color w:val="auto"/>
              </w:rPr>
            </w:pPr>
            <w:r>
              <w:rPr>
                <w:rFonts w:ascii="Arial" w:cs="Arial" w:eastAsia="Arial" w:hAnsi="Arial"/>
                <w:sz w:val="13"/>
                <w:szCs w:val="13"/>
                <w:color w:val="auto"/>
              </w:rPr>
              <w:t>76 bps</w:t>
            </w:r>
          </w:p>
        </w:tc>
        <w:tc>
          <w:tcPr>
            <w:tcW w:w="920" w:type="dxa"/>
            <w:vAlign w:val="bottom"/>
          </w:tcPr>
          <w:p>
            <w:pPr>
              <w:jc w:val="center"/>
              <w:spacing w:after="0"/>
              <w:rPr>
                <w:sz w:val="20"/>
                <w:szCs w:val="20"/>
                <w:color w:val="auto"/>
              </w:rPr>
            </w:pPr>
            <w:r>
              <w:rPr>
                <w:rFonts w:ascii="Arial" w:cs="Arial" w:eastAsia="Arial" w:hAnsi="Arial"/>
                <w:sz w:val="13"/>
                <w:szCs w:val="13"/>
                <w:color w:val="auto"/>
              </w:rPr>
              <w:t>68 bps</w:t>
            </w:r>
          </w:p>
        </w:tc>
        <w:tc>
          <w:tcPr>
            <w:tcW w:w="0" w:type="dxa"/>
            <w:vAlign w:val="bottom"/>
          </w:tcPr>
          <w:p>
            <w:pPr>
              <w:spacing w:after="0"/>
              <w:rPr>
                <w:sz w:val="1"/>
                <w:szCs w:val="1"/>
                <w:color w:val="auto"/>
              </w:rPr>
            </w:pPr>
          </w:p>
        </w:tc>
      </w:tr>
      <w:tr>
        <w:trPr>
          <w:trHeight w:val="166"/>
        </w:trPr>
        <w:tc>
          <w:tcPr>
            <w:tcW w:w="5440" w:type="dxa"/>
            <w:vAlign w:val="bottom"/>
          </w:tcPr>
          <w:p>
            <w:pPr>
              <w:ind w:left="40"/>
              <w:spacing w:after="0" w:line="166" w:lineRule="exact"/>
              <w:rPr>
                <w:sz w:val="20"/>
                <w:szCs w:val="20"/>
                <w:color w:val="auto"/>
              </w:rPr>
            </w:pPr>
            <w:r>
              <w:rPr>
                <w:rFonts w:ascii="Arial" w:cs="Arial" w:eastAsia="Arial" w:hAnsi="Arial"/>
                <w:sz w:val="12"/>
                <w:szCs w:val="12"/>
                <w:color w:val="auto"/>
              </w:rPr>
              <w:t xml:space="preserve">Regulatory Global Capital ratio </w:t>
            </w:r>
            <w:r>
              <w:rPr>
                <w:rFonts w:ascii="Arial" w:cs="Arial" w:eastAsia="Arial" w:hAnsi="Arial"/>
                <w:sz w:val="19"/>
                <w:szCs w:val="19"/>
                <w:color w:val="auto"/>
                <w:vertAlign w:val="superscript"/>
              </w:rPr>
              <w:t>(10)</w:t>
            </w:r>
          </w:p>
        </w:tc>
        <w:tc>
          <w:tcPr>
            <w:tcW w:w="1540" w:type="dxa"/>
            <w:vAlign w:val="bottom"/>
          </w:tcPr>
          <w:p>
            <w:pPr>
              <w:jc w:val="right"/>
              <w:ind w:right="173"/>
              <w:spacing w:after="0"/>
              <w:rPr>
                <w:sz w:val="20"/>
                <w:szCs w:val="20"/>
                <w:color w:val="auto"/>
              </w:rPr>
            </w:pPr>
            <w:r>
              <w:rPr>
                <w:rFonts w:ascii="Arial" w:cs="Arial" w:eastAsia="Arial" w:hAnsi="Arial"/>
                <w:sz w:val="13"/>
                <w:szCs w:val="13"/>
                <w:color w:val="auto"/>
              </w:rPr>
              <w:t>14.94%</w:t>
            </w:r>
          </w:p>
        </w:tc>
        <w:tc>
          <w:tcPr>
            <w:tcW w:w="1340" w:type="dxa"/>
            <w:vAlign w:val="bottom"/>
          </w:tcPr>
          <w:p>
            <w:pPr>
              <w:jc w:val="right"/>
              <w:ind w:right="173"/>
              <w:spacing w:after="0"/>
              <w:rPr>
                <w:sz w:val="20"/>
                <w:szCs w:val="20"/>
                <w:color w:val="auto"/>
              </w:rPr>
            </w:pPr>
            <w:r>
              <w:rPr>
                <w:rFonts w:ascii="Arial" w:cs="Arial" w:eastAsia="Arial" w:hAnsi="Arial"/>
                <w:sz w:val="13"/>
                <w:szCs w:val="13"/>
                <w:color w:val="auto"/>
              </w:rPr>
              <w:t>14.93%</w:t>
            </w:r>
          </w:p>
        </w:tc>
        <w:tc>
          <w:tcPr>
            <w:tcW w:w="1140" w:type="dxa"/>
            <w:vAlign w:val="bottom"/>
          </w:tcPr>
          <w:p>
            <w:pPr>
              <w:jc w:val="right"/>
              <w:spacing w:after="0"/>
              <w:rPr>
                <w:sz w:val="20"/>
                <w:szCs w:val="20"/>
                <w:color w:val="auto"/>
              </w:rPr>
            </w:pPr>
            <w:r>
              <w:rPr>
                <w:rFonts w:ascii="Arial" w:cs="Arial" w:eastAsia="Arial" w:hAnsi="Arial"/>
                <w:sz w:val="13"/>
                <w:szCs w:val="13"/>
                <w:color w:val="auto"/>
              </w:rPr>
              <w:t>14.43%</w:t>
            </w:r>
          </w:p>
        </w:tc>
        <w:tc>
          <w:tcPr>
            <w:tcW w:w="880" w:type="dxa"/>
            <w:vAlign w:val="bottom"/>
          </w:tcPr>
          <w:p>
            <w:pPr>
              <w:jc w:val="center"/>
              <w:spacing w:after="0"/>
              <w:rPr>
                <w:sz w:val="20"/>
                <w:szCs w:val="20"/>
                <w:color w:val="auto"/>
              </w:rPr>
            </w:pPr>
            <w:r>
              <w:rPr>
                <w:rFonts w:ascii="Arial" w:cs="Arial" w:eastAsia="Arial" w:hAnsi="Arial"/>
                <w:sz w:val="13"/>
                <w:szCs w:val="13"/>
                <w:color w:val="auto"/>
              </w:rPr>
              <w:t>-50 bps</w:t>
            </w:r>
          </w:p>
        </w:tc>
        <w:tc>
          <w:tcPr>
            <w:tcW w:w="920" w:type="dxa"/>
            <w:vAlign w:val="bottom"/>
          </w:tcPr>
          <w:p>
            <w:pPr>
              <w:jc w:val="center"/>
              <w:spacing w:after="0"/>
              <w:rPr>
                <w:sz w:val="20"/>
                <w:szCs w:val="20"/>
                <w:color w:val="auto"/>
              </w:rPr>
            </w:pPr>
            <w:r>
              <w:rPr>
                <w:rFonts w:ascii="Arial" w:cs="Arial" w:eastAsia="Arial" w:hAnsi="Arial"/>
                <w:sz w:val="13"/>
                <w:szCs w:val="13"/>
                <w:color w:val="auto"/>
              </w:rPr>
              <w:t>-51 bps</w:t>
            </w:r>
          </w:p>
        </w:tc>
        <w:tc>
          <w:tcPr>
            <w:tcW w:w="0" w:type="dxa"/>
            <w:vAlign w:val="bottom"/>
          </w:tcPr>
          <w:p>
            <w:pPr>
              <w:spacing w:after="0"/>
              <w:rPr>
                <w:sz w:val="1"/>
                <w:szCs w:val="1"/>
                <w:color w:val="auto"/>
              </w:rPr>
            </w:pPr>
          </w:p>
        </w:tc>
      </w:tr>
      <w:tr>
        <w:trPr>
          <w:trHeight w:val="166"/>
        </w:trPr>
        <w:tc>
          <w:tcPr>
            <w:tcW w:w="5440" w:type="dxa"/>
            <w:vAlign w:val="bottom"/>
          </w:tcPr>
          <w:p>
            <w:pPr>
              <w:ind w:left="40"/>
              <w:spacing w:after="0"/>
              <w:rPr>
                <w:sz w:val="20"/>
                <w:szCs w:val="20"/>
                <w:color w:val="auto"/>
              </w:rPr>
            </w:pPr>
            <w:r>
              <w:rPr>
                <w:rFonts w:ascii="Arial" w:cs="Arial" w:eastAsia="Arial" w:hAnsi="Arial"/>
                <w:sz w:val="13"/>
                <w:szCs w:val="13"/>
                <w:color w:val="auto"/>
              </w:rPr>
              <w:t>Risk-weighted assets / Regulatory capital</w:t>
            </w:r>
          </w:p>
        </w:tc>
        <w:tc>
          <w:tcPr>
            <w:tcW w:w="1540" w:type="dxa"/>
            <w:vAlign w:val="bottom"/>
          </w:tcPr>
          <w:p>
            <w:pPr>
              <w:jc w:val="right"/>
              <w:ind w:right="253"/>
              <w:spacing w:after="0"/>
              <w:rPr>
                <w:sz w:val="20"/>
                <w:szCs w:val="20"/>
                <w:color w:val="auto"/>
              </w:rPr>
            </w:pPr>
            <w:r>
              <w:rPr>
                <w:rFonts w:ascii="Arial" w:cs="Arial" w:eastAsia="Arial" w:hAnsi="Arial"/>
                <w:sz w:val="13"/>
                <w:szCs w:val="13"/>
                <w:color w:val="auto"/>
              </w:rPr>
              <w:t>6.69</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6.70</w:t>
            </w: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6.93</w:t>
            </w:r>
          </w:p>
        </w:tc>
        <w:tc>
          <w:tcPr>
            <w:tcW w:w="880" w:type="dxa"/>
            <w:vAlign w:val="bottom"/>
          </w:tcPr>
          <w:p>
            <w:pPr>
              <w:jc w:val="center"/>
              <w:spacing w:after="0"/>
              <w:rPr>
                <w:sz w:val="20"/>
                <w:szCs w:val="20"/>
                <w:color w:val="auto"/>
              </w:rPr>
            </w:pPr>
            <w:r>
              <w:rPr>
                <w:rFonts w:ascii="Arial" w:cs="Arial" w:eastAsia="Arial" w:hAnsi="Arial"/>
                <w:sz w:val="13"/>
                <w:szCs w:val="13"/>
                <w:color w:val="auto"/>
              </w:rPr>
              <w:t>3.5%</w:t>
            </w:r>
          </w:p>
        </w:tc>
        <w:tc>
          <w:tcPr>
            <w:tcW w:w="920" w:type="dxa"/>
            <w:vAlign w:val="bottom"/>
          </w:tcPr>
          <w:p>
            <w:pPr>
              <w:jc w:val="center"/>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-394970</wp:posOffset>
            </wp:positionV>
            <wp:extent cx="7141845" cy="399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1845" cy="399415"/>
                    </a:xfrm>
                    <a:prstGeom prst="rect">
                      <a:avLst/>
                    </a:prstGeom>
                    <a:noFill/>
                  </pic:spPr>
                </pic:pic>
              </a:graphicData>
            </a:graphic>
          </wp:anchor>
        </w:drawing>
      </w:r>
    </w:p>
    <w:p>
      <w:pPr>
        <w:ind w:left="180" w:hanging="179"/>
        <w:spacing w:after="0" w:line="218" w:lineRule="auto"/>
        <w:tabs>
          <w:tab w:leader="none" w:pos="1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Up to 1.25% of total risk-weighted assets.</w:t>
      </w:r>
    </w:p>
    <w:p>
      <w:pPr>
        <w:jc w:val="both"/>
        <w:ind w:firstLine="1"/>
        <w:spacing w:after="0" w:line="218" w:lineRule="auto"/>
        <w:tabs>
          <w:tab w:leader="none" w:pos="179"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2"/>
          <w:szCs w:val="12"/>
          <w:color w:val="auto"/>
        </w:rPr>
      </w:pPr>
    </w:p>
    <w:p>
      <w:pPr>
        <w:ind w:left="180" w:hanging="179"/>
        <w:spacing w:after="0" w:line="218" w:lineRule="auto"/>
        <w:tabs>
          <w:tab w:leader="none" w:pos="1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Regulatory Tier 2 Capital = Subordinated debt + Loan loss reserves + Unrestricted Reserves + (0.5 x Unrealized profit and net income in subsidiaries) - (0.5 x Investment in subsidiaries).</w:t>
      </w:r>
    </w:p>
    <w:p>
      <w:pPr>
        <w:ind w:left="180" w:hanging="179"/>
        <w:spacing w:after="0" w:line="218" w:lineRule="auto"/>
        <w:tabs>
          <w:tab w:leader="none" w:pos="1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Since July 2012, Total Risk-weighted assets = Credit risk-weighted assets * 1.00 + Capital requirement to cover market risk * 10 + Capital requirement to cover operational risk * 10 * 1.00 (since July 2014)</w:t>
      </w:r>
    </w:p>
    <w:p>
      <w:pPr>
        <w:ind w:left="180" w:hanging="179"/>
        <w:spacing w:after="0" w:line="218" w:lineRule="auto"/>
        <w:tabs>
          <w:tab w:leader="none" w:pos="1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It includes capital requirement to cover price and rate risk.</w:t>
      </w:r>
    </w:p>
    <w:p>
      <w:pPr>
        <w:ind w:firstLine="1"/>
        <w:spacing w:after="0" w:line="218" w:lineRule="auto"/>
        <w:tabs>
          <w:tab w:leader="none" w:pos="181"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Common Equity Tier I = Capital + Reserves 100% of applicable deductions (investment in subsidiaries, goodwill, intangibles and net deferred taxes that rely on future profitability) + retained earnings + unrealized gains. Figures differ from previously reported cause current calculations are based on IFRS figures.</w:t>
      </w:r>
    </w:p>
    <w:p>
      <w:pPr>
        <w:ind w:firstLine="1"/>
        <w:spacing w:after="0" w:line="218" w:lineRule="auto"/>
        <w:tabs>
          <w:tab w:leader="none" w:pos="179" w:val="left"/>
        </w:tabs>
        <w:numPr>
          <w:ilvl w:val="0"/>
          <w:numId w:val="44"/>
        </w:numPr>
        <w:rPr>
          <w:rFonts w:ascii="Arial" w:cs="Arial" w:eastAsia="Arial" w:hAnsi="Arial"/>
          <w:sz w:val="12"/>
          <w:szCs w:val="12"/>
          <w:color w:val="auto"/>
        </w:rPr>
      </w:pPr>
      <w:r>
        <w:rPr>
          <w:rFonts w:ascii="Arial" w:cs="Arial" w:eastAsia="Arial" w:hAnsi="Arial"/>
          <w:sz w:val="12"/>
          <w:szCs w:val="12"/>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 Figures differ from previously reported cause current calculations are based on IFRS figures.</w:t>
      </w:r>
    </w:p>
    <w:p>
      <w:pPr>
        <w:ind w:left="180" w:hanging="179"/>
        <w:spacing w:after="0" w:line="218" w:lineRule="auto"/>
        <w:tabs>
          <w:tab w:leader="none" w:pos="1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Regulatory Tier 1 Capital / Total Risk-weighted assets</w:t>
      </w:r>
    </w:p>
    <w:p>
      <w:pPr>
        <w:ind w:left="180" w:hanging="179"/>
        <w:spacing w:after="0" w:line="218" w:lineRule="auto"/>
        <w:tabs>
          <w:tab w:leader="none" w:pos="1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Common Equity Tier I / Adjusted Risk-Weighted Assets Risk-Weighted Assets</w:t>
      </w:r>
    </w:p>
    <w:p>
      <w:pPr>
        <w:ind w:left="240" w:hanging="239"/>
        <w:spacing w:after="0" w:line="218" w:lineRule="auto"/>
        <w:tabs>
          <w:tab w:leader="none" w:pos="2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Total Regulatory Capital / Total Risk-weighted assets (legal minimum = 10% since July 2011)</w:t>
      </w:r>
    </w:p>
    <w:p>
      <w:pPr>
        <w:ind w:firstLine="1"/>
        <w:spacing w:after="0" w:line="218" w:lineRule="auto"/>
        <w:tabs>
          <w:tab w:leader="none" w:pos="234" w:val="left"/>
        </w:tabs>
        <w:numPr>
          <w:ilvl w:val="0"/>
          <w:numId w:val="44"/>
        </w:numPr>
        <w:rPr>
          <w:rFonts w:ascii="Arial" w:cs="Arial" w:eastAsia="Arial" w:hAnsi="Arial"/>
          <w:sz w:val="12"/>
          <w:szCs w:val="12"/>
          <w:color w:val="auto"/>
        </w:rPr>
      </w:pPr>
      <w:r>
        <w:rPr>
          <w:rFonts w:ascii="Arial" w:cs="Arial" w:eastAsia="Arial" w:hAnsi="Arial"/>
          <w:sz w:val="12"/>
          <w:szCs w:val="12"/>
          <w:color w:val="auto"/>
        </w:rPr>
        <w:t>Adjustments for differences in balance assets under Local Accounting (which regulatory Rwas are calculated) and IFRS in the Right of use account (lease). As of March 2022, the ‘Right of Use’ account increased to S/ 364M, explained the 64% of the adjustment. The rest adjustments correspond to differences in stock of provisions and Deferred Taxes.</w:t>
      </w:r>
    </w:p>
    <w:p>
      <w:pPr>
        <w:ind w:left="240" w:hanging="239"/>
        <w:spacing w:after="0"/>
        <w:tabs>
          <w:tab w:leader="none" w:pos="2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Common Equity Tier I calculated based on IFRS Accounting</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56" w:name="page57"/>
    <w:bookmarkEnd w:id="56"/>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Regulatory Capital and Capital Adequacy Ratios at Mibanco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 thousands)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5440" w:type="dxa"/>
            <w:vAlign w:val="bottom"/>
            <w:tcBorders>
              <w:right w:val="single" w:sz="8" w:color="auto"/>
            </w:tcBorders>
          </w:tcPr>
          <w:p>
            <w:pPr>
              <w:spacing w:after="0"/>
              <w:rPr>
                <w:sz w:val="13"/>
                <w:szCs w:val="13"/>
                <w:color w:val="auto"/>
              </w:rPr>
            </w:pPr>
          </w:p>
        </w:tc>
        <w:tc>
          <w:tcPr>
            <w:tcW w:w="1520" w:type="dxa"/>
            <w:vAlign w:val="bottom"/>
            <w:tcBorders>
              <w:top w:val="single" w:sz="8" w:color="auto"/>
            </w:tcBorders>
            <w:shd w:val="clear" w:color="auto" w:fill="2AD2C9"/>
          </w:tcPr>
          <w:p>
            <w:pPr>
              <w:spacing w:after="0"/>
              <w:rPr>
                <w:sz w:val="13"/>
                <w:szCs w:val="13"/>
                <w:color w:val="auto"/>
              </w:rPr>
            </w:pPr>
          </w:p>
        </w:tc>
        <w:tc>
          <w:tcPr>
            <w:tcW w:w="1340" w:type="dxa"/>
            <w:vAlign w:val="bottom"/>
            <w:tcBorders>
              <w:top w:val="single" w:sz="8" w:color="auto"/>
            </w:tcBorders>
            <w:shd w:val="clear" w:color="auto" w:fill="2AD2C9"/>
          </w:tcPr>
          <w:p>
            <w:pPr>
              <w:jc w:val="right"/>
              <w:ind w:right="633"/>
              <w:spacing w:after="0"/>
              <w:rPr>
                <w:sz w:val="20"/>
                <w:szCs w:val="20"/>
                <w:color w:val="auto"/>
              </w:rPr>
            </w:pPr>
            <w:r>
              <w:rPr>
                <w:rFonts w:ascii="Arial" w:cs="Arial" w:eastAsia="Arial" w:hAnsi="Arial"/>
                <w:sz w:val="13"/>
                <w:szCs w:val="13"/>
                <w:b w:val="1"/>
                <w:bCs w:val="1"/>
                <w:color w:val="FFFFFF"/>
              </w:rPr>
              <w:t>As of</w:t>
            </w:r>
          </w:p>
        </w:tc>
        <w:tc>
          <w:tcPr>
            <w:tcW w:w="1160" w:type="dxa"/>
            <w:vAlign w:val="bottom"/>
            <w:tcBorders>
              <w:top w:val="single" w:sz="8" w:color="auto"/>
              <w:right w:val="single" w:sz="8" w:color="auto"/>
            </w:tcBorders>
            <w:shd w:val="clear" w:color="auto" w:fill="2AD2C9"/>
          </w:tcPr>
          <w:p>
            <w:pPr>
              <w:spacing w:after="0"/>
              <w:rPr>
                <w:sz w:val="13"/>
                <w:szCs w:val="13"/>
                <w:color w:val="auto"/>
              </w:rPr>
            </w:pPr>
          </w:p>
        </w:tc>
        <w:tc>
          <w:tcPr>
            <w:tcW w:w="180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1"/>
        </w:trPr>
        <w:tc>
          <w:tcPr>
            <w:tcW w:w="544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shd w:val="clear" w:color="auto" w:fill="2AD2C9"/>
          </w:tcPr>
          <w:p>
            <w:pPr>
              <w:jc w:val="right"/>
              <w:ind w:right="593"/>
              <w:spacing w:after="0"/>
              <w:rPr>
                <w:sz w:val="20"/>
                <w:szCs w:val="20"/>
                <w:color w:val="auto"/>
              </w:rPr>
            </w:pPr>
            <w:r>
              <w:rPr>
                <w:rFonts w:ascii="Arial" w:cs="Arial" w:eastAsia="Arial" w:hAnsi="Arial"/>
                <w:sz w:val="13"/>
                <w:szCs w:val="13"/>
                <w:b w:val="1"/>
                <w:bCs w:val="1"/>
                <w:color w:val="FFFFFF"/>
              </w:rPr>
              <w:t>Dec 21</w:t>
            </w:r>
          </w:p>
        </w:tc>
        <w:tc>
          <w:tcPr>
            <w:tcW w:w="1340" w:type="dxa"/>
            <w:vAlign w:val="bottom"/>
            <w:tcBorders>
              <w:bottom w:val="single" w:sz="8" w:color="auto"/>
            </w:tcBorders>
            <w:shd w:val="clear" w:color="auto" w:fill="2AD2C9"/>
          </w:tcPr>
          <w:p>
            <w:pPr>
              <w:jc w:val="right"/>
              <w:ind w:right="613"/>
              <w:spacing w:after="0"/>
              <w:rPr>
                <w:sz w:val="20"/>
                <w:szCs w:val="20"/>
                <w:color w:val="auto"/>
              </w:rPr>
            </w:pPr>
            <w:r>
              <w:rPr>
                <w:rFonts w:ascii="Arial" w:cs="Arial" w:eastAsia="Arial" w:hAnsi="Arial"/>
                <w:sz w:val="13"/>
                <w:szCs w:val="13"/>
                <w:b w:val="1"/>
                <w:bCs w:val="1"/>
                <w:color w:val="FFFFFF"/>
              </w:rPr>
              <w:t>Set 22</w:t>
            </w:r>
          </w:p>
        </w:tc>
        <w:tc>
          <w:tcPr>
            <w:tcW w:w="1160" w:type="dxa"/>
            <w:vAlign w:val="bottom"/>
            <w:tcBorders>
              <w:bottom w:val="single" w:sz="8" w:color="auto"/>
              <w:right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Dec 22</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92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36"/>
        </w:trPr>
        <w:tc>
          <w:tcPr>
            <w:tcW w:w="5440" w:type="dxa"/>
            <w:vAlign w:val="bottom"/>
            <w:tcBorders>
              <w:left w:val="single" w:sz="8" w:color="auto"/>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Capital Stock</w:t>
            </w:r>
          </w:p>
        </w:tc>
        <w:tc>
          <w:tcPr>
            <w:tcW w:w="152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1,714,577</w:t>
            </w:r>
          </w:p>
        </w:tc>
        <w:tc>
          <w:tcPr>
            <w:tcW w:w="13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1,840,606</w:t>
            </w:r>
          </w:p>
        </w:tc>
        <w:tc>
          <w:tcPr>
            <w:tcW w:w="116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1,840,606</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Legal and Other capital reserves</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246,305</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264,221</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264,221</w:t>
            </w:r>
          </w:p>
        </w:tc>
        <w:tc>
          <w:tcPr>
            <w:tcW w:w="880" w:type="dxa"/>
            <w:vAlign w:val="bottom"/>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35"/>
        </w:trPr>
        <w:tc>
          <w:tcPr>
            <w:tcW w:w="5440" w:type="dxa"/>
            <w:vAlign w:val="bottom"/>
            <w:tcBorders>
              <w:left w:val="single" w:sz="8" w:color="auto"/>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Accumulated earnings with capitalization agreement</w:t>
            </w:r>
          </w:p>
        </w:tc>
        <w:tc>
          <w:tcPr>
            <w:tcW w:w="152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143,318</w:t>
            </w:r>
          </w:p>
        </w:tc>
        <w:tc>
          <w:tcPr>
            <w:tcW w:w="13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6"/>
        </w:trPr>
        <w:tc>
          <w:tcPr>
            <w:tcW w:w="5440" w:type="dxa"/>
            <w:vAlign w:val="bottom"/>
            <w:tcBorders>
              <w:left w:val="single" w:sz="8" w:color="auto"/>
              <w:right w:val="single" w:sz="8" w:color="auto"/>
            </w:tcBorders>
          </w:tcPr>
          <w:p>
            <w:pPr>
              <w:ind w:left="40"/>
              <w:spacing w:after="0" w:line="166" w:lineRule="exact"/>
              <w:rPr>
                <w:sz w:val="20"/>
                <w:szCs w:val="20"/>
                <w:color w:val="auto"/>
              </w:rPr>
            </w:pPr>
            <w:r>
              <w:rPr>
                <w:rFonts w:ascii="Arial" w:cs="Arial" w:eastAsia="Arial" w:hAnsi="Arial"/>
                <w:sz w:val="12"/>
                <w:szCs w:val="12"/>
                <w:color w:val="auto"/>
              </w:rPr>
              <w:t xml:space="preserve">Loan loss reserves </w:t>
            </w:r>
            <w:r>
              <w:rPr>
                <w:rFonts w:ascii="Arial" w:cs="Arial" w:eastAsia="Arial" w:hAnsi="Arial"/>
                <w:sz w:val="19"/>
                <w:szCs w:val="19"/>
                <w:color w:val="auto"/>
                <w:vertAlign w:val="superscript"/>
              </w:rPr>
              <w:t>(1)</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155,006</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176,520</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183,155</w:t>
            </w:r>
          </w:p>
        </w:tc>
        <w:tc>
          <w:tcPr>
            <w:tcW w:w="880" w:type="dxa"/>
            <w:vAlign w:val="bottom"/>
          </w:tcPr>
          <w:p>
            <w:pPr>
              <w:jc w:val="center"/>
              <w:spacing w:after="0"/>
              <w:rPr>
                <w:sz w:val="20"/>
                <w:szCs w:val="20"/>
                <w:color w:val="auto"/>
              </w:rPr>
            </w:pPr>
            <w:r>
              <w:rPr>
                <w:rFonts w:ascii="Arial" w:cs="Arial" w:eastAsia="Arial" w:hAnsi="Arial"/>
                <w:sz w:val="13"/>
                <w:szCs w:val="13"/>
                <w:color w:val="auto"/>
              </w:rPr>
              <w:t>3.8%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Perpetual subordinated debt</w:t>
            </w:r>
          </w:p>
        </w:tc>
        <w:tc>
          <w:tcPr>
            <w:tcW w:w="1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Subordinated Debt</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185,000</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179,000</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179,000</w:t>
            </w:r>
          </w:p>
        </w:tc>
        <w:tc>
          <w:tcPr>
            <w:tcW w:w="880" w:type="dxa"/>
            <w:vAlign w:val="bottom"/>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-3.2%</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Investment in subsidiaries and others, net of unrealized profit and net income</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Investment in subsidiaries and others</w:t>
            </w:r>
          </w:p>
        </w:tc>
        <w:tc>
          <w:tcPr>
            <w:tcW w:w="1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Unrealized profit and net income in subsidiaries</w:t>
            </w:r>
          </w:p>
        </w:tc>
        <w:tc>
          <w:tcPr>
            <w:tcW w:w="1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Goodwill</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(139,180)</w:t>
            </w:r>
          </w:p>
        </w:tc>
        <w:tc>
          <w:tcPr>
            <w:tcW w:w="1340" w:type="dxa"/>
            <w:vAlign w:val="bottom"/>
          </w:tcPr>
          <w:p>
            <w:pPr>
              <w:jc w:val="right"/>
              <w:ind w:right="173"/>
              <w:spacing w:after="0"/>
              <w:rPr>
                <w:sz w:val="20"/>
                <w:szCs w:val="20"/>
                <w:color w:val="auto"/>
              </w:rPr>
            </w:pPr>
            <w:r>
              <w:rPr>
                <w:rFonts w:ascii="Arial" w:cs="Arial" w:eastAsia="Arial" w:hAnsi="Arial"/>
                <w:sz w:val="13"/>
                <w:szCs w:val="13"/>
                <w:color w:val="auto"/>
              </w:rPr>
              <w:t>(139,180)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(139,180)</w:t>
            </w:r>
          </w:p>
        </w:tc>
        <w:tc>
          <w:tcPr>
            <w:tcW w:w="880" w:type="dxa"/>
            <w:vAlign w:val="bottom"/>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Accumulated Losses</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1"/>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Total Regulatory Capital - SBS</w:t>
            </w:r>
          </w:p>
        </w:tc>
        <w:tc>
          <w:tcPr>
            <w:tcW w:w="15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2,305,026</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2,321,167</w:t>
            </w:r>
          </w:p>
        </w:tc>
        <w:tc>
          <w:tcPr>
            <w:tcW w:w="11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2,327,801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0.3%</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1.0%</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544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9"/>
                <w:szCs w:val="9"/>
                <w:color w:val="auto"/>
              </w:rPr>
              <w:t xml:space="preserve">Regulatory Tier 1 Capital </w:t>
            </w:r>
            <w:r>
              <w:rPr>
                <w:rFonts w:ascii="Arial" w:cs="Arial" w:eastAsia="Arial" w:hAnsi="Arial"/>
                <w:sz w:val="13"/>
                <w:szCs w:val="13"/>
                <w:color w:val="auto"/>
                <w:vertAlign w:val="superscript"/>
              </w:rPr>
              <w:t>(2)</w:t>
            </w:r>
          </w:p>
        </w:tc>
        <w:tc>
          <w:tcPr>
            <w:tcW w:w="1520" w:type="dxa"/>
            <w:vAlign w:val="bottom"/>
          </w:tcPr>
          <w:p>
            <w:pPr>
              <w:jc w:val="right"/>
              <w:ind w:right="253"/>
              <w:spacing w:after="0" w:line="121" w:lineRule="exact"/>
              <w:rPr>
                <w:sz w:val="20"/>
                <w:szCs w:val="20"/>
                <w:color w:val="auto"/>
              </w:rPr>
            </w:pPr>
            <w:r>
              <w:rPr>
                <w:rFonts w:ascii="Arial" w:cs="Arial" w:eastAsia="Arial" w:hAnsi="Arial"/>
                <w:sz w:val="13"/>
                <w:szCs w:val="13"/>
                <w:color w:val="auto"/>
              </w:rPr>
              <w:t>1,962,285</w:t>
            </w:r>
          </w:p>
        </w:tc>
        <w:tc>
          <w:tcPr>
            <w:tcW w:w="1340" w:type="dxa"/>
            <w:vAlign w:val="bottom"/>
          </w:tcPr>
          <w:p>
            <w:pPr>
              <w:jc w:val="right"/>
              <w:ind w:right="253"/>
              <w:spacing w:after="0" w:line="121" w:lineRule="exact"/>
              <w:rPr>
                <w:sz w:val="20"/>
                <w:szCs w:val="20"/>
                <w:color w:val="auto"/>
              </w:rPr>
            </w:pPr>
            <w:r>
              <w:rPr>
                <w:rFonts w:ascii="Arial" w:cs="Arial" w:eastAsia="Arial" w:hAnsi="Arial"/>
                <w:sz w:val="13"/>
                <w:szCs w:val="13"/>
                <w:color w:val="auto"/>
              </w:rPr>
              <w:t>1,962,906</w:t>
            </w:r>
          </w:p>
        </w:tc>
        <w:tc>
          <w:tcPr>
            <w:tcW w:w="1160" w:type="dxa"/>
            <w:vAlign w:val="bottom"/>
            <w:tcBorders>
              <w:right w:val="single" w:sz="8" w:color="auto"/>
            </w:tcBorders>
          </w:tcPr>
          <w:p>
            <w:pPr>
              <w:jc w:val="right"/>
              <w:ind w:right="53"/>
              <w:spacing w:after="0" w:line="121" w:lineRule="exact"/>
              <w:rPr>
                <w:sz w:val="20"/>
                <w:szCs w:val="20"/>
                <w:color w:val="auto"/>
              </w:rPr>
            </w:pPr>
            <w:r>
              <w:rPr>
                <w:rFonts w:ascii="Arial" w:cs="Arial" w:eastAsia="Arial" w:hAnsi="Arial"/>
                <w:sz w:val="13"/>
                <w:szCs w:val="13"/>
                <w:color w:val="auto"/>
              </w:rPr>
              <w:t>1,962,906</w:t>
            </w: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4"/>
        </w:trPr>
        <w:tc>
          <w:tcPr>
            <w:tcW w:w="5440" w:type="dxa"/>
            <w:vAlign w:val="bottom"/>
            <w:tcBorders>
              <w:left w:val="single" w:sz="8" w:color="auto"/>
              <w:bottom w:val="single" w:sz="8" w:color="auto"/>
              <w:right w:val="single" w:sz="8" w:color="auto"/>
            </w:tcBorders>
          </w:tcPr>
          <w:p>
            <w:pPr>
              <w:ind w:left="40"/>
              <w:spacing w:after="0" w:line="174" w:lineRule="exact"/>
              <w:rPr>
                <w:sz w:val="20"/>
                <w:szCs w:val="20"/>
                <w:color w:val="auto"/>
              </w:rPr>
            </w:pPr>
            <w:r>
              <w:rPr>
                <w:rFonts w:ascii="Arial" w:cs="Arial" w:eastAsia="Arial" w:hAnsi="Arial"/>
                <w:sz w:val="12"/>
                <w:szCs w:val="12"/>
                <w:color w:val="auto"/>
              </w:rPr>
              <w:t xml:space="preserve">Regulatory Tier 2 Capital </w:t>
            </w:r>
            <w:r>
              <w:rPr>
                <w:rFonts w:ascii="Arial" w:cs="Arial" w:eastAsia="Arial" w:hAnsi="Arial"/>
                <w:sz w:val="20"/>
                <w:szCs w:val="20"/>
                <w:color w:val="auto"/>
                <w:vertAlign w:val="superscript"/>
              </w:rPr>
              <w:t>(3)</w:t>
            </w:r>
          </w:p>
        </w:tc>
        <w:tc>
          <w:tcPr>
            <w:tcW w:w="15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342,741</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358,260</w:t>
            </w:r>
          </w:p>
        </w:tc>
        <w:tc>
          <w:tcPr>
            <w:tcW w:w="11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364,895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1.9%</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44"/>
        </w:trPr>
        <w:tc>
          <w:tcPr>
            <w:tcW w:w="54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40" w:type="dxa"/>
            <w:vAlign w:val="bottom"/>
            <w:tcBorders>
              <w:left w:val="single" w:sz="8" w:color="auto"/>
              <w:bottom w:val="single" w:sz="8" w:color="auto"/>
              <w:right w:val="single" w:sz="8" w:color="auto"/>
            </w:tcBorders>
          </w:tcPr>
          <w:p>
            <w:pPr>
              <w:ind w:left="40"/>
              <w:spacing w:after="0" w:line="144" w:lineRule="exact"/>
              <w:rPr>
                <w:sz w:val="20"/>
                <w:szCs w:val="20"/>
                <w:color w:val="auto"/>
              </w:rPr>
            </w:pPr>
            <w:r>
              <w:rPr>
                <w:rFonts w:ascii="Arial" w:cs="Arial" w:eastAsia="Arial" w:hAnsi="Arial"/>
                <w:sz w:val="10"/>
                <w:szCs w:val="10"/>
                <w:b w:val="1"/>
                <w:bCs w:val="1"/>
                <w:color w:val="auto"/>
              </w:rPr>
              <w:t xml:space="preserve">Total risk-weighted assets - SBS </w:t>
            </w:r>
            <w:r>
              <w:rPr>
                <w:rFonts w:ascii="Arial" w:cs="Arial" w:eastAsia="Arial" w:hAnsi="Arial"/>
                <w:sz w:val="16"/>
                <w:szCs w:val="16"/>
                <w:b w:val="1"/>
                <w:bCs w:val="1"/>
                <w:color w:val="auto"/>
                <w:vertAlign w:val="superscript"/>
              </w:rPr>
              <w:t>(4)</w:t>
            </w:r>
          </w:p>
        </w:tc>
        <w:tc>
          <w:tcPr>
            <w:tcW w:w="152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14,055,965</w:t>
            </w:r>
          </w:p>
        </w:tc>
        <w:tc>
          <w:tcPr>
            <w:tcW w:w="13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15,882,853</w:t>
            </w:r>
          </w:p>
        </w:tc>
        <w:tc>
          <w:tcPr>
            <w:tcW w:w="1160" w:type="dxa"/>
            <w:vAlign w:val="bottom"/>
            <w:tcBorders>
              <w:bottom w:val="single" w:sz="8" w:color="auto"/>
              <w:right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15,850,329</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-0.2%</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12.8%</w:t>
            </w:r>
          </w:p>
        </w:tc>
        <w:tc>
          <w:tcPr>
            <w:tcW w:w="0" w:type="dxa"/>
            <w:vAlign w:val="bottom"/>
          </w:tcPr>
          <w:p>
            <w:pPr>
              <w:spacing w:after="0"/>
              <w:rPr>
                <w:sz w:val="1"/>
                <w:szCs w:val="1"/>
                <w:color w:val="auto"/>
              </w:rPr>
            </w:pPr>
          </w:p>
        </w:tc>
      </w:tr>
      <w:tr>
        <w:trPr>
          <w:trHeight w:val="121"/>
        </w:trPr>
        <w:tc>
          <w:tcPr>
            <w:tcW w:w="544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13"/>
                <w:szCs w:val="13"/>
                <w:color w:val="auto"/>
              </w:rPr>
              <w:t>Credit risk-weighted assets</w:t>
            </w:r>
          </w:p>
        </w:tc>
        <w:tc>
          <w:tcPr>
            <w:tcW w:w="1520" w:type="dxa"/>
            <w:vAlign w:val="bottom"/>
          </w:tcPr>
          <w:p>
            <w:pPr>
              <w:jc w:val="right"/>
              <w:ind w:right="253"/>
              <w:spacing w:after="0" w:line="121" w:lineRule="exact"/>
              <w:rPr>
                <w:sz w:val="20"/>
                <w:szCs w:val="20"/>
                <w:color w:val="auto"/>
              </w:rPr>
            </w:pPr>
            <w:r>
              <w:rPr>
                <w:rFonts w:ascii="Arial" w:cs="Arial" w:eastAsia="Arial" w:hAnsi="Arial"/>
                <w:sz w:val="13"/>
                <w:szCs w:val="13"/>
                <w:b w:val="1"/>
                <w:bCs w:val="1"/>
                <w:color w:val="auto"/>
              </w:rPr>
              <w:t>12,017,913</w:t>
            </w:r>
          </w:p>
        </w:tc>
        <w:tc>
          <w:tcPr>
            <w:tcW w:w="1340" w:type="dxa"/>
            <w:vAlign w:val="bottom"/>
          </w:tcPr>
          <w:p>
            <w:pPr>
              <w:jc w:val="right"/>
              <w:ind w:right="253"/>
              <w:spacing w:after="0" w:line="121" w:lineRule="exact"/>
              <w:rPr>
                <w:sz w:val="20"/>
                <w:szCs w:val="20"/>
                <w:color w:val="auto"/>
              </w:rPr>
            </w:pPr>
            <w:r>
              <w:rPr>
                <w:rFonts w:ascii="Arial" w:cs="Arial" w:eastAsia="Arial" w:hAnsi="Arial"/>
                <w:sz w:val="13"/>
                <w:szCs w:val="13"/>
                <w:b w:val="1"/>
                <w:bCs w:val="1"/>
                <w:color w:val="auto"/>
              </w:rPr>
              <w:t>13,811,480</w:t>
            </w:r>
          </w:p>
        </w:tc>
        <w:tc>
          <w:tcPr>
            <w:tcW w:w="1160" w:type="dxa"/>
            <w:vAlign w:val="bottom"/>
            <w:tcBorders>
              <w:right w:val="single" w:sz="8" w:color="auto"/>
            </w:tcBorders>
          </w:tcPr>
          <w:p>
            <w:pPr>
              <w:jc w:val="right"/>
              <w:ind w:right="53"/>
              <w:spacing w:after="0" w:line="121" w:lineRule="exact"/>
              <w:rPr>
                <w:sz w:val="20"/>
                <w:szCs w:val="20"/>
                <w:color w:val="auto"/>
              </w:rPr>
            </w:pPr>
            <w:r>
              <w:rPr>
                <w:rFonts w:ascii="Arial" w:cs="Arial" w:eastAsia="Arial" w:hAnsi="Arial"/>
                <w:sz w:val="13"/>
                <w:szCs w:val="13"/>
                <w:b w:val="1"/>
                <w:bCs w:val="1"/>
                <w:color w:val="auto"/>
              </w:rPr>
              <w:t>14,345,663</w:t>
            </w: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rPr>
              <w:t>3.9%</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64"/>
        </w:trPr>
        <w:tc>
          <w:tcPr>
            <w:tcW w:w="5440" w:type="dxa"/>
            <w:vAlign w:val="bottom"/>
            <w:tcBorders>
              <w:left w:val="single" w:sz="8" w:color="auto"/>
              <w:right w:val="single" w:sz="8" w:color="auto"/>
            </w:tcBorders>
          </w:tcPr>
          <w:p>
            <w:pPr>
              <w:ind w:left="40"/>
              <w:spacing w:after="0" w:line="164" w:lineRule="exact"/>
              <w:rPr>
                <w:sz w:val="20"/>
                <w:szCs w:val="20"/>
                <w:color w:val="auto"/>
              </w:rPr>
            </w:pPr>
            <w:r>
              <w:rPr>
                <w:rFonts w:ascii="Arial" w:cs="Arial" w:eastAsia="Arial" w:hAnsi="Arial"/>
                <w:sz w:val="12"/>
                <w:szCs w:val="12"/>
                <w:color w:val="auto"/>
              </w:rPr>
              <w:t xml:space="preserve">Market risk-weighted assets </w:t>
            </w:r>
            <w:r>
              <w:rPr>
                <w:rFonts w:ascii="Arial" w:cs="Arial" w:eastAsia="Arial" w:hAnsi="Arial"/>
                <w:sz w:val="19"/>
                <w:szCs w:val="19"/>
                <w:color w:val="auto"/>
                <w:vertAlign w:val="superscript"/>
              </w:rPr>
              <w:t>(5)</w:t>
            </w:r>
          </w:p>
        </w:tc>
        <w:tc>
          <w:tcPr>
            <w:tcW w:w="1520" w:type="dxa"/>
            <w:vAlign w:val="bottom"/>
          </w:tcPr>
          <w:p>
            <w:pPr>
              <w:jc w:val="right"/>
              <w:ind w:right="253"/>
              <w:spacing w:after="0"/>
              <w:rPr>
                <w:sz w:val="20"/>
                <w:szCs w:val="20"/>
                <w:color w:val="auto"/>
              </w:rPr>
            </w:pPr>
            <w:r>
              <w:rPr>
                <w:rFonts w:ascii="Arial" w:cs="Arial" w:eastAsia="Arial" w:hAnsi="Arial"/>
                <w:sz w:val="13"/>
                <w:szCs w:val="13"/>
                <w:b w:val="1"/>
                <w:bCs w:val="1"/>
                <w:color w:val="auto"/>
              </w:rPr>
              <w:t>149,357</w:t>
            </w:r>
          </w:p>
        </w:tc>
        <w:tc>
          <w:tcPr>
            <w:tcW w:w="1340" w:type="dxa"/>
            <w:vAlign w:val="bottom"/>
          </w:tcPr>
          <w:p>
            <w:pPr>
              <w:jc w:val="right"/>
              <w:ind w:right="253"/>
              <w:spacing w:after="0"/>
              <w:rPr>
                <w:sz w:val="20"/>
                <w:szCs w:val="20"/>
                <w:color w:val="auto"/>
              </w:rPr>
            </w:pPr>
            <w:r>
              <w:rPr>
                <w:rFonts w:ascii="Arial" w:cs="Arial" w:eastAsia="Arial" w:hAnsi="Arial"/>
                <w:sz w:val="13"/>
                <w:szCs w:val="13"/>
                <w:b w:val="1"/>
                <w:bCs w:val="1"/>
                <w:color w:val="auto"/>
              </w:rPr>
              <w:t>115,614</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96,803</w:t>
            </w:r>
          </w:p>
        </w:tc>
        <w:tc>
          <w:tcPr>
            <w:tcW w:w="880" w:type="dxa"/>
            <w:vAlign w:val="bottom"/>
          </w:tcPr>
          <w:p>
            <w:pPr>
              <w:jc w:val="center"/>
              <w:spacing w:after="0"/>
              <w:rPr>
                <w:sz w:val="20"/>
                <w:szCs w:val="20"/>
                <w:color w:val="auto"/>
              </w:rPr>
            </w:pPr>
            <w:r>
              <w:rPr>
                <w:rFonts w:ascii="Arial" w:cs="Arial" w:eastAsia="Arial" w:hAnsi="Arial"/>
                <w:sz w:val="13"/>
                <w:szCs w:val="13"/>
                <w:color w:val="auto"/>
              </w:rPr>
              <w:t>-16.3%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61"/>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Operational risk-weighted assets</w:t>
            </w:r>
          </w:p>
        </w:tc>
        <w:tc>
          <w:tcPr>
            <w:tcW w:w="15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1,888,695</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1,955,759</w:t>
            </w:r>
          </w:p>
        </w:tc>
        <w:tc>
          <w:tcPr>
            <w:tcW w:w="11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1,407,863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-28.0%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440" w:type="dxa"/>
            <w:vAlign w:val="bottom"/>
            <w:tcBorders>
              <w:left w:val="single" w:sz="8" w:color="auto"/>
              <w:bottom w:val="single" w:sz="8" w:color="auto"/>
              <w:right w:val="single" w:sz="8" w:color="auto"/>
            </w:tcBorders>
          </w:tcPr>
          <w:p>
            <w:pPr>
              <w:ind w:left="40"/>
              <w:spacing w:after="0" w:line="144" w:lineRule="exact"/>
              <w:rPr>
                <w:sz w:val="20"/>
                <w:szCs w:val="20"/>
                <w:color w:val="auto"/>
              </w:rPr>
            </w:pPr>
            <w:r>
              <w:rPr>
                <w:rFonts w:ascii="Arial" w:cs="Arial" w:eastAsia="Arial" w:hAnsi="Arial"/>
                <w:sz w:val="13"/>
                <w:szCs w:val="13"/>
                <w:b w:val="1"/>
                <w:bCs w:val="1"/>
                <w:color w:val="auto"/>
              </w:rPr>
              <w:t>Total capital requirement</w:t>
            </w:r>
          </w:p>
        </w:tc>
        <w:tc>
          <w:tcPr>
            <w:tcW w:w="152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1,533,787</w:t>
            </w:r>
          </w:p>
        </w:tc>
        <w:tc>
          <w:tcPr>
            <w:tcW w:w="13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1,744,815</w:t>
            </w:r>
          </w:p>
        </w:tc>
        <w:tc>
          <w:tcPr>
            <w:tcW w:w="1160" w:type="dxa"/>
            <w:vAlign w:val="bottom"/>
            <w:tcBorders>
              <w:bottom w:val="single" w:sz="8" w:color="auto"/>
              <w:right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1,950,545</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7"/>
              </w:rPr>
              <w:t>11.8%</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27.2%</w:t>
            </w:r>
          </w:p>
        </w:tc>
        <w:tc>
          <w:tcPr>
            <w:tcW w:w="0" w:type="dxa"/>
            <w:vAlign w:val="bottom"/>
          </w:tcPr>
          <w:p>
            <w:pPr>
              <w:spacing w:after="0"/>
              <w:rPr>
                <w:sz w:val="1"/>
                <w:szCs w:val="1"/>
                <w:color w:val="auto"/>
              </w:rPr>
            </w:pPr>
          </w:p>
        </w:tc>
      </w:tr>
      <w:tr>
        <w:trPr>
          <w:trHeight w:val="134"/>
        </w:trPr>
        <w:tc>
          <w:tcPr>
            <w:tcW w:w="5440" w:type="dxa"/>
            <w:vAlign w:val="bottom"/>
            <w:tcBorders>
              <w:left w:val="single" w:sz="8" w:color="auto"/>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Credit risk capital requirement</w:t>
            </w:r>
          </w:p>
        </w:tc>
        <w:tc>
          <w:tcPr>
            <w:tcW w:w="1520" w:type="dxa"/>
            <w:vAlign w:val="bottom"/>
          </w:tcPr>
          <w:p>
            <w:pPr>
              <w:jc w:val="right"/>
              <w:ind w:right="253"/>
              <w:spacing w:after="0" w:line="134" w:lineRule="exact"/>
              <w:rPr>
                <w:sz w:val="20"/>
                <w:szCs w:val="20"/>
                <w:color w:val="auto"/>
              </w:rPr>
            </w:pPr>
            <w:r>
              <w:rPr>
                <w:rFonts w:ascii="Arial" w:cs="Arial" w:eastAsia="Arial" w:hAnsi="Arial"/>
                <w:sz w:val="13"/>
                <w:szCs w:val="13"/>
                <w:b w:val="1"/>
                <w:bCs w:val="1"/>
                <w:color w:val="auto"/>
              </w:rPr>
              <w:t>1,201,791</w:t>
            </w:r>
          </w:p>
        </w:tc>
        <w:tc>
          <w:tcPr>
            <w:tcW w:w="1340" w:type="dxa"/>
            <w:vAlign w:val="bottom"/>
          </w:tcPr>
          <w:p>
            <w:pPr>
              <w:jc w:val="right"/>
              <w:ind w:right="253"/>
              <w:spacing w:after="0" w:line="134" w:lineRule="exact"/>
              <w:rPr>
                <w:sz w:val="20"/>
                <w:szCs w:val="20"/>
                <w:color w:val="auto"/>
              </w:rPr>
            </w:pPr>
            <w:r>
              <w:rPr>
                <w:rFonts w:ascii="Arial" w:cs="Arial" w:eastAsia="Arial" w:hAnsi="Arial"/>
                <w:sz w:val="13"/>
                <w:szCs w:val="13"/>
                <w:b w:val="1"/>
                <w:bCs w:val="1"/>
                <w:color w:val="auto"/>
              </w:rPr>
              <w:t>1,381,148</w:t>
            </w:r>
          </w:p>
        </w:tc>
        <w:tc>
          <w:tcPr>
            <w:tcW w:w="1160" w:type="dxa"/>
            <w:vAlign w:val="bottom"/>
            <w:tcBorders>
              <w:right w:val="single" w:sz="8" w:color="auto"/>
            </w:tcBorders>
          </w:tcPr>
          <w:p>
            <w:pPr>
              <w:jc w:val="right"/>
              <w:ind w:right="53"/>
              <w:spacing w:after="0" w:line="134" w:lineRule="exact"/>
              <w:rPr>
                <w:sz w:val="20"/>
                <w:szCs w:val="20"/>
                <w:color w:val="auto"/>
              </w:rPr>
            </w:pPr>
            <w:r>
              <w:rPr>
                <w:rFonts w:ascii="Arial" w:cs="Arial" w:eastAsia="Arial" w:hAnsi="Arial"/>
                <w:sz w:val="13"/>
                <w:szCs w:val="13"/>
                <w:b w:val="1"/>
                <w:bCs w:val="1"/>
                <w:color w:val="auto"/>
              </w:rPr>
              <w:t>1,434,566</w:t>
            </w:r>
          </w:p>
        </w:tc>
        <w:tc>
          <w:tcPr>
            <w:tcW w:w="880" w:type="dxa"/>
            <w:vAlign w:val="bottom"/>
          </w:tcPr>
          <w:p>
            <w:pPr>
              <w:jc w:val="center"/>
              <w:spacing w:after="0" w:line="134" w:lineRule="exact"/>
              <w:rPr>
                <w:sz w:val="20"/>
                <w:szCs w:val="20"/>
                <w:color w:val="auto"/>
              </w:rPr>
            </w:pPr>
            <w:r>
              <w:rPr>
                <w:rFonts w:ascii="Arial" w:cs="Arial" w:eastAsia="Arial" w:hAnsi="Arial"/>
                <w:sz w:val="13"/>
                <w:szCs w:val="13"/>
                <w:color w:val="auto"/>
              </w:rPr>
              <w:t>3.9%</w:t>
            </w:r>
          </w:p>
        </w:tc>
        <w:tc>
          <w:tcPr>
            <w:tcW w:w="92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Market risk-weighted assets</w:t>
            </w:r>
          </w:p>
        </w:tc>
        <w:tc>
          <w:tcPr>
            <w:tcW w:w="1520" w:type="dxa"/>
            <w:vAlign w:val="bottom"/>
          </w:tcPr>
          <w:p>
            <w:pPr>
              <w:jc w:val="right"/>
              <w:ind w:right="253"/>
              <w:spacing w:after="0"/>
              <w:rPr>
                <w:sz w:val="20"/>
                <w:szCs w:val="20"/>
                <w:color w:val="auto"/>
              </w:rPr>
            </w:pPr>
            <w:r>
              <w:rPr>
                <w:rFonts w:ascii="Arial" w:cs="Arial" w:eastAsia="Arial" w:hAnsi="Arial"/>
                <w:sz w:val="13"/>
                <w:szCs w:val="13"/>
                <w:b w:val="1"/>
                <w:bCs w:val="1"/>
                <w:color w:val="auto"/>
              </w:rPr>
              <w:t>14,936</w:t>
            </w:r>
          </w:p>
        </w:tc>
        <w:tc>
          <w:tcPr>
            <w:tcW w:w="1340" w:type="dxa"/>
            <w:vAlign w:val="bottom"/>
          </w:tcPr>
          <w:p>
            <w:pPr>
              <w:jc w:val="right"/>
              <w:ind w:right="253"/>
              <w:spacing w:after="0"/>
              <w:rPr>
                <w:sz w:val="20"/>
                <w:szCs w:val="20"/>
                <w:color w:val="auto"/>
              </w:rPr>
            </w:pPr>
            <w:r>
              <w:rPr>
                <w:rFonts w:ascii="Arial" w:cs="Arial" w:eastAsia="Arial" w:hAnsi="Arial"/>
                <w:sz w:val="13"/>
                <w:szCs w:val="13"/>
                <w:b w:val="1"/>
                <w:bCs w:val="1"/>
                <w:color w:val="auto"/>
              </w:rPr>
              <w:t>11,561</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9,680</w:t>
            </w:r>
          </w:p>
        </w:tc>
        <w:tc>
          <w:tcPr>
            <w:tcW w:w="880" w:type="dxa"/>
            <w:vAlign w:val="bottom"/>
          </w:tcPr>
          <w:p>
            <w:pPr>
              <w:jc w:val="center"/>
              <w:spacing w:after="0"/>
              <w:rPr>
                <w:sz w:val="20"/>
                <w:szCs w:val="20"/>
                <w:color w:val="auto"/>
              </w:rPr>
            </w:pPr>
            <w:r>
              <w:rPr>
                <w:rFonts w:ascii="Arial" w:cs="Arial" w:eastAsia="Arial" w:hAnsi="Arial"/>
                <w:sz w:val="13"/>
                <w:szCs w:val="13"/>
                <w:color w:val="auto"/>
              </w:rPr>
              <w:t>-16.3%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Operational risk capital requirement</w:t>
            </w:r>
          </w:p>
        </w:tc>
        <w:tc>
          <w:tcPr>
            <w:tcW w:w="1520" w:type="dxa"/>
            <w:vAlign w:val="bottom"/>
          </w:tcPr>
          <w:p>
            <w:pPr>
              <w:jc w:val="right"/>
              <w:ind w:right="253"/>
              <w:spacing w:after="0"/>
              <w:rPr>
                <w:sz w:val="20"/>
                <w:szCs w:val="20"/>
                <w:color w:val="auto"/>
              </w:rPr>
            </w:pPr>
            <w:r>
              <w:rPr>
                <w:rFonts w:ascii="Arial" w:cs="Arial" w:eastAsia="Arial" w:hAnsi="Arial"/>
                <w:sz w:val="13"/>
                <w:szCs w:val="13"/>
                <w:b w:val="1"/>
                <w:bCs w:val="1"/>
                <w:color w:val="auto"/>
              </w:rPr>
              <w:t>188,869</w:t>
            </w:r>
          </w:p>
        </w:tc>
        <w:tc>
          <w:tcPr>
            <w:tcW w:w="1340" w:type="dxa"/>
            <w:vAlign w:val="bottom"/>
          </w:tcPr>
          <w:p>
            <w:pPr>
              <w:jc w:val="right"/>
              <w:ind w:right="253"/>
              <w:spacing w:after="0"/>
              <w:rPr>
                <w:sz w:val="20"/>
                <w:szCs w:val="20"/>
                <w:color w:val="auto"/>
              </w:rPr>
            </w:pPr>
            <w:r>
              <w:rPr>
                <w:rFonts w:ascii="Arial" w:cs="Arial" w:eastAsia="Arial" w:hAnsi="Arial"/>
                <w:sz w:val="13"/>
                <w:szCs w:val="13"/>
                <w:b w:val="1"/>
                <w:bCs w:val="1"/>
                <w:color w:val="auto"/>
              </w:rPr>
              <w:t>195,576</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140,786</w:t>
            </w:r>
          </w:p>
        </w:tc>
        <w:tc>
          <w:tcPr>
            <w:tcW w:w="880" w:type="dxa"/>
            <w:vAlign w:val="bottom"/>
          </w:tcPr>
          <w:p>
            <w:pPr>
              <w:jc w:val="center"/>
              <w:spacing w:after="0"/>
              <w:rPr>
                <w:sz w:val="20"/>
                <w:szCs w:val="20"/>
                <w:color w:val="auto"/>
              </w:rPr>
            </w:pPr>
            <w:r>
              <w:rPr>
                <w:rFonts w:ascii="Arial" w:cs="Arial" w:eastAsia="Arial" w:hAnsi="Arial"/>
                <w:sz w:val="13"/>
                <w:szCs w:val="13"/>
                <w:color w:val="auto"/>
              </w:rPr>
              <w:t>-28.0%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61"/>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Additional capital requirements</w:t>
            </w:r>
          </w:p>
        </w:tc>
        <w:tc>
          <w:tcPr>
            <w:tcW w:w="15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128,191</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156,530</w:t>
            </w:r>
          </w:p>
        </w:tc>
        <w:tc>
          <w:tcPr>
            <w:tcW w:w="11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365,512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133.5%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185.1%</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440" w:type="dxa"/>
            <w:vAlign w:val="bottom"/>
            <w:tcBorders>
              <w:left w:val="single" w:sz="8" w:color="auto"/>
              <w:bottom w:val="single" w:sz="8" w:color="auto"/>
              <w:right w:val="single" w:sz="8" w:color="auto"/>
            </w:tcBorders>
          </w:tcPr>
          <w:p>
            <w:pPr>
              <w:ind w:left="40"/>
              <w:spacing w:after="0" w:line="144" w:lineRule="exact"/>
              <w:rPr>
                <w:sz w:val="20"/>
                <w:szCs w:val="20"/>
                <w:color w:val="auto"/>
              </w:rPr>
            </w:pPr>
            <w:r>
              <w:rPr>
                <w:rFonts w:ascii="Arial" w:cs="Arial" w:eastAsia="Arial" w:hAnsi="Arial"/>
                <w:sz w:val="10"/>
                <w:szCs w:val="10"/>
                <w:b w:val="1"/>
                <w:bCs w:val="1"/>
                <w:color w:val="auto"/>
              </w:rPr>
              <w:t xml:space="preserve">Common Equity Tier 1 - Basel IFRS </w:t>
            </w:r>
            <w:r>
              <w:rPr>
                <w:rFonts w:ascii="Arial" w:cs="Arial" w:eastAsia="Arial" w:hAnsi="Arial"/>
                <w:sz w:val="16"/>
                <w:szCs w:val="16"/>
                <w:b w:val="1"/>
                <w:bCs w:val="1"/>
                <w:color w:val="auto"/>
                <w:vertAlign w:val="superscript"/>
              </w:rPr>
              <w:t>(6)</w:t>
            </w:r>
          </w:p>
        </w:tc>
        <w:tc>
          <w:tcPr>
            <w:tcW w:w="152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2,030,025</w:t>
            </w:r>
          </w:p>
        </w:tc>
        <w:tc>
          <w:tcPr>
            <w:tcW w:w="13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2,392,634</w:t>
            </w:r>
          </w:p>
        </w:tc>
        <w:tc>
          <w:tcPr>
            <w:tcW w:w="1160" w:type="dxa"/>
            <w:vAlign w:val="bottom"/>
            <w:tcBorders>
              <w:bottom w:val="single" w:sz="8" w:color="auto"/>
              <w:right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2,431,337</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1.6%</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19.8%</w:t>
            </w:r>
          </w:p>
        </w:tc>
        <w:tc>
          <w:tcPr>
            <w:tcW w:w="0" w:type="dxa"/>
            <w:vAlign w:val="bottom"/>
          </w:tcPr>
          <w:p>
            <w:pPr>
              <w:spacing w:after="0"/>
              <w:rPr>
                <w:sz w:val="1"/>
                <w:szCs w:val="1"/>
                <w:color w:val="auto"/>
              </w:rPr>
            </w:pPr>
          </w:p>
        </w:tc>
      </w:tr>
      <w:tr>
        <w:trPr>
          <w:trHeight w:val="136"/>
        </w:trPr>
        <w:tc>
          <w:tcPr>
            <w:tcW w:w="5440" w:type="dxa"/>
            <w:vAlign w:val="bottom"/>
            <w:tcBorders>
              <w:left w:val="single" w:sz="8" w:color="auto"/>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Capital and reserves</w:t>
            </w:r>
          </w:p>
        </w:tc>
        <w:tc>
          <w:tcPr>
            <w:tcW w:w="152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2,489,011</w:t>
            </w:r>
          </w:p>
        </w:tc>
        <w:tc>
          <w:tcPr>
            <w:tcW w:w="13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2,632,956</w:t>
            </w:r>
          </w:p>
        </w:tc>
        <w:tc>
          <w:tcPr>
            <w:tcW w:w="116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2,632,956</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Retained earnings</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(119,674)</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114,341</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161,295</w:t>
            </w:r>
          </w:p>
        </w:tc>
        <w:tc>
          <w:tcPr>
            <w:tcW w:w="880" w:type="dxa"/>
            <w:vAlign w:val="bottom"/>
          </w:tcPr>
          <w:p>
            <w:pPr>
              <w:jc w:val="center"/>
              <w:spacing w:after="0"/>
              <w:rPr>
                <w:sz w:val="20"/>
                <w:szCs w:val="20"/>
                <w:color w:val="auto"/>
              </w:rPr>
            </w:pPr>
            <w:r>
              <w:rPr>
                <w:rFonts w:ascii="Arial" w:cs="Arial" w:eastAsia="Arial" w:hAnsi="Arial"/>
                <w:sz w:val="13"/>
                <w:szCs w:val="13"/>
                <w:color w:val="auto"/>
              </w:rPr>
              <w:t>41.1%</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Unrealized gains (losses)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(6,548)</w:t>
            </w:r>
          </w:p>
        </w:tc>
        <w:tc>
          <w:tcPr>
            <w:tcW w:w="1340" w:type="dxa"/>
            <w:vAlign w:val="bottom"/>
          </w:tcPr>
          <w:p>
            <w:pPr>
              <w:jc w:val="right"/>
              <w:ind w:right="173"/>
              <w:spacing w:after="0"/>
              <w:rPr>
                <w:sz w:val="20"/>
                <w:szCs w:val="20"/>
                <w:color w:val="auto"/>
              </w:rPr>
            </w:pPr>
            <w:r>
              <w:rPr>
                <w:rFonts w:ascii="Arial" w:cs="Arial" w:eastAsia="Arial" w:hAnsi="Arial"/>
                <w:sz w:val="13"/>
                <w:szCs w:val="13"/>
                <w:color w:val="auto"/>
              </w:rPr>
              <w:t>(16,074)</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(12,686)</w:t>
            </w:r>
          </w:p>
        </w:tc>
        <w:tc>
          <w:tcPr>
            <w:tcW w:w="880" w:type="dxa"/>
            <w:vAlign w:val="bottom"/>
          </w:tcPr>
          <w:p>
            <w:pPr>
              <w:jc w:val="center"/>
              <w:spacing w:after="0"/>
              <w:rPr>
                <w:sz w:val="20"/>
                <w:szCs w:val="20"/>
                <w:color w:val="auto"/>
              </w:rPr>
            </w:pPr>
            <w:r>
              <w:rPr>
                <w:rFonts w:ascii="Arial" w:cs="Arial" w:eastAsia="Arial" w:hAnsi="Arial"/>
                <w:sz w:val="13"/>
                <w:szCs w:val="13"/>
                <w:color w:val="auto"/>
              </w:rPr>
              <w:t>-21.1%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159"/>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Goodwill and intangibles</w:t>
            </w: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(332,765)</w:t>
            </w:r>
          </w:p>
        </w:tc>
        <w:tc>
          <w:tcPr>
            <w:tcW w:w="13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(338,589)</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(350,228)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55"/>
        </w:trPr>
        <w:tc>
          <w:tcPr>
            <w:tcW w:w="54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5440" w:type="dxa"/>
            <w:vAlign w:val="bottom"/>
            <w:tcBorders>
              <w:left w:val="single" w:sz="8" w:color="auto"/>
              <w:bottom w:val="single" w:sz="8" w:color="auto"/>
              <w:right w:val="single" w:sz="8" w:color="auto"/>
            </w:tcBorders>
          </w:tcPr>
          <w:p>
            <w:pPr>
              <w:ind w:left="40"/>
              <w:spacing w:after="0" w:line="144" w:lineRule="exact"/>
              <w:rPr>
                <w:sz w:val="20"/>
                <w:szCs w:val="20"/>
                <w:color w:val="auto"/>
              </w:rPr>
            </w:pPr>
            <w:r>
              <w:rPr>
                <w:rFonts w:ascii="Arial" w:cs="Arial" w:eastAsia="Arial" w:hAnsi="Arial"/>
                <w:sz w:val="10"/>
                <w:szCs w:val="10"/>
                <w:b w:val="1"/>
                <w:bCs w:val="1"/>
                <w:color w:val="auto"/>
              </w:rPr>
              <w:t>Adjusted Risk-Weighted Assets</w:t>
            </w:r>
            <w:r>
              <w:rPr>
                <w:rFonts w:ascii="Arial" w:cs="Arial" w:eastAsia="Arial" w:hAnsi="Arial"/>
                <w:sz w:val="10"/>
                <w:szCs w:val="10"/>
                <w:color w:val="auto"/>
              </w:rPr>
              <w:t>-</w:t>
            </w:r>
            <w:r>
              <w:rPr>
                <w:rFonts w:ascii="Arial" w:cs="Arial" w:eastAsia="Arial" w:hAnsi="Arial"/>
                <w:sz w:val="10"/>
                <w:szCs w:val="10"/>
                <w:b w:val="1"/>
                <w:bCs w:val="1"/>
                <w:color w:val="auto"/>
              </w:rPr>
              <w:t xml:space="preserve"> Basel IFRS </w:t>
            </w:r>
            <w:r>
              <w:rPr>
                <w:rFonts w:ascii="Arial" w:cs="Arial" w:eastAsia="Arial" w:hAnsi="Arial"/>
                <w:sz w:val="16"/>
                <w:szCs w:val="16"/>
                <w:b w:val="1"/>
                <w:bCs w:val="1"/>
                <w:color w:val="auto"/>
                <w:vertAlign w:val="superscript"/>
              </w:rPr>
              <w:t>(7)</w:t>
            </w:r>
          </w:p>
        </w:tc>
        <w:tc>
          <w:tcPr>
            <w:tcW w:w="152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13,324,701</w:t>
            </w:r>
          </w:p>
        </w:tc>
        <w:tc>
          <w:tcPr>
            <w:tcW w:w="1340" w:type="dxa"/>
            <w:vAlign w:val="bottom"/>
            <w:tcBorders>
              <w:bottom w:val="single" w:sz="8" w:color="auto"/>
            </w:tcBorders>
          </w:tcPr>
          <w:p>
            <w:pPr>
              <w:jc w:val="right"/>
              <w:ind w:right="253"/>
              <w:spacing w:after="0" w:line="144" w:lineRule="exact"/>
              <w:rPr>
                <w:sz w:val="20"/>
                <w:szCs w:val="20"/>
                <w:color w:val="auto"/>
              </w:rPr>
            </w:pPr>
            <w:r>
              <w:rPr>
                <w:rFonts w:ascii="Arial" w:cs="Arial" w:eastAsia="Arial" w:hAnsi="Arial"/>
                <w:sz w:val="13"/>
                <w:szCs w:val="13"/>
                <w:b w:val="1"/>
                <w:bCs w:val="1"/>
                <w:color w:val="auto"/>
              </w:rPr>
              <w:t>14,956,205</w:t>
            </w:r>
          </w:p>
        </w:tc>
        <w:tc>
          <w:tcPr>
            <w:tcW w:w="1160" w:type="dxa"/>
            <w:vAlign w:val="bottom"/>
            <w:tcBorders>
              <w:bottom w:val="single" w:sz="8" w:color="auto"/>
              <w:right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14,772,095</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-1.2%</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10.9%</w:t>
            </w:r>
          </w:p>
        </w:tc>
        <w:tc>
          <w:tcPr>
            <w:tcW w:w="0" w:type="dxa"/>
            <w:vAlign w:val="bottom"/>
          </w:tcPr>
          <w:p>
            <w:pPr>
              <w:spacing w:after="0"/>
              <w:rPr>
                <w:sz w:val="1"/>
                <w:szCs w:val="1"/>
                <w:color w:val="auto"/>
              </w:rPr>
            </w:pPr>
          </w:p>
        </w:tc>
      </w:tr>
      <w:tr>
        <w:trPr>
          <w:trHeight w:val="136"/>
        </w:trPr>
        <w:tc>
          <w:tcPr>
            <w:tcW w:w="5440" w:type="dxa"/>
            <w:vAlign w:val="bottom"/>
            <w:tcBorders>
              <w:left w:val="single" w:sz="8" w:color="auto"/>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Total risk-weighted assets</w:t>
            </w:r>
          </w:p>
        </w:tc>
        <w:tc>
          <w:tcPr>
            <w:tcW w:w="152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14,055,965</w:t>
            </w:r>
          </w:p>
        </w:tc>
        <w:tc>
          <w:tcPr>
            <w:tcW w:w="1340" w:type="dxa"/>
            <w:vAlign w:val="bottom"/>
          </w:tcPr>
          <w:p>
            <w:pPr>
              <w:jc w:val="right"/>
              <w:ind w:right="253"/>
              <w:spacing w:after="0" w:line="136" w:lineRule="exact"/>
              <w:rPr>
                <w:sz w:val="20"/>
                <w:szCs w:val="20"/>
                <w:color w:val="auto"/>
              </w:rPr>
            </w:pPr>
            <w:r>
              <w:rPr>
                <w:rFonts w:ascii="Arial" w:cs="Arial" w:eastAsia="Arial" w:hAnsi="Arial"/>
                <w:sz w:val="13"/>
                <w:szCs w:val="13"/>
                <w:color w:val="auto"/>
              </w:rPr>
              <w:t>15,882,853</w:t>
            </w:r>
          </w:p>
        </w:tc>
        <w:tc>
          <w:tcPr>
            <w:tcW w:w="1160" w:type="dxa"/>
            <w:vAlign w:val="bottom"/>
            <w:tcBorders>
              <w:right w:val="single" w:sz="8" w:color="auto"/>
            </w:tcBorders>
          </w:tcPr>
          <w:p>
            <w:pPr>
              <w:jc w:val="right"/>
              <w:ind w:right="53"/>
              <w:spacing w:after="0" w:line="136" w:lineRule="exact"/>
              <w:rPr>
                <w:sz w:val="20"/>
                <w:szCs w:val="20"/>
                <w:color w:val="auto"/>
              </w:rPr>
            </w:pPr>
            <w:r>
              <w:rPr>
                <w:rFonts w:ascii="Arial" w:cs="Arial" w:eastAsia="Arial" w:hAnsi="Arial"/>
                <w:sz w:val="13"/>
                <w:szCs w:val="13"/>
                <w:color w:val="auto"/>
              </w:rPr>
              <w:t>15,850,329</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-0.2%</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 RWA Intangible assets, excluding goodwill.</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1,175,376</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1,276,505</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1,408,551</w:t>
            </w:r>
          </w:p>
        </w:tc>
        <w:tc>
          <w:tcPr>
            <w:tcW w:w="880" w:type="dxa"/>
            <w:vAlign w:val="bottom"/>
          </w:tcPr>
          <w:p>
            <w:pPr>
              <w:jc w:val="center"/>
              <w:spacing w:after="0"/>
              <w:rPr>
                <w:sz w:val="20"/>
                <w:szCs w:val="20"/>
                <w:color w:val="auto"/>
              </w:rPr>
            </w:pPr>
            <w:r>
              <w:rPr>
                <w:rFonts w:ascii="Arial" w:cs="Arial" w:eastAsia="Arial" w:hAnsi="Arial"/>
                <w:sz w:val="13"/>
                <w:szCs w:val="13"/>
                <w:color w:val="auto"/>
              </w:rPr>
              <w:t>10.3%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 RWA Deferred tax assets generated as a result of temporary differences in income</w:t>
            </w:r>
          </w:p>
        </w:tc>
        <w:tc>
          <w:tcPr>
            <w:tcW w:w="1520" w:type="dxa"/>
            <w:vAlign w:val="bottom"/>
            <w:vMerge w:val="restart"/>
          </w:tcPr>
          <w:p>
            <w:pPr>
              <w:jc w:val="right"/>
              <w:ind w:right="253"/>
              <w:spacing w:after="0"/>
              <w:rPr>
                <w:sz w:val="20"/>
                <w:szCs w:val="20"/>
                <w:color w:val="auto"/>
              </w:rPr>
            </w:pPr>
            <w:r>
              <w:rPr>
                <w:rFonts w:ascii="Arial" w:cs="Arial" w:eastAsia="Arial" w:hAnsi="Arial"/>
                <w:sz w:val="13"/>
                <w:szCs w:val="13"/>
                <w:color w:val="auto"/>
              </w:rPr>
              <w:t>224,040</w:t>
            </w:r>
          </w:p>
        </w:tc>
        <w:tc>
          <w:tcPr>
            <w:tcW w:w="1340" w:type="dxa"/>
            <w:vAlign w:val="bottom"/>
            <w:vMerge w:val="restart"/>
          </w:tcPr>
          <w:p>
            <w:pPr>
              <w:jc w:val="right"/>
              <w:ind w:right="253"/>
              <w:spacing w:after="0"/>
              <w:rPr>
                <w:sz w:val="20"/>
                <w:szCs w:val="20"/>
                <w:color w:val="auto"/>
              </w:rPr>
            </w:pPr>
            <w:r>
              <w:rPr>
                <w:rFonts w:ascii="Arial" w:cs="Arial" w:eastAsia="Arial" w:hAnsi="Arial"/>
                <w:sz w:val="13"/>
                <w:szCs w:val="13"/>
                <w:color w:val="auto"/>
              </w:rPr>
              <w:t>163,152</w:t>
            </w:r>
          </w:p>
        </w:tc>
        <w:tc>
          <w:tcPr>
            <w:tcW w:w="116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159,880</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-2.0%</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00"/>
        </w:trPr>
        <w:tc>
          <w:tcPr>
            <w:tcW w:w="5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color w:val="auto"/>
              </w:rPr>
              <w:t>tax, in excess of 10% of CET1</w:t>
            </w: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5440" w:type="dxa"/>
            <w:vAlign w:val="bottom"/>
            <w:tcBorders>
              <w:left w:val="single" w:sz="8" w:color="auto"/>
              <w:right w:val="single" w:sz="8" w:color="auto"/>
            </w:tcBorders>
            <w:vMerge w:val="continue"/>
          </w:tcPr>
          <w:p>
            <w:pPr>
              <w:spacing w:after="0"/>
              <w:rPr>
                <w:sz w:val="4"/>
                <w:szCs w:val="4"/>
                <w:color w:val="auto"/>
              </w:rPr>
            </w:pPr>
          </w:p>
        </w:tc>
        <w:tc>
          <w:tcPr>
            <w:tcW w:w="15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 IFRS Adjustments</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188,455</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173,700</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158,796</w:t>
            </w:r>
          </w:p>
        </w:tc>
        <w:tc>
          <w:tcPr>
            <w:tcW w:w="880" w:type="dxa"/>
            <w:vAlign w:val="bottom"/>
          </w:tcPr>
          <w:p>
            <w:pPr>
              <w:jc w:val="center"/>
              <w:spacing w:after="0"/>
              <w:rPr>
                <w:sz w:val="20"/>
                <w:szCs w:val="20"/>
                <w:color w:val="auto"/>
              </w:rPr>
            </w:pPr>
            <w:r>
              <w:rPr>
                <w:rFonts w:ascii="Arial" w:cs="Arial" w:eastAsia="Arial" w:hAnsi="Arial"/>
                <w:sz w:val="13"/>
                <w:szCs w:val="13"/>
                <w:color w:val="auto"/>
              </w:rPr>
              <w:t>-8.6%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 RWA for Market Risk difference (exchange risk) for temporary difference</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31,618</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13,007</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11,641</w:t>
            </w:r>
          </w:p>
        </w:tc>
        <w:tc>
          <w:tcPr>
            <w:tcW w:w="880" w:type="dxa"/>
            <w:vAlign w:val="bottom"/>
          </w:tcPr>
          <w:p>
            <w:pPr>
              <w:jc w:val="center"/>
              <w:spacing w:after="0"/>
              <w:rPr>
                <w:sz w:val="20"/>
                <w:szCs w:val="20"/>
                <w:color w:val="auto"/>
              </w:rPr>
            </w:pPr>
            <w:r>
              <w:rPr>
                <w:rFonts w:ascii="Arial" w:cs="Arial" w:eastAsia="Arial" w:hAnsi="Arial"/>
                <w:sz w:val="13"/>
                <w:szCs w:val="13"/>
                <w:color w:val="auto"/>
              </w:rPr>
              <w:t>-10.5%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-63.2%</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 RWA assets that exceed 10% of CET1 SBS</w:t>
            </w:r>
          </w:p>
        </w:tc>
        <w:tc>
          <w:tcPr>
            <w:tcW w:w="1520" w:type="dxa"/>
            <w:vAlign w:val="bottom"/>
          </w:tcPr>
          <w:p>
            <w:pPr>
              <w:spacing w:after="0"/>
              <w:rPr>
                <w:sz w:val="13"/>
                <w:szCs w:val="13"/>
                <w:color w:val="auto"/>
              </w:rPr>
            </w:pP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 RWA difference between excees SBS and Basel methodology</w:t>
            </w:r>
          </w:p>
        </w:tc>
        <w:tc>
          <w:tcPr>
            <w:tcW w:w="1520" w:type="dxa"/>
            <w:vAlign w:val="bottom"/>
          </w:tcPr>
          <w:p>
            <w:pPr>
              <w:spacing w:after="0"/>
              <w:rPr>
                <w:sz w:val="13"/>
                <w:szCs w:val="13"/>
                <w:color w:val="auto"/>
              </w:rPr>
            </w:pP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9"/>
        </w:trPr>
        <w:tc>
          <w:tcPr>
            <w:tcW w:w="5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 RWA adjustment for state coverage, originated by temporary difference</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4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 RWA Deferred tax assets generated as a result of past losses</w:t>
            </w:r>
          </w:p>
        </w:tc>
        <w:tc>
          <w:tcPr>
            <w:tcW w:w="15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6"/>
        </w:trPr>
        <w:tc>
          <w:tcPr>
            <w:tcW w:w="5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Capital ratios</w:t>
            </w:r>
          </w:p>
        </w:tc>
        <w:tc>
          <w:tcPr>
            <w:tcW w:w="1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44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9"/>
                <w:szCs w:val="9"/>
                <w:color w:val="auto"/>
              </w:rPr>
              <w:t xml:space="preserve">Regulatory Tier 1 ratio </w:t>
            </w:r>
            <w:r>
              <w:rPr>
                <w:rFonts w:ascii="Arial" w:cs="Arial" w:eastAsia="Arial" w:hAnsi="Arial"/>
                <w:sz w:val="13"/>
                <w:szCs w:val="13"/>
                <w:color w:val="auto"/>
                <w:vertAlign w:val="superscript"/>
              </w:rPr>
              <w:t>(8)</w:t>
            </w:r>
          </w:p>
        </w:tc>
        <w:tc>
          <w:tcPr>
            <w:tcW w:w="1520" w:type="dxa"/>
            <w:vAlign w:val="bottom"/>
          </w:tcPr>
          <w:p>
            <w:pPr>
              <w:jc w:val="right"/>
              <w:ind w:right="253"/>
              <w:spacing w:after="0" w:line="121" w:lineRule="exact"/>
              <w:rPr>
                <w:sz w:val="20"/>
                <w:szCs w:val="20"/>
                <w:color w:val="auto"/>
              </w:rPr>
            </w:pPr>
            <w:r>
              <w:rPr>
                <w:rFonts w:ascii="Arial" w:cs="Arial" w:eastAsia="Arial" w:hAnsi="Arial"/>
                <w:sz w:val="13"/>
                <w:szCs w:val="13"/>
                <w:color w:val="auto"/>
              </w:rPr>
              <w:t>13.96%</w:t>
            </w:r>
          </w:p>
        </w:tc>
        <w:tc>
          <w:tcPr>
            <w:tcW w:w="1340" w:type="dxa"/>
            <w:vAlign w:val="bottom"/>
          </w:tcPr>
          <w:p>
            <w:pPr>
              <w:jc w:val="right"/>
              <w:ind w:right="253"/>
              <w:spacing w:after="0" w:line="121" w:lineRule="exact"/>
              <w:rPr>
                <w:sz w:val="20"/>
                <w:szCs w:val="20"/>
                <w:color w:val="auto"/>
              </w:rPr>
            </w:pPr>
            <w:r>
              <w:rPr>
                <w:rFonts w:ascii="Arial" w:cs="Arial" w:eastAsia="Arial" w:hAnsi="Arial"/>
                <w:sz w:val="13"/>
                <w:szCs w:val="13"/>
                <w:color w:val="auto"/>
              </w:rPr>
              <w:t>12.36%</w:t>
            </w:r>
          </w:p>
        </w:tc>
        <w:tc>
          <w:tcPr>
            <w:tcW w:w="1160" w:type="dxa"/>
            <w:vAlign w:val="bottom"/>
            <w:tcBorders>
              <w:right w:val="single" w:sz="8" w:color="auto"/>
            </w:tcBorders>
          </w:tcPr>
          <w:p>
            <w:pPr>
              <w:jc w:val="right"/>
              <w:ind w:right="53"/>
              <w:spacing w:after="0" w:line="121" w:lineRule="exact"/>
              <w:rPr>
                <w:sz w:val="20"/>
                <w:szCs w:val="20"/>
                <w:color w:val="auto"/>
              </w:rPr>
            </w:pPr>
            <w:r>
              <w:rPr>
                <w:rFonts w:ascii="Arial" w:cs="Arial" w:eastAsia="Arial" w:hAnsi="Arial"/>
                <w:sz w:val="13"/>
                <w:szCs w:val="13"/>
                <w:color w:val="auto"/>
              </w:rPr>
              <w:t>12.38%</w:t>
            </w:r>
          </w:p>
        </w:tc>
        <w:tc>
          <w:tcPr>
            <w:tcW w:w="880" w:type="dxa"/>
            <w:vAlign w:val="bottom"/>
          </w:tcPr>
          <w:p>
            <w:pPr>
              <w:jc w:val="center"/>
              <w:spacing w:after="0" w:line="121" w:lineRule="exact"/>
              <w:rPr>
                <w:sz w:val="20"/>
                <w:szCs w:val="20"/>
                <w:color w:val="auto"/>
              </w:rPr>
            </w:pPr>
            <w:r>
              <w:rPr>
                <w:rFonts w:ascii="Arial" w:cs="Arial" w:eastAsia="Arial" w:hAnsi="Arial"/>
                <w:sz w:val="13"/>
                <w:szCs w:val="13"/>
                <w:color w:val="auto"/>
                <w:w w:val="99"/>
              </w:rPr>
              <w:t>2bps</w:t>
            </w:r>
          </w:p>
        </w:tc>
        <w:tc>
          <w:tcPr>
            <w:tcW w:w="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color w:val="auto"/>
              </w:rPr>
              <w:t>-158bps</w:t>
            </w:r>
          </w:p>
        </w:tc>
        <w:tc>
          <w:tcPr>
            <w:tcW w:w="0" w:type="dxa"/>
            <w:vAlign w:val="bottom"/>
          </w:tcPr>
          <w:p>
            <w:pPr>
              <w:spacing w:after="0"/>
              <w:rPr>
                <w:sz w:val="1"/>
                <w:szCs w:val="1"/>
                <w:color w:val="auto"/>
              </w:rPr>
            </w:pPr>
          </w:p>
        </w:tc>
      </w:tr>
      <w:tr>
        <w:trPr>
          <w:trHeight w:val="151"/>
        </w:trPr>
        <w:tc>
          <w:tcPr>
            <w:tcW w:w="544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1"/>
                <w:szCs w:val="11"/>
                <w:color w:val="auto"/>
              </w:rPr>
              <w:t xml:space="preserve">Common Equity Tier 1 ratio </w:t>
            </w:r>
            <w:r>
              <w:rPr>
                <w:rFonts w:ascii="Arial" w:cs="Arial" w:eastAsia="Arial" w:hAnsi="Arial"/>
                <w:sz w:val="17"/>
                <w:szCs w:val="17"/>
                <w:color w:val="auto"/>
                <w:vertAlign w:val="superscript"/>
              </w:rPr>
              <w:t>(9)(11)</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15.24%</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16.00%</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16.46%</w:t>
            </w:r>
          </w:p>
        </w:tc>
        <w:tc>
          <w:tcPr>
            <w:tcW w:w="880" w:type="dxa"/>
            <w:vAlign w:val="bottom"/>
          </w:tcPr>
          <w:p>
            <w:pPr>
              <w:jc w:val="center"/>
              <w:spacing w:after="0"/>
              <w:rPr>
                <w:sz w:val="20"/>
                <w:szCs w:val="20"/>
                <w:color w:val="auto"/>
              </w:rPr>
            </w:pPr>
            <w:r>
              <w:rPr>
                <w:rFonts w:ascii="Arial" w:cs="Arial" w:eastAsia="Arial" w:hAnsi="Arial"/>
                <w:sz w:val="13"/>
                <w:szCs w:val="13"/>
                <w:color w:val="auto"/>
              </w:rPr>
              <w:t>46bps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122bps</w:t>
            </w:r>
          </w:p>
        </w:tc>
        <w:tc>
          <w:tcPr>
            <w:tcW w:w="0" w:type="dxa"/>
            <w:vAlign w:val="bottom"/>
          </w:tcPr>
          <w:p>
            <w:pPr>
              <w:spacing w:after="0"/>
              <w:rPr>
                <w:sz w:val="1"/>
                <w:szCs w:val="1"/>
                <w:color w:val="auto"/>
              </w:rPr>
            </w:pPr>
          </w:p>
        </w:tc>
      </w:tr>
      <w:tr>
        <w:trPr>
          <w:trHeight w:val="166"/>
        </w:trPr>
        <w:tc>
          <w:tcPr>
            <w:tcW w:w="5440" w:type="dxa"/>
            <w:vAlign w:val="bottom"/>
            <w:tcBorders>
              <w:left w:val="single" w:sz="8" w:color="auto"/>
              <w:right w:val="single" w:sz="8" w:color="auto"/>
            </w:tcBorders>
          </w:tcPr>
          <w:p>
            <w:pPr>
              <w:ind w:left="40"/>
              <w:spacing w:after="0" w:line="166" w:lineRule="exact"/>
              <w:rPr>
                <w:sz w:val="20"/>
                <w:szCs w:val="20"/>
                <w:color w:val="auto"/>
              </w:rPr>
            </w:pPr>
            <w:r>
              <w:rPr>
                <w:rFonts w:ascii="Arial" w:cs="Arial" w:eastAsia="Arial" w:hAnsi="Arial"/>
                <w:sz w:val="12"/>
                <w:szCs w:val="12"/>
                <w:color w:val="auto"/>
              </w:rPr>
              <w:t xml:space="preserve">Regulatory Global Capital ratio </w:t>
            </w:r>
            <w:r>
              <w:rPr>
                <w:rFonts w:ascii="Arial" w:cs="Arial" w:eastAsia="Arial" w:hAnsi="Arial"/>
                <w:sz w:val="19"/>
                <w:szCs w:val="19"/>
                <w:color w:val="auto"/>
                <w:vertAlign w:val="superscript"/>
              </w:rPr>
              <w:t>(10)</w:t>
            </w:r>
          </w:p>
        </w:tc>
        <w:tc>
          <w:tcPr>
            <w:tcW w:w="1520" w:type="dxa"/>
            <w:vAlign w:val="bottom"/>
          </w:tcPr>
          <w:p>
            <w:pPr>
              <w:jc w:val="right"/>
              <w:ind w:right="253"/>
              <w:spacing w:after="0"/>
              <w:rPr>
                <w:sz w:val="20"/>
                <w:szCs w:val="20"/>
                <w:color w:val="auto"/>
              </w:rPr>
            </w:pPr>
            <w:r>
              <w:rPr>
                <w:rFonts w:ascii="Arial" w:cs="Arial" w:eastAsia="Arial" w:hAnsi="Arial"/>
                <w:sz w:val="13"/>
                <w:szCs w:val="13"/>
                <w:color w:val="auto"/>
              </w:rPr>
              <w:t>16.40%</w:t>
            </w:r>
          </w:p>
        </w:tc>
        <w:tc>
          <w:tcPr>
            <w:tcW w:w="1340" w:type="dxa"/>
            <w:vAlign w:val="bottom"/>
          </w:tcPr>
          <w:p>
            <w:pPr>
              <w:jc w:val="right"/>
              <w:ind w:right="253"/>
              <w:spacing w:after="0"/>
              <w:rPr>
                <w:sz w:val="20"/>
                <w:szCs w:val="20"/>
                <w:color w:val="auto"/>
              </w:rPr>
            </w:pPr>
            <w:r>
              <w:rPr>
                <w:rFonts w:ascii="Arial" w:cs="Arial" w:eastAsia="Arial" w:hAnsi="Arial"/>
                <w:sz w:val="13"/>
                <w:szCs w:val="13"/>
                <w:color w:val="auto"/>
              </w:rPr>
              <w:t>14.61%</w:t>
            </w:r>
          </w:p>
        </w:tc>
        <w:tc>
          <w:tcPr>
            <w:tcW w:w="11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14.69%</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8bps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-171bps</w:t>
            </w:r>
          </w:p>
        </w:tc>
        <w:tc>
          <w:tcPr>
            <w:tcW w:w="0" w:type="dxa"/>
            <w:vAlign w:val="bottom"/>
          </w:tcPr>
          <w:p>
            <w:pPr>
              <w:spacing w:after="0"/>
              <w:rPr>
                <w:sz w:val="1"/>
                <w:szCs w:val="1"/>
                <w:color w:val="auto"/>
              </w:rPr>
            </w:pPr>
          </w:p>
        </w:tc>
      </w:tr>
      <w:tr>
        <w:trPr>
          <w:trHeight w:val="159"/>
        </w:trPr>
        <w:tc>
          <w:tcPr>
            <w:tcW w:w="5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Risk-weighted assets / Regulatory capital</w:t>
            </w:r>
          </w:p>
        </w:tc>
        <w:tc>
          <w:tcPr>
            <w:tcW w:w="15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6.10</w:t>
            </w:r>
          </w:p>
        </w:tc>
        <w:tc>
          <w:tcPr>
            <w:tcW w:w="13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color w:val="auto"/>
              </w:rPr>
              <w:t>6.84</w:t>
            </w:r>
          </w:p>
        </w:tc>
        <w:tc>
          <w:tcPr>
            <w:tcW w:w="116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6.81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-0.5%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80" w:hanging="179"/>
        <w:spacing w:after="0"/>
        <w:tabs>
          <w:tab w:leader="none" w:pos="1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Up to 1.25% of total risk-weighted assets.</w:t>
      </w:r>
    </w:p>
    <w:p>
      <w:pPr>
        <w:jc w:val="both"/>
        <w:ind w:firstLine="1"/>
        <w:spacing w:after="0" w:line="218" w:lineRule="auto"/>
        <w:tabs>
          <w:tab w:leader="none" w:pos="179"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2"/>
          <w:szCs w:val="12"/>
          <w:color w:val="auto"/>
        </w:rPr>
      </w:pPr>
    </w:p>
    <w:p>
      <w:pPr>
        <w:ind w:left="180" w:hanging="179"/>
        <w:spacing w:after="0" w:line="218" w:lineRule="auto"/>
        <w:tabs>
          <w:tab w:leader="none" w:pos="1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Regulatory Tier 2 Capital = Subordinated debt + Loan loss reserves + Unrestricted Reserves + (0.5 x Unrealized profit and net income in subsidiaries) - (0.5 x Investment in subsidiaries).</w:t>
      </w:r>
    </w:p>
    <w:p>
      <w:pPr>
        <w:ind w:left="180" w:hanging="179"/>
        <w:spacing w:after="0" w:line="218" w:lineRule="auto"/>
        <w:tabs>
          <w:tab w:leader="none" w:pos="1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Since July 2012, Total Risk-weighted assets = Credit risk-weighted assets * 1.00 + Capital requirement to cover market risk * 10 + Capital requirement to cover operational risk * 10 * 1.00 (since July 2014)</w:t>
      </w:r>
    </w:p>
    <w:p>
      <w:pPr>
        <w:ind w:left="180" w:hanging="179"/>
        <w:spacing w:after="0" w:line="218" w:lineRule="auto"/>
        <w:tabs>
          <w:tab w:leader="none" w:pos="1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It includes capital requirement to cover price and rate risk.</w:t>
      </w:r>
    </w:p>
    <w:p>
      <w:pPr>
        <w:ind w:firstLine="1"/>
        <w:spacing w:after="0" w:line="218" w:lineRule="auto"/>
        <w:tabs>
          <w:tab w:leader="none" w:pos="1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Common Equity Tier I = Capital + Reserves 100% of applicable deductions (investment in subsidiaries, goodwill, intangibles and net deferred taxes that rely on future profitability) + retained earnings + unrealized gains.</w:t>
      </w:r>
    </w:p>
    <w:p>
      <w:pPr>
        <w:ind w:firstLine="1"/>
        <w:spacing w:after="0" w:line="218" w:lineRule="auto"/>
        <w:tabs>
          <w:tab w:leader="none" w:pos="179" w:val="left"/>
        </w:tabs>
        <w:numPr>
          <w:ilvl w:val="0"/>
          <w:numId w:val="45"/>
        </w:numPr>
        <w:rPr>
          <w:rFonts w:ascii="Arial" w:cs="Arial" w:eastAsia="Arial" w:hAnsi="Arial"/>
          <w:sz w:val="12"/>
          <w:szCs w:val="12"/>
          <w:color w:val="auto"/>
        </w:rPr>
      </w:pPr>
      <w:r>
        <w:rPr>
          <w:rFonts w:ascii="Arial" w:cs="Arial" w:eastAsia="Arial" w:hAnsi="Arial"/>
          <w:sz w:val="12"/>
          <w:szCs w:val="12"/>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 Figures differ from previously reported cause current calculations are based on IFRS figures.</w:t>
      </w:r>
    </w:p>
    <w:p>
      <w:pPr>
        <w:ind w:left="180" w:hanging="179"/>
        <w:spacing w:after="0" w:line="218" w:lineRule="auto"/>
        <w:tabs>
          <w:tab w:leader="none" w:pos="1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Regulatory Tier 1 Capital / Total Risk-weighted assets</w:t>
      </w:r>
    </w:p>
    <w:p>
      <w:pPr>
        <w:ind w:left="180" w:hanging="179"/>
        <w:spacing w:after="0" w:line="218" w:lineRule="auto"/>
        <w:tabs>
          <w:tab w:leader="none" w:pos="1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Common Equity Tier I / Adjusted Risk-Weighted Assets Risk-Weighted Assets</w:t>
      </w:r>
    </w:p>
    <w:p>
      <w:pPr>
        <w:ind w:left="240" w:hanging="239"/>
        <w:spacing w:after="0" w:line="218" w:lineRule="auto"/>
        <w:tabs>
          <w:tab w:leader="none" w:pos="2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Total Regulatory Capital / Total Risk-weighted assets (legal minimum = 10% since July 2011)</w:t>
      </w:r>
    </w:p>
    <w:p>
      <w:pPr>
        <w:ind w:left="240" w:hanging="239"/>
        <w:spacing w:after="0"/>
        <w:tabs>
          <w:tab w:leader="none" w:pos="2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Common Equity Tier I calculated based on IFRS Accounting</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57" w:name="page58"/>
    <w:bookmarkEnd w:id="57"/>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 Financial Statements and Ratios by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12.5.1. Credicorp Consolidated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CREDICORP LTD.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 OF FINANCIAL POSITION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S/ thousands, IFRS)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5420" w:type="dxa"/>
            <w:vAlign w:val="bottom"/>
            <w:tcBorders>
              <w:right w:val="single" w:sz="8" w:color="auto"/>
            </w:tcBorders>
          </w:tcPr>
          <w:p>
            <w:pPr>
              <w:spacing w:after="0"/>
              <w:rPr>
                <w:sz w:val="13"/>
                <w:szCs w:val="13"/>
                <w:color w:val="auto"/>
              </w:rPr>
            </w:pPr>
          </w:p>
        </w:tc>
        <w:tc>
          <w:tcPr>
            <w:tcW w:w="1520" w:type="dxa"/>
            <w:vAlign w:val="bottom"/>
            <w:tcBorders>
              <w:top w:val="single" w:sz="8" w:color="auto"/>
            </w:tcBorders>
            <w:shd w:val="clear" w:color="auto" w:fill="2AD2C9"/>
          </w:tcPr>
          <w:p>
            <w:pPr>
              <w:spacing w:after="0"/>
              <w:rPr>
                <w:sz w:val="13"/>
                <w:szCs w:val="13"/>
                <w:color w:val="auto"/>
              </w:rPr>
            </w:pPr>
          </w:p>
        </w:tc>
        <w:tc>
          <w:tcPr>
            <w:tcW w:w="1340" w:type="dxa"/>
            <w:vAlign w:val="bottom"/>
            <w:tcBorders>
              <w:top w:val="single" w:sz="8" w:color="auto"/>
            </w:tcBorders>
            <w:shd w:val="clear" w:color="auto" w:fill="2AD2C9"/>
          </w:tcPr>
          <w:p>
            <w:pPr>
              <w:jc w:val="right"/>
              <w:ind w:right="613"/>
              <w:spacing w:after="0"/>
              <w:rPr>
                <w:sz w:val="20"/>
                <w:szCs w:val="20"/>
                <w:color w:val="auto"/>
              </w:rPr>
            </w:pPr>
            <w:r>
              <w:rPr>
                <w:rFonts w:ascii="Arial" w:cs="Arial" w:eastAsia="Arial" w:hAnsi="Arial"/>
                <w:sz w:val="13"/>
                <w:szCs w:val="13"/>
                <w:b w:val="1"/>
                <w:bCs w:val="1"/>
                <w:color w:val="FFFFFF"/>
              </w:rPr>
              <w:t>As of</w:t>
            </w:r>
          </w:p>
        </w:tc>
        <w:tc>
          <w:tcPr>
            <w:tcW w:w="1180" w:type="dxa"/>
            <w:vAlign w:val="bottom"/>
            <w:tcBorders>
              <w:top w:val="single" w:sz="8" w:color="auto"/>
              <w:right w:val="single" w:sz="8" w:color="auto"/>
            </w:tcBorders>
            <w:shd w:val="clear" w:color="auto" w:fill="2AD2C9"/>
          </w:tcPr>
          <w:p>
            <w:pPr>
              <w:spacing w:after="0"/>
              <w:rPr>
                <w:sz w:val="13"/>
                <w:szCs w:val="13"/>
                <w:color w:val="auto"/>
              </w:rPr>
            </w:pPr>
          </w:p>
        </w:tc>
        <w:tc>
          <w:tcPr>
            <w:tcW w:w="180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3"/>
                <w:szCs w:val="13"/>
                <w:b w:val="1"/>
                <w:bCs w:val="1"/>
                <w:color w:val="FFFFFF"/>
              </w:rPr>
              <w:t>% change</w:t>
            </w:r>
          </w:p>
        </w:tc>
      </w:tr>
      <w:tr>
        <w:trPr>
          <w:trHeight w:val="161"/>
        </w:trPr>
        <w:tc>
          <w:tcPr>
            <w:tcW w:w="542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shd w:val="clear" w:color="auto" w:fill="2AD2C9"/>
          </w:tcPr>
          <w:p>
            <w:pPr>
              <w:jc w:val="right"/>
              <w:ind w:right="573"/>
              <w:spacing w:after="0"/>
              <w:rPr>
                <w:sz w:val="20"/>
                <w:szCs w:val="20"/>
                <w:color w:val="auto"/>
              </w:rPr>
            </w:pPr>
            <w:r>
              <w:rPr>
                <w:rFonts w:ascii="Arial" w:cs="Arial" w:eastAsia="Arial" w:hAnsi="Arial"/>
                <w:sz w:val="13"/>
                <w:szCs w:val="13"/>
                <w:b w:val="1"/>
                <w:bCs w:val="1"/>
                <w:color w:val="FFFFFF"/>
              </w:rPr>
              <w:t>Dec 21</w:t>
            </w:r>
          </w:p>
        </w:tc>
        <w:tc>
          <w:tcPr>
            <w:tcW w:w="1340" w:type="dxa"/>
            <w:vAlign w:val="bottom"/>
            <w:tcBorders>
              <w:bottom w:val="single" w:sz="8" w:color="auto"/>
            </w:tcBorders>
            <w:shd w:val="clear" w:color="auto" w:fill="2AD2C9"/>
          </w:tcPr>
          <w:p>
            <w:pPr>
              <w:jc w:val="right"/>
              <w:ind w:right="573"/>
              <w:spacing w:after="0"/>
              <w:rPr>
                <w:sz w:val="20"/>
                <w:szCs w:val="20"/>
                <w:color w:val="auto"/>
              </w:rPr>
            </w:pPr>
            <w:r>
              <w:rPr>
                <w:rFonts w:ascii="Arial" w:cs="Arial" w:eastAsia="Arial" w:hAnsi="Arial"/>
                <w:sz w:val="13"/>
                <w:szCs w:val="13"/>
                <w:b w:val="1"/>
                <w:bCs w:val="1"/>
                <w:color w:val="FFFFFF"/>
              </w:rPr>
              <w:t>Sep 22</w:t>
            </w:r>
          </w:p>
        </w:tc>
        <w:tc>
          <w:tcPr>
            <w:tcW w:w="1180" w:type="dxa"/>
            <w:vAlign w:val="bottom"/>
            <w:tcBorders>
              <w:bottom w:val="single" w:sz="8" w:color="auto"/>
              <w:right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Dec 22</w:t>
            </w:r>
          </w:p>
        </w:tc>
        <w:tc>
          <w:tcPr>
            <w:tcW w:w="8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3"/>
                <w:szCs w:val="13"/>
                <w:b w:val="1"/>
                <w:bCs w:val="1"/>
                <w:color w:val="FFFFFF"/>
              </w:rPr>
              <w:t>QoQ</w:t>
            </w:r>
          </w:p>
        </w:tc>
        <w:tc>
          <w:tcPr>
            <w:tcW w:w="92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3"/>
                <w:szCs w:val="13"/>
                <w:b w:val="1"/>
                <w:bCs w:val="1"/>
                <w:color w:val="FFFFFF"/>
              </w:rPr>
              <w:t>YoY</w:t>
            </w:r>
          </w:p>
        </w:tc>
      </w:tr>
      <w:tr>
        <w:trPr>
          <w:trHeight w:val="134"/>
        </w:trPr>
        <w:tc>
          <w:tcPr>
            <w:tcW w:w="5420" w:type="dxa"/>
            <w:vAlign w:val="bottom"/>
            <w:tcBorders>
              <w:left w:val="single" w:sz="8" w:color="auto"/>
              <w:right w:val="single" w:sz="8" w:color="auto"/>
            </w:tcBorders>
          </w:tcPr>
          <w:p>
            <w:pPr>
              <w:ind w:left="40"/>
              <w:spacing w:after="0" w:line="134" w:lineRule="exact"/>
              <w:rPr>
                <w:sz w:val="20"/>
                <w:szCs w:val="20"/>
                <w:color w:val="auto"/>
              </w:rPr>
            </w:pPr>
            <w:r>
              <w:rPr>
                <w:rFonts w:ascii="Arial" w:cs="Arial" w:eastAsia="Arial" w:hAnsi="Arial"/>
                <w:sz w:val="13"/>
                <w:szCs w:val="13"/>
                <w:b w:val="1"/>
                <w:bCs w:val="1"/>
                <w:color w:val="auto"/>
              </w:rPr>
              <w:t>ASSETS</w:t>
            </w:r>
          </w:p>
        </w:tc>
        <w:tc>
          <w:tcPr>
            <w:tcW w:w="1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53"/>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Cash and due from banks</w:t>
            </w:r>
          </w:p>
        </w:tc>
        <w:tc>
          <w:tcPr>
            <w:tcW w:w="1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Non-interest bearing</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6,925,332</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6,919,212</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7,286,624</w:t>
            </w:r>
          </w:p>
        </w:tc>
        <w:tc>
          <w:tcPr>
            <w:tcW w:w="880" w:type="dxa"/>
            <w:vAlign w:val="bottom"/>
          </w:tcPr>
          <w:p>
            <w:pPr>
              <w:jc w:val="center"/>
              <w:spacing w:after="0"/>
              <w:rPr>
                <w:sz w:val="20"/>
                <w:szCs w:val="20"/>
                <w:color w:val="auto"/>
              </w:rPr>
            </w:pPr>
            <w:r>
              <w:rPr>
                <w:rFonts w:ascii="Arial" w:cs="Arial" w:eastAsia="Arial" w:hAnsi="Arial"/>
                <w:sz w:val="13"/>
                <w:szCs w:val="13"/>
                <w:color w:val="auto"/>
              </w:rPr>
              <w:t>5.3%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5.2%</w:t>
            </w:r>
          </w:p>
        </w:tc>
      </w:tr>
      <w:tr>
        <w:trPr>
          <w:trHeight w:val="175"/>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bearing</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32,395,408</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29,330,082</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26,897,216</w:t>
            </w:r>
          </w:p>
        </w:tc>
        <w:tc>
          <w:tcPr>
            <w:tcW w:w="880" w:type="dxa"/>
            <w:vAlign w:val="bottom"/>
          </w:tcPr>
          <w:p>
            <w:pPr>
              <w:jc w:val="center"/>
              <w:spacing w:after="0"/>
              <w:rPr>
                <w:sz w:val="20"/>
                <w:szCs w:val="20"/>
                <w:color w:val="auto"/>
              </w:rPr>
            </w:pPr>
            <w:r>
              <w:rPr>
                <w:rFonts w:ascii="Arial" w:cs="Arial" w:eastAsia="Arial" w:hAnsi="Arial"/>
                <w:sz w:val="13"/>
                <w:szCs w:val="13"/>
                <w:color w:val="auto"/>
              </w:rPr>
              <w:t>-8.3%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-17.0%</w:t>
            </w:r>
          </w:p>
        </w:tc>
      </w:tr>
      <w:tr>
        <w:trPr>
          <w:trHeight w:val="310"/>
        </w:trPr>
        <w:tc>
          <w:tcPr>
            <w:tcW w:w="5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cash and due from banks</w:t>
            </w:r>
          </w:p>
        </w:tc>
        <w:tc>
          <w:tcPr>
            <w:tcW w:w="1520" w:type="dxa"/>
            <w:vAlign w:val="bottom"/>
          </w:tcPr>
          <w:p>
            <w:pPr>
              <w:jc w:val="right"/>
              <w:ind w:right="193"/>
              <w:spacing w:after="0"/>
              <w:rPr>
                <w:sz w:val="20"/>
                <w:szCs w:val="20"/>
                <w:color w:val="auto"/>
              </w:rPr>
            </w:pPr>
            <w:r>
              <w:rPr>
                <w:rFonts w:ascii="Arial" w:cs="Arial" w:eastAsia="Arial" w:hAnsi="Arial"/>
                <w:sz w:val="13"/>
                <w:szCs w:val="13"/>
                <w:b w:val="1"/>
                <w:bCs w:val="1"/>
                <w:color w:val="auto"/>
              </w:rPr>
              <w:t>39,320,740</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36,249,294</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34,183,840</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-5.7%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-13.1%</w:t>
            </w:r>
          </w:p>
        </w:tc>
      </w:tr>
      <w:tr>
        <w:trPr>
          <w:trHeight w:val="294"/>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Cash collateral, reverse repurchase agreements and securities borrowing</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1,766,948</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1,586,967</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1,101,856</w:t>
            </w:r>
          </w:p>
        </w:tc>
        <w:tc>
          <w:tcPr>
            <w:tcW w:w="880" w:type="dxa"/>
            <w:vAlign w:val="bottom"/>
          </w:tcPr>
          <w:p>
            <w:pPr>
              <w:jc w:val="center"/>
              <w:spacing w:after="0"/>
              <w:rPr>
                <w:sz w:val="20"/>
                <w:szCs w:val="20"/>
                <w:color w:val="auto"/>
              </w:rPr>
            </w:pPr>
            <w:r>
              <w:rPr>
                <w:rFonts w:ascii="Arial" w:cs="Arial" w:eastAsia="Arial" w:hAnsi="Arial"/>
                <w:sz w:val="13"/>
                <w:szCs w:val="13"/>
                <w:color w:val="auto"/>
              </w:rPr>
              <w:t>-30.6%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-37.6%</w:t>
            </w:r>
          </w:p>
        </w:tc>
      </w:tr>
      <w:tr>
        <w:trPr>
          <w:trHeight w:val="278"/>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Fair value through profit or loss investments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5,928,538</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4,550,783</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4,199,334</w:t>
            </w:r>
          </w:p>
        </w:tc>
        <w:tc>
          <w:tcPr>
            <w:tcW w:w="880" w:type="dxa"/>
            <w:vAlign w:val="bottom"/>
          </w:tcPr>
          <w:p>
            <w:pPr>
              <w:jc w:val="center"/>
              <w:spacing w:after="0"/>
              <w:rPr>
                <w:sz w:val="20"/>
                <w:szCs w:val="20"/>
                <w:color w:val="auto"/>
              </w:rPr>
            </w:pPr>
            <w:r>
              <w:rPr>
                <w:rFonts w:ascii="Arial" w:cs="Arial" w:eastAsia="Arial" w:hAnsi="Arial"/>
                <w:sz w:val="13"/>
                <w:szCs w:val="13"/>
                <w:color w:val="auto"/>
              </w:rPr>
              <w:t>-7.7%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-29.2%</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Fair value through other comprehensive income investments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34,758,443</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34,263,930</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30,786,161</w:t>
            </w:r>
          </w:p>
        </w:tc>
        <w:tc>
          <w:tcPr>
            <w:tcW w:w="880" w:type="dxa"/>
            <w:vAlign w:val="bottom"/>
          </w:tcPr>
          <w:p>
            <w:pPr>
              <w:jc w:val="center"/>
              <w:spacing w:after="0"/>
              <w:rPr>
                <w:sz w:val="20"/>
                <w:szCs w:val="20"/>
                <w:color w:val="auto"/>
              </w:rPr>
            </w:pPr>
            <w:r>
              <w:rPr>
                <w:rFonts w:ascii="Arial" w:cs="Arial" w:eastAsia="Arial" w:hAnsi="Arial"/>
                <w:sz w:val="13"/>
                <w:szCs w:val="13"/>
                <w:color w:val="auto"/>
              </w:rPr>
              <w:t>-10.1%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-11.4%</w:t>
            </w:r>
          </w:p>
        </w:tc>
      </w:tr>
      <w:tr>
        <w:trPr>
          <w:trHeight w:val="175"/>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Amortized cost investments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8,265,559</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8,028,557</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10,445,729</w:t>
            </w:r>
          </w:p>
        </w:tc>
        <w:tc>
          <w:tcPr>
            <w:tcW w:w="880" w:type="dxa"/>
            <w:vAlign w:val="bottom"/>
          </w:tcPr>
          <w:p>
            <w:pPr>
              <w:jc w:val="center"/>
              <w:spacing w:after="0"/>
              <w:rPr>
                <w:sz w:val="20"/>
                <w:szCs w:val="20"/>
                <w:color w:val="auto"/>
              </w:rPr>
            </w:pPr>
            <w:r>
              <w:rPr>
                <w:rFonts w:ascii="Arial" w:cs="Arial" w:eastAsia="Arial" w:hAnsi="Arial"/>
                <w:sz w:val="13"/>
                <w:szCs w:val="13"/>
                <w:color w:val="auto"/>
              </w:rPr>
              <w:t>30.1%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26.4%</w:t>
            </w:r>
          </w:p>
        </w:tc>
      </w:tr>
      <w:tr>
        <w:trPr>
          <w:trHeight w:val="278"/>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Loans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147,597,412</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151,392,202</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148,626,374</w:t>
            </w:r>
          </w:p>
        </w:tc>
        <w:tc>
          <w:tcPr>
            <w:tcW w:w="880" w:type="dxa"/>
            <w:vAlign w:val="bottom"/>
          </w:tcPr>
          <w:p>
            <w:pPr>
              <w:jc w:val="center"/>
              <w:spacing w:after="0"/>
              <w:rPr>
                <w:sz w:val="20"/>
                <w:szCs w:val="20"/>
                <w:color w:val="auto"/>
              </w:rPr>
            </w:pPr>
            <w:r>
              <w:rPr>
                <w:rFonts w:ascii="Arial" w:cs="Arial" w:eastAsia="Arial" w:hAnsi="Arial"/>
                <w:sz w:val="13"/>
                <w:szCs w:val="13"/>
                <w:color w:val="auto"/>
              </w:rPr>
              <w:t>-1.8%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0.7%</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Current</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142,046,154</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145,142,071</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142,686,630</w:t>
            </w:r>
          </w:p>
        </w:tc>
        <w:tc>
          <w:tcPr>
            <w:tcW w:w="880" w:type="dxa"/>
            <w:vAlign w:val="bottom"/>
          </w:tcPr>
          <w:p>
            <w:pPr>
              <w:jc w:val="center"/>
              <w:spacing w:after="0"/>
              <w:rPr>
                <w:sz w:val="20"/>
                <w:szCs w:val="20"/>
                <w:color w:val="auto"/>
              </w:rPr>
            </w:pPr>
            <w:r>
              <w:rPr>
                <w:rFonts w:ascii="Arial" w:cs="Arial" w:eastAsia="Arial" w:hAnsi="Arial"/>
                <w:sz w:val="13"/>
                <w:szCs w:val="13"/>
                <w:color w:val="auto"/>
              </w:rPr>
              <w:t>-1.7%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0.5%</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Internal overdue loans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5,551,258</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6,250,131</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5,939,744</w:t>
            </w:r>
          </w:p>
        </w:tc>
        <w:tc>
          <w:tcPr>
            <w:tcW w:w="880" w:type="dxa"/>
            <w:vAlign w:val="bottom"/>
          </w:tcPr>
          <w:p>
            <w:pPr>
              <w:jc w:val="center"/>
              <w:spacing w:after="0"/>
              <w:rPr>
                <w:sz w:val="20"/>
                <w:szCs w:val="20"/>
                <w:color w:val="auto"/>
              </w:rPr>
            </w:pPr>
            <w:r>
              <w:rPr>
                <w:rFonts w:ascii="Arial" w:cs="Arial" w:eastAsia="Arial" w:hAnsi="Arial"/>
                <w:sz w:val="13"/>
                <w:szCs w:val="13"/>
                <w:color w:val="auto"/>
              </w:rPr>
              <w:t>-5.0%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7.0%</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Less - allowance for loan losses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(8,477,308)</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(8,030,104)</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(7,872,402)</w:t>
            </w:r>
          </w:p>
        </w:tc>
        <w:tc>
          <w:tcPr>
            <w:tcW w:w="880" w:type="dxa"/>
            <w:vAlign w:val="bottom"/>
          </w:tcPr>
          <w:p>
            <w:pPr>
              <w:jc w:val="center"/>
              <w:spacing w:after="0"/>
              <w:rPr>
                <w:sz w:val="20"/>
                <w:szCs w:val="20"/>
                <w:color w:val="auto"/>
              </w:rPr>
            </w:pPr>
            <w:r>
              <w:rPr>
                <w:rFonts w:ascii="Arial" w:cs="Arial" w:eastAsia="Arial" w:hAnsi="Arial"/>
                <w:sz w:val="13"/>
                <w:szCs w:val="13"/>
                <w:color w:val="auto"/>
              </w:rPr>
              <w:t>-2.0%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-7.1%</w:t>
            </w:r>
          </w:p>
        </w:tc>
      </w:tr>
      <w:tr>
        <w:trPr>
          <w:trHeight w:val="175"/>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Loans, net</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139,120,104</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143,362,098</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140,753,972</w:t>
            </w:r>
          </w:p>
        </w:tc>
        <w:tc>
          <w:tcPr>
            <w:tcW w:w="880" w:type="dxa"/>
            <w:vAlign w:val="bottom"/>
          </w:tcPr>
          <w:p>
            <w:pPr>
              <w:jc w:val="center"/>
              <w:spacing w:after="0"/>
              <w:rPr>
                <w:sz w:val="20"/>
                <w:szCs w:val="20"/>
                <w:color w:val="auto"/>
              </w:rPr>
            </w:pPr>
            <w:r>
              <w:rPr>
                <w:rFonts w:ascii="Arial" w:cs="Arial" w:eastAsia="Arial" w:hAnsi="Arial"/>
                <w:sz w:val="13"/>
                <w:szCs w:val="13"/>
                <w:color w:val="auto"/>
              </w:rPr>
              <w:t>-1.8%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w:t>
            </w:r>
          </w:p>
        </w:tc>
      </w:tr>
      <w:tr>
        <w:trPr>
          <w:trHeight w:val="278"/>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Financial assets designated at fair value through profit or loss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987,082</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767,425</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768,801</w:t>
            </w:r>
          </w:p>
        </w:tc>
        <w:tc>
          <w:tcPr>
            <w:tcW w:w="880" w:type="dxa"/>
            <w:vAlign w:val="bottom"/>
          </w:tcPr>
          <w:p>
            <w:pPr>
              <w:jc w:val="center"/>
              <w:spacing w:after="0"/>
              <w:rPr>
                <w:sz w:val="20"/>
                <w:szCs w:val="20"/>
                <w:color w:val="auto"/>
              </w:rPr>
            </w:pPr>
            <w:r>
              <w:rPr>
                <w:rFonts w:ascii="Arial" w:cs="Arial" w:eastAsia="Arial" w:hAnsi="Arial"/>
                <w:sz w:val="13"/>
                <w:szCs w:val="13"/>
                <w:color w:val="auto"/>
              </w:rPr>
              <w:t>0.2%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-22.1%</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Accounts receivable from reinsurers and coinsurers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1,198,379</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1,063,972</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1,106,674</w:t>
            </w:r>
          </w:p>
        </w:tc>
        <w:tc>
          <w:tcPr>
            <w:tcW w:w="880" w:type="dxa"/>
            <w:vAlign w:val="bottom"/>
          </w:tcPr>
          <w:p>
            <w:pPr>
              <w:jc w:val="center"/>
              <w:spacing w:after="0"/>
              <w:rPr>
                <w:sz w:val="20"/>
                <w:szCs w:val="20"/>
                <w:color w:val="auto"/>
              </w:rPr>
            </w:pPr>
            <w:r>
              <w:rPr>
                <w:rFonts w:ascii="Arial" w:cs="Arial" w:eastAsia="Arial" w:hAnsi="Arial"/>
                <w:sz w:val="13"/>
                <w:szCs w:val="13"/>
                <w:color w:val="auto"/>
              </w:rPr>
              <w:t>4.0%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-7.7%</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Premiums and other policyholder receivables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921,103</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803,886</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913,124</w:t>
            </w:r>
          </w:p>
        </w:tc>
        <w:tc>
          <w:tcPr>
            <w:tcW w:w="880" w:type="dxa"/>
            <w:vAlign w:val="bottom"/>
          </w:tcPr>
          <w:p>
            <w:pPr>
              <w:jc w:val="center"/>
              <w:spacing w:after="0"/>
              <w:rPr>
                <w:sz w:val="20"/>
                <w:szCs w:val="20"/>
                <w:color w:val="auto"/>
              </w:rPr>
            </w:pPr>
            <w:r>
              <w:rPr>
                <w:rFonts w:ascii="Arial" w:cs="Arial" w:eastAsia="Arial" w:hAnsi="Arial"/>
                <w:sz w:val="13"/>
                <w:szCs w:val="13"/>
                <w:color w:val="auto"/>
              </w:rPr>
              <w:t>13.6%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-0.9%</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Property, plant and equipment, net</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1,895,196</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1,786,136</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1,824,931</w:t>
            </w:r>
          </w:p>
        </w:tc>
        <w:tc>
          <w:tcPr>
            <w:tcW w:w="880" w:type="dxa"/>
            <w:vAlign w:val="bottom"/>
          </w:tcPr>
          <w:p>
            <w:pPr>
              <w:jc w:val="center"/>
              <w:spacing w:after="0"/>
              <w:rPr>
                <w:sz w:val="20"/>
                <w:szCs w:val="20"/>
                <w:color w:val="auto"/>
              </w:rPr>
            </w:pPr>
            <w:r>
              <w:rPr>
                <w:rFonts w:ascii="Arial" w:cs="Arial" w:eastAsia="Arial" w:hAnsi="Arial"/>
                <w:sz w:val="13"/>
                <w:szCs w:val="13"/>
                <w:color w:val="auto"/>
              </w:rPr>
              <w:t>2.2%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-3.7%</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Due from customers on acceptances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532,404</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697,119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699,678</w:t>
            </w:r>
          </w:p>
        </w:tc>
        <w:tc>
          <w:tcPr>
            <w:tcW w:w="880" w:type="dxa"/>
            <w:vAlign w:val="bottom"/>
          </w:tcPr>
          <w:p>
            <w:pPr>
              <w:jc w:val="center"/>
              <w:spacing w:after="0"/>
              <w:rPr>
                <w:sz w:val="20"/>
                <w:szCs w:val="20"/>
                <w:color w:val="auto"/>
              </w:rPr>
            </w:pPr>
            <w:r>
              <w:rPr>
                <w:rFonts w:ascii="Arial" w:cs="Arial" w:eastAsia="Arial" w:hAnsi="Arial"/>
                <w:sz w:val="13"/>
                <w:szCs w:val="13"/>
                <w:color w:val="auto"/>
              </w:rPr>
              <w:t>0.4%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31.4%</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Investments in associates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658,697</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660,849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726,993</w:t>
            </w:r>
          </w:p>
        </w:tc>
        <w:tc>
          <w:tcPr>
            <w:tcW w:w="880" w:type="dxa"/>
            <w:vAlign w:val="bottom"/>
          </w:tcPr>
          <w:p>
            <w:pPr>
              <w:jc w:val="center"/>
              <w:spacing w:after="0"/>
              <w:rPr>
                <w:sz w:val="20"/>
                <w:szCs w:val="20"/>
                <w:color w:val="auto"/>
              </w:rPr>
            </w:pPr>
            <w:r>
              <w:rPr>
                <w:rFonts w:ascii="Arial" w:cs="Arial" w:eastAsia="Arial" w:hAnsi="Arial"/>
                <w:sz w:val="13"/>
                <w:szCs w:val="13"/>
                <w:color w:val="auto"/>
              </w:rPr>
              <w:t>10.0%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10.4%</w:t>
            </w:r>
          </w:p>
        </w:tc>
      </w:tr>
      <w:tr>
        <w:trPr>
          <w:trHeight w:val="135"/>
        </w:trPr>
        <w:tc>
          <w:tcPr>
            <w:tcW w:w="5420" w:type="dxa"/>
            <w:vAlign w:val="bottom"/>
            <w:tcBorders>
              <w:left w:val="single" w:sz="8" w:color="auto"/>
              <w:right w:val="single" w:sz="8" w:color="auto"/>
            </w:tcBorders>
          </w:tcPr>
          <w:p>
            <w:pPr>
              <w:ind w:left="40"/>
              <w:spacing w:after="0" w:line="136" w:lineRule="exact"/>
              <w:rPr>
                <w:sz w:val="20"/>
                <w:szCs w:val="20"/>
                <w:color w:val="auto"/>
              </w:rPr>
            </w:pPr>
            <w:r>
              <w:rPr>
                <w:rFonts w:ascii="Arial" w:cs="Arial" w:eastAsia="Arial" w:hAnsi="Arial"/>
                <w:sz w:val="13"/>
                <w:szCs w:val="13"/>
                <w:color w:val="auto"/>
              </w:rPr>
              <w:t>Intangible assets and goodwill, net</w:t>
            </w:r>
          </w:p>
        </w:tc>
        <w:tc>
          <w:tcPr>
            <w:tcW w:w="1520" w:type="dxa"/>
            <w:vAlign w:val="bottom"/>
          </w:tcPr>
          <w:p>
            <w:pPr>
              <w:jc w:val="right"/>
              <w:ind w:right="193"/>
              <w:spacing w:after="0" w:line="136" w:lineRule="exact"/>
              <w:rPr>
                <w:sz w:val="20"/>
                <w:szCs w:val="20"/>
                <w:color w:val="auto"/>
              </w:rPr>
            </w:pPr>
            <w:r>
              <w:rPr>
                <w:rFonts w:ascii="Arial" w:cs="Arial" w:eastAsia="Arial" w:hAnsi="Arial"/>
                <w:sz w:val="13"/>
                <w:szCs w:val="13"/>
                <w:color w:val="auto"/>
              </w:rPr>
              <w:t>2,710,080</w:t>
            </w:r>
          </w:p>
        </w:tc>
        <w:tc>
          <w:tcPr>
            <w:tcW w:w="1340" w:type="dxa"/>
            <w:vAlign w:val="bottom"/>
          </w:tcPr>
          <w:p>
            <w:pPr>
              <w:jc w:val="right"/>
              <w:ind w:right="193"/>
              <w:spacing w:after="0" w:line="136" w:lineRule="exact"/>
              <w:rPr>
                <w:sz w:val="20"/>
                <w:szCs w:val="20"/>
                <w:color w:val="auto"/>
              </w:rPr>
            </w:pPr>
            <w:r>
              <w:rPr>
                <w:rFonts w:ascii="Arial" w:cs="Arial" w:eastAsia="Arial" w:hAnsi="Arial"/>
                <w:sz w:val="13"/>
                <w:szCs w:val="13"/>
                <w:color w:val="auto"/>
              </w:rPr>
              <w:t>2,767,341</w:t>
            </w:r>
          </w:p>
        </w:tc>
        <w:tc>
          <w:tcPr>
            <w:tcW w:w="118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2,899,429</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4.8%</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7.0%</w:t>
            </w:r>
          </w:p>
        </w:tc>
      </w:tr>
      <w:tr>
        <w:trPr>
          <w:trHeight w:val="299"/>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 xml:space="preserve">Other assets </w:t>
            </w:r>
            <w:r>
              <w:rPr>
                <w:rFonts w:ascii="Arial" w:cs="Arial" w:eastAsia="Arial" w:hAnsi="Arial"/>
                <w:sz w:val="22"/>
                <w:szCs w:val="22"/>
                <w:color w:val="auto"/>
                <w:vertAlign w:val="superscript"/>
              </w:rPr>
              <w:t>(1)</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6,783,467</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7,327,839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6,364,696</w:t>
            </w:r>
          </w:p>
        </w:tc>
        <w:tc>
          <w:tcPr>
            <w:tcW w:w="880" w:type="dxa"/>
            <w:vAlign w:val="bottom"/>
          </w:tcPr>
          <w:p>
            <w:pPr>
              <w:jc w:val="center"/>
              <w:spacing w:after="0"/>
              <w:rPr>
                <w:sz w:val="20"/>
                <w:szCs w:val="20"/>
                <w:color w:val="auto"/>
              </w:rPr>
            </w:pPr>
            <w:r>
              <w:rPr>
                <w:rFonts w:ascii="Arial" w:cs="Arial" w:eastAsia="Arial" w:hAnsi="Arial"/>
                <w:sz w:val="13"/>
                <w:szCs w:val="13"/>
                <w:color w:val="auto"/>
              </w:rPr>
              <w:t>-13.1%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-6.2%</w:t>
            </w:r>
          </w:p>
        </w:tc>
      </w:tr>
      <w:tr>
        <w:trPr>
          <w:trHeight w:val="202"/>
        </w:trPr>
        <w:tc>
          <w:tcPr>
            <w:tcW w:w="5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Assets</w:t>
            </w:r>
          </w:p>
        </w:tc>
        <w:tc>
          <w:tcPr>
            <w:tcW w:w="1520" w:type="dxa"/>
            <w:vAlign w:val="bottom"/>
          </w:tcPr>
          <w:p>
            <w:pPr>
              <w:jc w:val="right"/>
              <w:ind w:right="193"/>
              <w:spacing w:after="0"/>
              <w:rPr>
                <w:sz w:val="20"/>
                <w:szCs w:val="20"/>
                <w:color w:val="auto"/>
              </w:rPr>
            </w:pPr>
            <w:r>
              <w:rPr>
                <w:rFonts w:ascii="Arial" w:cs="Arial" w:eastAsia="Arial" w:hAnsi="Arial"/>
                <w:sz w:val="13"/>
                <w:szCs w:val="13"/>
                <w:b w:val="1"/>
                <w:bCs w:val="1"/>
                <w:color w:val="auto"/>
              </w:rPr>
              <w:t>244,846,740</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243,916,196</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236,775,218</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-2.9%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-3.3%</w:t>
            </w:r>
          </w:p>
        </w:tc>
      </w:tr>
      <w:tr>
        <w:trPr>
          <w:trHeight w:val="268"/>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LIABILITIES AND EQUITY</w:t>
            </w:r>
          </w:p>
        </w:tc>
        <w:tc>
          <w:tcPr>
            <w:tcW w:w="15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r>
      <w:tr>
        <w:trPr>
          <w:trHeight w:val="153"/>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Deposits and obligations</w:t>
            </w:r>
          </w:p>
        </w:tc>
        <w:tc>
          <w:tcPr>
            <w:tcW w:w="1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Non-interest bearing</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51,851,206</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46,625,814</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43,346,151</w:t>
            </w:r>
          </w:p>
        </w:tc>
        <w:tc>
          <w:tcPr>
            <w:tcW w:w="880" w:type="dxa"/>
            <w:vAlign w:val="bottom"/>
          </w:tcPr>
          <w:p>
            <w:pPr>
              <w:jc w:val="center"/>
              <w:spacing w:after="0"/>
              <w:rPr>
                <w:sz w:val="20"/>
                <w:szCs w:val="20"/>
                <w:color w:val="auto"/>
              </w:rPr>
            </w:pPr>
            <w:r>
              <w:rPr>
                <w:rFonts w:ascii="Arial" w:cs="Arial" w:eastAsia="Arial" w:hAnsi="Arial"/>
                <w:sz w:val="13"/>
                <w:szCs w:val="13"/>
                <w:color w:val="auto"/>
              </w:rPr>
              <w:t>-7.0%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-16.4%</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bearing</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97,745,339</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105,332,186</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103,674,636</w:t>
            </w:r>
          </w:p>
        </w:tc>
        <w:tc>
          <w:tcPr>
            <w:tcW w:w="880" w:type="dxa"/>
            <w:vAlign w:val="bottom"/>
          </w:tcPr>
          <w:p>
            <w:pPr>
              <w:jc w:val="center"/>
              <w:spacing w:after="0"/>
              <w:rPr>
                <w:sz w:val="20"/>
                <w:szCs w:val="20"/>
                <w:color w:val="auto"/>
              </w:rPr>
            </w:pPr>
            <w:r>
              <w:rPr>
                <w:rFonts w:ascii="Arial" w:cs="Arial" w:eastAsia="Arial" w:hAnsi="Arial"/>
                <w:sz w:val="13"/>
                <w:szCs w:val="13"/>
                <w:color w:val="auto"/>
              </w:rPr>
              <w:t>-1.6%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6.1%</w:t>
            </w:r>
          </w:p>
        </w:tc>
      </w:tr>
      <w:tr>
        <w:trPr>
          <w:trHeight w:val="175"/>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Total deposits and obligations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149,596,545</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151,958,000</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147,020,787</w:t>
            </w:r>
          </w:p>
        </w:tc>
        <w:tc>
          <w:tcPr>
            <w:tcW w:w="880" w:type="dxa"/>
            <w:vAlign w:val="bottom"/>
          </w:tcPr>
          <w:p>
            <w:pPr>
              <w:jc w:val="center"/>
              <w:spacing w:after="0"/>
              <w:rPr>
                <w:sz w:val="20"/>
                <w:szCs w:val="20"/>
                <w:color w:val="auto"/>
              </w:rPr>
            </w:pPr>
            <w:r>
              <w:rPr>
                <w:rFonts w:ascii="Arial" w:cs="Arial" w:eastAsia="Arial" w:hAnsi="Arial"/>
                <w:sz w:val="13"/>
                <w:szCs w:val="13"/>
                <w:color w:val="auto"/>
              </w:rPr>
              <w:t>-3.2%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-1.7%</w:t>
            </w:r>
          </w:p>
        </w:tc>
      </w:tr>
      <w:tr>
        <w:trPr>
          <w:trHeight w:val="278"/>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Payables from repurchase agreements and securities lending</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22,013,866</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16,575,580</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12,966,725</w:t>
            </w:r>
          </w:p>
        </w:tc>
        <w:tc>
          <w:tcPr>
            <w:tcW w:w="880" w:type="dxa"/>
            <w:vAlign w:val="bottom"/>
          </w:tcPr>
          <w:p>
            <w:pPr>
              <w:jc w:val="center"/>
              <w:spacing w:after="0"/>
              <w:rPr>
                <w:sz w:val="20"/>
                <w:szCs w:val="20"/>
                <w:color w:val="auto"/>
              </w:rPr>
            </w:pPr>
            <w:r>
              <w:rPr>
                <w:rFonts w:ascii="Arial" w:cs="Arial" w:eastAsia="Arial" w:hAnsi="Arial"/>
                <w:sz w:val="13"/>
                <w:szCs w:val="13"/>
                <w:color w:val="auto"/>
              </w:rPr>
              <w:t>-21.8%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-41.1%</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BCRP instruments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19,692,474</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14,449,597</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11,297,659</w:t>
            </w:r>
          </w:p>
        </w:tc>
        <w:tc>
          <w:tcPr>
            <w:tcW w:w="880" w:type="dxa"/>
            <w:vAlign w:val="bottom"/>
          </w:tcPr>
          <w:p>
            <w:pPr>
              <w:jc w:val="center"/>
              <w:spacing w:after="0"/>
              <w:rPr>
                <w:sz w:val="20"/>
                <w:szCs w:val="20"/>
                <w:color w:val="auto"/>
              </w:rPr>
            </w:pPr>
            <w:r>
              <w:rPr>
                <w:rFonts w:ascii="Arial" w:cs="Arial" w:eastAsia="Arial" w:hAnsi="Arial"/>
                <w:sz w:val="13"/>
                <w:szCs w:val="13"/>
                <w:color w:val="auto"/>
              </w:rPr>
              <w:t>-21.8%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-42.6%</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Repurchase agreements with third parties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1,296,277</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1,182,946</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976,020</w:t>
            </w:r>
          </w:p>
        </w:tc>
        <w:tc>
          <w:tcPr>
            <w:tcW w:w="880" w:type="dxa"/>
            <w:vAlign w:val="bottom"/>
          </w:tcPr>
          <w:p>
            <w:pPr>
              <w:jc w:val="center"/>
              <w:spacing w:after="0"/>
              <w:rPr>
                <w:sz w:val="20"/>
                <w:szCs w:val="20"/>
                <w:color w:val="auto"/>
              </w:rPr>
            </w:pPr>
            <w:r>
              <w:rPr>
                <w:rFonts w:ascii="Arial" w:cs="Arial" w:eastAsia="Arial" w:hAnsi="Arial"/>
                <w:sz w:val="13"/>
                <w:szCs w:val="13"/>
                <w:color w:val="auto"/>
              </w:rPr>
              <w:t>-17.5%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-24.7%</w:t>
            </w:r>
          </w:p>
        </w:tc>
      </w:tr>
      <w:tr>
        <w:trPr>
          <w:trHeight w:val="175"/>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Repurchase agreements with customers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1,025,115</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943,037</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693,046</w:t>
            </w:r>
          </w:p>
        </w:tc>
        <w:tc>
          <w:tcPr>
            <w:tcW w:w="880" w:type="dxa"/>
            <w:vAlign w:val="bottom"/>
          </w:tcPr>
          <w:p>
            <w:pPr>
              <w:jc w:val="center"/>
              <w:spacing w:after="0"/>
              <w:rPr>
                <w:sz w:val="20"/>
                <w:szCs w:val="20"/>
                <w:color w:val="auto"/>
              </w:rPr>
            </w:pPr>
            <w:r>
              <w:rPr>
                <w:rFonts w:ascii="Arial" w:cs="Arial" w:eastAsia="Arial" w:hAnsi="Arial"/>
                <w:sz w:val="13"/>
                <w:szCs w:val="13"/>
                <w:color w:val="auto"/>
              </w:rPr>
              <w:t>-26.5%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-32.4%</w:t>
            </w:r>
          </w:p>
        </w:tc>
      </w:tr>
      <w:tr>
        <w:trPr>
          <w:trHeight w:val="278"/>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Due to banks and correspondents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7,212,946</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9,002,035</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8,937,411</w:t>
            </w:r>
          </w:p>
        </w:tc>
        <w:tc>
          <w:tcPr>
            <w:tcW w:w="880" w:type="dxa"/>
            <w:vAlign w:val="bottom"/>
          </w:tcPr>
          <w:p>
            <w:pPr>
              <w:jc w:val="center"/>
              <w:spacing w:after="0"/>
              <w:rPr>
                <w:sz w:val="20"/>
                <w:szCs w:val="20"/>
                <w:color w:val="auto"/>
              </w:rPr>
            </w:pPr>
            <w:r>
              <w:rPr>
                <w:rFonts w:ascii="Arial" w:cs="Arial" w:eastAsia="Arial" w:hAnsi="Arial"/>
                <w:sz w:val="13"/>
                <w:szCs w:val="13"/>
                <w:color w:val="auto"/>
              </w:rPr>
              <w:t>-0.7%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23.9%</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Bonds and notes issued</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17,823,146</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17,853,708</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17,007,194</w:t>
            </w:r>
          </w:p>
        </w:tc>
        <w:tc>
          <w:tcPr>
            <w:tcW w:w="880" w:type="dxa"/>
            <w:vAlign w:val="bottom"/>
          </w:tcPr>
          <w:p>
            <w:pPr>
              <w:jc w:val="center"/>
              <w:spacing w:after="0"/>
              <w:rPr>
                <w:sz w:val="20"/>
                <w:szCs w:val="20"/>
                <w:color w:val="auto"/>
              </w:rPr>
            </w:pPr>
            <w:r>
              <w:rPr>
                <w:rFonts w:ascii="Arial" w:cs="Arial" w:eastAsia="Arial" w:hAnsi="Arial"/>
                <w:sz w:val="13"/>
                <w:szCs w:val="13"/>
                <w:color w:val="auto"/>
              </w:rPr>
              <w:t>-4.7%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-4.6%</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Banker’s acceptances outstanding</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532,404</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697,119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699,678</w:t>
            </w:r>
          </w:p>
        </w:tc>
        <w:tc>
          <w:tcPr>
            <w:tcW w:w="880" w:type="dxa"/>
            <w:vAlign w:val="bottom"/>
          </w:tcPr>
          <w:p>
            <w:pPr>
              <w:jc w:val="center"/>
              <w:spacing w:after="0"/>
              <w:rPr>
                <w:sz w:val="20"/>
                <w:szCs w:val="20"/>
                <w:color w:val="auto"/>
              </w:rPr>
            </w:pPr>
            <w:r>
              <w:rPr>
                <w:rFonts w:ascii="Arial" w:cs="Arial" w:eastAsia="Arial" w:hAnsi="Arial"/>
                <w:sz w:val="13"/>
                <w:szCs w:val="13"/>
                <w:color w:val="auto"/>
              </w:rPr>
              <w:t>0.4%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31.4%</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Reserves for property and casualty claims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2,555,580</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2,608,744</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2,643,176</w:t>
            </w:r>
          </w:p>
        </w:tc>
        <w:tc>
          <w:tcPr>
            <w:tcW w:w="880" w:type="dxa"/>
            <w:vAlign w:val="bottom"/>
          </w:tcPr>
          <w:p>
            <w:pPr>
              <w:jc w:val="center"/>
              <w:spacing w:after="0"/>
              <w:rPr>
                <w:sz w:val="20"/>
                <w:szCs w:val="20"/>
                <w:color w:val="auto"/>
              </w:rPr>
            </w:pPr>
            <w:r>
              <w:rPr>
                <w:rFonts w:ascii="Arial" w:cs="Arial" w:eastAsia="Arial" w:hAnsi="Arial"/>
                <w:sz w:val="13"/>
                <w:szCs w:val="13"/>
                <w:color w:val="auto"/>
              </w:rPr>
              <w:t>1.3%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3.4%</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Reserve for unearned premiums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9,978,931</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9,101,140</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9,347,783</w:t>
            </w:r>
          </w:p>
        </w:tc>
        <w:tc>
          <w:tcPr>
            <w:tcW w:w="880" w:type="dxa"/>
            <w:vAlign w:val="bottom"/>
          </w:tcPr>
          <w:p>
            <w:pPr>
              <w:jc w:val="center"/>
              <w:spacing w:after="0"/>
              <w:rPr>
                <w:sz w:val="20"/>
                <w:szCs w:val="20"/>
                <w:color w:val="auto"/>
              </w:rPr>
            </w:pPr>
            <w:r>
              <w:rPr>
                <w:rFonts w:ascii="Arial" w:cs="Arial" w:eastAsia="Arial" w:hAnsi="Arial"/>
                <w:sz w:val="13"/>
                <w:szCs w:val="13"/>
                <w:color w:val="auto"/>
              </w:rPr>
              <w:t>2.7%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-6.3%</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Accounts payable to reinsurers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463,825</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328,031</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420,094</w:t>
            </w:r>
          </w:p>
        </w:tc>
        <w:tc>
          <w:tcPr>
            <w:tcW w:w="880" w:type="dxa"/>
            <w:vAlign w:val="bottom"/>
          </w:tcPr>
          <w:p>
            <w:pPr>
              <w:jc w:val="center"/>
              <w:spacing w:after="0"/>
              <w:rPr>
                <w:sz w:val="20"/>
                <w:szCs w:val="20"/>
                <w:color w:val="auto"/>
              </w:rPr>
            </w:pPr>
            <w:r>
              <w:rPr>
                <w:rFonts w:ascii="Arial" w:cs="Arial" w:eastAsia="Arial" w:hAnsi="Arial"/>
                <w:sz w:val="13"/>
                <w:szCs w:val="13"/>
                <w:color w:val="auto"/>
              </w:rPr>
              <w:t>28.1%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-9.4%</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Financial liabilities at fair value through profit or loss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337,909</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333,453</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191,010</w:t>
            </w:r>
          </w:p>
        </w:tc>
        <w:tc>
          <w:tcPr>
            <w:tcW w:w="880" w:type="dxa"/>
            <w:vAlign w:val="bottom"/>
          </w:tcPr>
          <w:p>
            <w:pPr>
              <w:jc w:val="center"/>
              <w:spacing w:after="0"/>
              <w:rPr>
                <w:sz w:val="20"/>
                <w:szCs w:val="20"/>
                <w:color w:val="auto"/>
              </w:rPr>
            </w:pPr>
            <w:r>
              <w:rPr>
                <w:rFonts w:ascii="Arial" w:cs="Arial" w:eastAsia="Arial" w:hAnsi="Arial"/>
                <w:sz w:val="13"/>
                <w:szCs w:val="13"/>
                <w:color w:val="auto"/>
              </w:rPr>
              <w:t>-42.7%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-43.5%</w:t>
            </w:r>
          </w:p>
        </w:tc>
      </w:tr>
      <w:tr>
        <w:trPr>
          <w:trHeight w:val="175"/>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Other liabilities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7,294,149</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7,780,443</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7,961,651</w:t>
            </w:r>
          </w:p>
        </w:tc>
        <w:tc>
          <w:tcPr>
            <w:tcW w:w="880" w:type="dxa"/>
            <w:vAlign w:val="bottom"/>
          </w:tcPr>
          <w:p>
            <w:pPr>
              <w:jc w:val="center"/>
              <w:spacing w:after="0"/>
              <w:rPr>
                <w:sz w:val="20"/>
                <w:szCs w:val="20"/>
                <w:color w:val="auto"/>
              </w:rPr>
            </w:pPr>
            <w:r>
              <w:rPr>
                <w:rFonts w:ascii="Arial" w:cs="Arial" w:eastAsia="Arial" w:hAnsi="Arial"/>
                <w:sz w:val="13"/>
                <w:szCs w:val="13"/>
                <w:color w:val="auto"/>
              </w:rPr>
              <w:t>2.3%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9.2%</w:t>
            </w:r>
          </w:p>
        </w:tc>
      </w:tr>
      <w:tr>
        <w:trPr>
          <w:trHeight w:val="310"/>
        </w:trPr>
        <w:tc>
          <w:tcPr>
            <w:tcW w:w="5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Liabilities</w:t>
            </w:r>
          </w:p>
        </w:tc>
        <w:tc>
          <w:tcPr>
            <w:tcW w:w="1520" w:type="dxa"/>
            <w:vAlign w:val="bottom"/>
          </w:tcPr>
          <w:p>
            <w:pPr>
              <w:jc w:val="right"/>
              <w:ind w:right="193"/>
              <w:spacing w:after="0"/>
              <w:rPr>
                <w:sz w:val="20"/>
                <w:szCs w:val="20"/>
                <w:color w:val="auto"/>
              </w:rPr>
            </w:pPr>
            <w:r>
              <w:rPr>
                <w:rFonts w:ascii="Arial" w:cs="Arial" w:eastAsia="Arial" w:hAnsi="Arial"/>
                <w:sz w:val="13"/>
                <w:szCs w:val="13"/>
                <w:b w:val="1"/>
                <w:bCs w:val="1"/>
                <w:color w:val="auto"/>
              </w:rPr>
              <w:t>217,809,301</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216,238,253</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207,195,509</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-4.2%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-4.9%</w:t>
            </w:r>
          </w:p>
        </w:tc>
      </w:tr>
      <w:tr>
        <w:trPr>
          <w:trHeight w:val="270"/>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Net equity</w:t>
            </w:r>
          </w:p>
        </w:tc>
        <w:tc>
          <w:tcPr>
            <w:tcW w:w="1520" w:type="dxa"/>
            <w:vAlign w:val="bottom"/>
          </w:tcPr>
          <w:p>
            <w:pPr>
              <w:jc w:val="right"/>
              <w:ind w:right="193"/>
              <w:spacing w:after="0"/>
              <w:rPr>
                <w:sz w:val="20"/>
                <w:szCs w:val="20"/>
                <w:color w:val="auto"/>
              </w:rPr>
            </w:pPr>
            <w:r>
              <w:rPr>
                <w:rFonts w:ascii="Arial" w:cs="Arial" w:eastAsia="Arial" w:hAnsi="Arial"/>
                <w:sz w:val="13"/>
                <w:szCs w:val="13"/>
                <w:b w:val="1"/>
                <w:bCs w:val="1"/>
                <w:color w:val="auto"/>
              </w:rPr>
              <w:t>26,496,767</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27,109,054</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28,988,140</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6.9%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9.4%</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Capital stock</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1,318,993</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1,318,993</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1,318,993</w:t>
            </w:r>
          </w:p>
        </w:tc>
        <w:tc>
          <w:tcPr>
            <w:tcW w:w="880" w:type="dxa"/>
            <w:vAlign w:val="bottom"/>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Treasury stock</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(207,534)</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(207,518)</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(207,518)</w:t>
            </w:r>
          </w:p>
        </w:tc>
        <w:tc>
          <w:tcPr>
            <w:tcW w:w="880" w:type="dxa"/>
            <w:vAlign w:val="bottom"/>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Capital surplus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228,853</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225,832</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231,556</w:t>
            </w:r>
          </w:p>
        </w:tc>
        <w:tc>
          <w:tcPr>
            <w:tcW w:w="880" w:type="dxa"/>
            <w:vAlign w:val="bottom"/>
          </w:tcPr>
          <w:p>
            <w:pPr>
              <w:jc w:val="center"/>
              <w:spacing w:after="0"/>
              <w:rPr>
                <w:sz w:val="20"/>
                <w:szCs w:val="20"/>
                <w:color w:val="auto"/>
              </w:rPr>
            </w:pPr>
            <w:r>
              <w:rPr>
                <w:rFonts w:ascii="Arial" w:cs="Arial" w:eastAsia="Arial" w:hAnsi="Arial"/>
                <w:sz w:val="13"/>
                <w:szCs w:val="13"/>
                <w:color w:val="auto"/>
              </w:rPr>
              <w:t>2.5%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Reserves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21,364,272</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23,687,946</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23,659,626</w:t>
            </w:r>
          </w:p>
        </w:tc>
        <w:tc>
          <w:tcPr>
            <w:tcW w:w="880" w:type="dxa"/>
            <w:vAlign w:val="bottom"/>
          </w:tcPr>
          <w:p>
            <w:pPr>
              <w:jc w:val="center"/>
              <w:spacing w:after="0"/>
              <w:rPr>
                <w:sz w:val="20"/>
                <w:szCs w:val="20"/>
                <w:color w:val="auto"/>
              </w:rPr>
            </w:pPr>
            <w:r>
              <w:rPr>
                <w:rFonts w:ascii="Arial" w:cs="Arial" w:eastAsia="Arial" w:hAnsi="Arial"/>
                <w:sz w:val="13"/>
                <w:szCs w:val="13"/>
                <w:color w:val="auto"/>
              </w:rPr>
              <w:t>-0.1%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10.7%</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Unrealized gains and losses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235,902</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(1,482,023)</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(650,116)</w:t>
            </w:r>
          </w:p>
        </w:tc>
        <w:tc>
          <w:tcPr>
            <w:tcW w:w="880" w:type="dxa"/>
            <w:vAlign w:val="bottom"/>
          </w:tcPr>
          <w:p>
            <w:pPr>
              <w:jc w:val="center"/>
              <w:spacing w:after="0"/>
              <w:rPr>
                <w:sz w:val="20"/>
                <w:szCs w:val="20"/>
                <w:color w:val="auto"/>
              </w:rPr>
            </w:pPr>
            <w:r>
              <w:rPr>
                <w:rFonts w:ascii="Arial" w:cs="Arial" w:eastAsia="Arial" w:hAnsi="Arial"/>
                <w:sz w:val="13"/>
                <w:szCs w:val="13"/>
                <w:color w:val="auto"/>
              </w:rPr>
              <w:t>-56.1%</w:t>
            </w:r>
          </w:p>
        </w:tc>
        <w:tc>
          <w:tcPr>
            <w:tcW w:w="92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n.a.</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Retained earnings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3,556,281</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3,565,824</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4,635,599</w:t>
            </w:r>
          </w:p>
        </w:tc>
        <w:tc>
          <w:tcPr>
            <w:tcW w:w="880" w:type="dxa"/>
            <w:vAlign w:val="bottom"/>
          </w:tcPr>
          <w:p>
            <w:pPr>
              <w:jc w:val="center"/>
              <w:spacing w:after="0"/>
              <w:rPr>
                <w:sz w:val="20"/>
                <w:szCs w:val="20"/>
                <w:color w:val="auto"/>
              </w:rPr>
            </w:pPr>
            <w:r>
              <w:rPr>
                <w:rFonts w:ascii="Arial" w:cs="Arial" w:eastAsia="Arial" w:hAnsi="Arial"/>
                <w:sz w:val="13"/>
                <w:szCs w:val="13"/>
                <w:color w:val="auto"/>
              </w:rPr>
              <w:t>30.0%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30.3%</w:t>
            </w:r>
          </w:p>
        </w:tc>
      </w:tr>
      <w:tr>
        <w:trPr>
          <w:trHeight w:val="151"/>
        </w:trPr>
        <w:tc>
          <w:tcPr>
            <w:tcW w:w="5420" w:type="dxa"/>
            <w:vAlign w:val="bottom"/>
            <w:tcBorders>
              <w:left w:val="single" w:sz="8" w:color="auto"/>
              <w:right w:val="single" w:sz="8" w:color="auto"/>
            </w:tcBorders>
          </w:tcPr>
          <w:p>
            <w:pPr>
              <w:spacing w:after="0"/>
              <w:rPr>
                <w:sz w:val="13"/>
                <w:szCs w:val="13"/>
                <w:color w:val="auto"/>
              </w:rPr>
            </w:pP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75"/>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Non-controlling interest</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540,672</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568,889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591,569</w:t>
            </w:r>
          </w:p>
        </w:tc>
        <w:tc>
          <w:tcPr>
            <w:tcW w:w="880" w:type="dxa"/>
            <w:vAlign w:val="bottom"/>
          </w:tcPr>
          <w:p>
            <w:pPr>
              <w:jc w:val="center"/>
              <w:spacing w:after="0"/>
              <w:rPr>
                <w:sz w:val="20"/>
                <w:szCs w:val="20"/>
                <w:color w:val="auto"/>
              </w:rPr>
            </w:pPr>
            <w:r>
              <w:rPr>
                <w:rFonts w:ascii="Arial" w:cs="Arial" w:eastAsia="Arial" w:hAnsi="Arial"/>
                <w:sz w:val="13"/>
                <w:szCs w:val="13"/>
                <w:color w:val="auto"/>
              </w:rPr>
              <w:t>4.0%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9.4%</w:t>
            </w:r>
          </w:p>
        </w:tc>
      </w:tr>
      <w:tr>
        <w:trPr>
          <w:trHeight w:val="278"/>
        </w:trPr>
        <w:tc>
          <w:tcPr>
            <w:tcW w:w="5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Net Equity</w:t>
            </w:r>
          </w:p>
        </w:tc>
        <w:tc>
          <w:tcPr>
            <w:tcW w:w="1520" w:type="dxa"/>
            <w:vAlign w:val="bottom"/>
          </w:tcPr>
          <w:p>
            <w:pPr>
              <w:jc w:val="right"/>
              <w:ind w:right="193"/>
              <w:spacing w:after="0"/>
              <w:rPr>
                <w:sz w:val="20"/>
                <w:szCs w:val="20"/>
                <w:color w:val="auto"/>
              </w:rPr>
            </w:pPr>
            <w:r>
              <w:rPr>
                <w:rFonts w:ascii="Arial" w:cs="Arial" w:eastAsia="Arial" w:hAnsi="Arial"/>
                <w:sz w:val="13"/>
                <w:szCs w:val="13"/>
                <w:b w:val="1"/>
                <w:bCs w:val="1"/>
                <w:color w:val="auto"/>
              </w:rPr>
              <w:t>27,037,439</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27,677,943</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29,579,709</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6.9%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9.4%</w:t>
            </w:r>
          </w:p>
        </w:tc>
      </w:tr>
      <w:tr>
        <w:trPr>
          <w:trHeight w:val="149"/>
        </w:trPr>
        <w:tc>
          <w:tcPr>
            <w:tcW w:w="5420" w:type="dxa"/>
            <w:vAlign w:val="bottom"/>
            <w:tcBorders>
              <w:left w:val="single" w:sz="8" w:color="auto"/>
              <w:right w:val="single" w:sz="8" w:color="auto"/>
            </w:tcBorders>
          </w:tcPr>
          <w:p>
            <w:pPr>
              <w:spacing w:after="0"/>
              <w:rPr>
                <w:sz w:val="12"/>
                <w:szCs w:val="12"/>
                <w:color w:val="auto"/>
              </w:rPr>
            </w:pP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53"/>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Total liabilities and equity</w:t>
            </w:r>
          </w:p>
        </w:tc>
        <w:tc>
          <w:tcPr>
            <w:tcW w:w="1520" w:type="dxa"/>
            <w:vAlign w:val="bottom"/>
          </w:tcPr>
          <w:p>
            <w:pPr>
              <w:jc w:val="right"/>
              <w:ind w:right="193"/>
              <w:spacing w:after="0"/>
              <w:rPr>
                <w:sz w:val="20"/>
                <w:szCs w:val="20"/>
                <w:color w:val="auto"/>
              </w:rPr>
            </w:pPr>
            <w:r>
              <w:rPr>
                <w:rFonts w:ascii="Arial" w:cs="Arial" w:eastAsia="Arial" w:hAnsi="Arial"/>
                <w:sz w:val="13"/>
                <w:szCs w:val="13"/>
                <w:b w:val="1"/>
                <w:bCs w:val="1"/>
                <w:color w:val="auto"/>
              </w:rPr>
              <w:t>244,846,740</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243,916,196</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236,775,218</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-2.9%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-3.3%</w:t>
            </w:r>
          </w:p>
        </w:tc>
      </w:tr>
      <w:tr>
        <w:trPr>
          <w:trHeight w:val="149"/>
        </w:trPr>
        <w:tc>
          <w:tcPr>
            <w:tcW w:w="5420" w:type="dxa"/>
            <w:vAlign w:val="bottom"/>
            <w:tcBorders>
              <w:left w:val="single" w:sz="8" w:color="auto"/>
              <w:right w:val="single" w:sz="8" w:color="auto"/>
            </w:tcBorders>
          </w:tcPr>
          <w:p>
            <w:pPr>
              <w:spacing w:after="0"/>
              <w:rPr>
                <w:sz w:val="12"/>
                <w:szCs w:val="12"/>
                <w:color w:val="auto"/>
              </w:rPr>
            </w:pP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53"/>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Off-balance sheet</w:t>
            </w:r>
          </w:p>
        </w:tc>
        <w:tc>
          <w:tcPr>
            <w:tcW w:w="1520" w:type="dxa"/>
            <w:vAlign w:val="bottom"/>
          </w:tcPr>
          <w:p>
            <w:pPr>
              <w:jc w:val="right"/>
              <w:ind w:right="193"/>
              <w:spacing w:after="0"/>
              <w:rPr>
                <w:sz w:val="20"/>
                <w:szCs w:val="20"/>
                <w:color w:val="auto"/>
              </w:rPr>
            </w:pPr>
            <w:r>
              <w:rPr>
                <w:rFonts w:ascii="Arial" w:cs="Arial" w:eastAsia="Arial" w:hAnsi="Arial"/>
                <w:sz w:val="13"/>
                <w:szCs w:val="13"/>
                <w:b w:val="1"/>
                <w:bCs w:val="1"/>
                <w:color w:val="auto"/>
              </w:rPr>
              <w:t>151,136,879</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151,545,926</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150,977,864</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-0.4%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-0.1%</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Total performance bonds, stand-by and L/Cs.</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22,914,343</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21,399,132</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20,928,054</w:t>
            </w:r>
          </w:p>
        </w:tc>
        <w:tc>
          <w:tcPr>
            <w:tcW w:w="880" w:type="dxa"/>
            <w:vAlign w:val="bottom"/>
          </w:tcPr>
          <w:p>
            <w:pPr>
              <w:jc w:val="center"/>
              <w:spacing w:after="0"/>
              <w:rPr>
                <w:sz w:val="20"/>
                <w:szCs w:val="20"/>
                <w:color w:val="auto"/>
              </w:rPr>
            </w:pPr>
            <w:r>
              <w:rPr>
                <w:rFonts w:ascii="Arial" w:cs="Arial" w:eastAsia="Arial" w:hAnsi="Arial"/>
                <w:sz w:val="13"/>
                <w:szCs w:val="13"/>
                <w:color w:val="auto"/>
              </w:rPr>
              <w:t>-2.2%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-8.7%</w:t>
            </w:r>
          </w:p>
        </w:tc>
      </w:tr>
      <w:tr>
        <w:trPr>
          <w:trHeight w:val="151"/>
        </w:trPr>
        <w:tc>
          <w:tcPr>
            <w:tcW w:w="5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Undrawn credit lines, advised but not committed</w:t>
            </w:r>
          </w:p>
        </w:tc>
        <w:tc>
          <w:tcPr>
            <w:tcW w:w="1520" w:type="dxa"/>
            <w:vAlign w:val="bottom"/>
          </w:tcPr>
          <w:p>
            <w:pPr>
              <w:jc w:val="right"/>
              <w:ind w:right="193"/>
              <w:spacing w:after="0"/>
              <w:rPr>
                <w:sz w:val="20"/>
                <w:szCs w:val="20"/>
                <w:color w:val="auto"/>
              </w:rPr>
            </w:pPr>
            <w:r>
              <w:rPr>
                <w:rFonts w:ascii="Arial" w:cs="Arial" w:eastAsia="Arial" w:hAnsi="Arial"/>
                <w:sz w:val="13"/>
                <w:szCs w:val="13"/>
                <w:color w:val="auto"/>
              </w:rPr>
              <w:t>88,382,322</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87,600,569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86,597,041</w:t>
            </w:r>
          </w:p>
        </w:tc>
        <w:tc>
          <w:tcPr>
            <w:tcW w:w="880" w:type="dxa"/>
            <w:vAlign w:val="bottom"/>
          </w:tcPr>
          <w:p>
            <w:pPr>
              <w:jc w:val="center"/>
              <w:spacing w:after="0"/>
              <w:rPr>
                <w:sz w:val="20"/>
                <w:szCs w:val="20"/>
                <w:color w:val="auto"/>
              </w:rPr>
            </w:pPr>
            <w:r>
              <w:rPr>
                <w:rFonts w:ascii="Arial" w:cs="Arial" w:eastAsia="Arial" w:hAnsi="Arial"/>
                <w:sz w:val="13"/>
                <w:szCs w:val="13"/>
                <w:color w:val="auto"/>
              </w:rPr>
              <w:t>-1.1%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-2.0%</w:t>
            </w:r>
          </w:p>
        </w:tc>
      </w:tr>
      <w:tr>
        <w:trPr>
          <w:trHeight w:val="159"/>
        </w:trPr>
        <w:tc>
          <w:tcPr>
            <w:tcW w:w="5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Total derivatives (notional) and others</w:t>
            </w:r>
          </w:p>
        </w:tc>
        <w:tc>
          <w:tcPr>
            <w:tcW w:w="15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39,840,214</w:t>
            </w:r>
          </w:p>
        </w:tc>
        <w:tc>
          <w:tcPr>
            <w:tcW w:w="1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42,546,225</w:t>
            </w:r>
          </w:p>
        </w:tc>
        <w:tc>
          <w:tcPr>
            <w:tcW w:w="11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43,452,769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9.1%</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(1) Includes mainly accounts receivables from brokerage and others.</w:t>
      </w: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141845"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123" w:gutter="0" w:footer="0" w:header="0"/>
        </w:sectPr>
      </w:pPr>
    </w:p>
    <w:bookmarkStart w:id="58" w:name="page59"/>
    <w:bookmarkEnd w:id="58"/>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CREDICORP LTD.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S/ thousands, IFRS)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3180" w:type="dxa"/>
            <w:vAlign w:val="bottom"/>
            <w:tcBorders>
              <w:right w:val="single" w:sz="8" w:color="auto"/>
            </w:tcBorders>
          </w:tcPr>
          <w:p>
            <w:pPr>
              <w:spacing w:after="0"/>
              <w:rPr>
                <w:sz w:val="13"/>
                <w:szCs w:val="13"/>
                <w:color w:val="auto"/>
              </w:rPr>
            </w:pPr>
          </w:p>
        </w:tc>
        <w:tc>
          <w:tcPr>
            <w:tcW w:w="1280" w:type="dxa"/>
            <w:vAlign w:val="bottom"/>
            <w:tcBorders>
              <w:top w:val="single" w:sz="8" w:color="auto"/>
            </w:tcBorders>
            <w:shd w:val="clear" w:color="auto" w:fill="2AD2C9"/>
          </w:tcPr>
          <w:p>
            <w:pPr>
              <w:spacing w:after="0"/>
              <w:rPr>
                <w:sz w:val="13"/>
                <w:szCs w:val="13"/>
                <w:color w:val="auto"/>
              </w:rPr>
            </w:pPr>
          </w:p>
        </w:tc>
        <w:tc>
          <w:tcPr>
            <w:tcW w:w="1160" w:type="dxa"/>
            <w:vAlign w:val="bottom"/>
            <w:tcBorders>
              <w:top w:val="single" w:sz="8" w:color="auto"/>
            </w:tcBorders>
            <w:shd w:val="clear" w:color="auto" w:fill="2AD2C9"/>
          </w:tcPr>
          <w:p>
            <w:pPr>
              <w:jc w:val="right"/>
              <w:ind w:right="453"/>
              <w:spacing w:after="0"/>
              <w:rPr>
                <w:sz w:val="20"/>
                <w:szCs w:val="20"/>
                <w:color w:val="auto"/>
              </w:rPr>
            </w:pPr>
            <w:r>
              <w:rPr>
                <w:rFonts w:ascii="Arial" w:cs="Arial" w:eastAsia="Arial" w:hAnsi="Arial"/>
                <w:sz w:val="13"/>
                <w:szCs w:val="13"/>
                <w:b w:val="1"/>
                <w:bCs w:val="1"/>
                <w:color w:val="FFFFFF"/>
              </w:rPr>
              <w:t>Quarter</w:t>
            </w:r>
          </w:p>
        </w:tc>
        <w:tc>
          <w:tcPr>
            <w:tcW w:w="940" w:type="dxa"/>
            <w:vAlign w:val="bottom"/>
            <w:tcBorders>
              <w:top w:val="single" w:sz="8" w:color="auto"/>
              <w:right w:val="single" w:sz="8" w:color="auto"/>
            </w:tcBorders>
            <w:shd w:val="clear" w:color="auto" w:fill="2AD2C9"/>
          </w:tcPr>
          <w:p>
            <w:pPr>
              <w:spacing w:after="0"/>
              <w:rPr>
                <w:sz w:val="13"/>
                <w:szCs w:val="13"/>
                <w:color w:val="auto"/>
              </w:rPr>
            </w:pPr>
          </w:p>
        </w:tc>
        <w:tc>
          <w:tcPr>
            <w:tcW w:w="1560" w:type="dxa"/>
            <w:vAlign w:val="bottom"/>
            <w:tcBorders>
              <w:top w:val="single" w:sz="8" w:color="auto"/>
              <w:right w:val="single" w:sz="8" w:color="auto"/>
            </w:tcBorders>
            <w:gridSpan w:val="2"/>
            <w:shd w:val="clear" w:color="auto" w:fill="2AD2C9"/>
          </w:tcPr>
          <w:p>
            <w:pPr>
              <w:ind w:left="460"/>
              <w:spacing w:after="0"/>
              <w:rPr>
                <w:sz w:val="20"/>
                <w:szCs w:val="20"/>
                <w:color w:val="auto"/>
              </w:rPr>
            </w:pPr>
            <w:r>
              <w:rPr>
                <w:rFonts w:ascii="Arial" w:cs="Arial" w:eastAsia="Arial" w:hAnsi="Arial"/>
                <w:sz w:val="13"/>
                <w:szCs w:val="13"/>
                <w:b w:val="1"/>
                <w:bCs w:val="1"/>
                <w:color w:val="FFFFFF"/>
              </w:rPr>
              <w:t>% change</w:t>
            </w:r>
          </w:p>
        </w:tc>
        <w:tc>
          <w:tcPr>
            <w:tcW w:w="122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800" w:type="dxa"/>
            <w:vAlign w:val="bottom"/>
            <w:tcBorders>
              <w:top w:val="single" w:sz="8" w:color="auto"/>
              <w:right w:val="single" w:sz="8" w:color="auto"/>
            </w:tcBorders>
            <w:shd w:val="clear" w:color="auto" w:fill="2AD2C9"/>
          </w:tcPr>
          <w:p>
            <w:pPr>
              <w:spacing w:after="0"/>
              <w:rPr>
                <w:sz w:val="13"/>
                <w:szCs w:val="13"/>
                <w:color w:val="auto"/>
              </w:rPr>
            </w:pPr>
          </w:p>
        </w:tc>
        <w:tc>
          <w:tcPr>
            <w:tcW w:w="112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1"/>
        </w:trPr>
        <w:tc>
          <w:tcPr>
            <w:tcW w:w="31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tcBorders>
            <w:shd w:val="clear" w:color="auto" w:fill="2AD2C9"/>
          </w:tcPr>
          <w:p>
            <w:pPr>
              <w:jc w:val="right"/>
              <w:ind w:right="493"/>
              <w:spacing w:after="0"/>
              <w:rPr>
                <w:sz w:val="20"/>
                <w:szCs w:val="20"/>
                <w:color w:val="auto"/>
              </w:rPr>
            </w:pPr>
            <w:r>
              <w:rPr>
                <w:rFonts w:ascii="Arial" w:cs="Arial" w:eastAsia="Arial" w:hAnsi="Arial"/>
                <w:sz w:val="13"/>
                <w:szCs w:val="13"/>
                <w:b w:val="1"/>
                <w:bCs w:val="1"/>
                <w:color w:val="FFFFFF"/>
              </w:rPr>
              <w:t>4Q21</w:t>
            </w:r>
          </w:p>
        </w:tc>
        <w:tc>
          <w:tcPr>
            <w:tcW w:w="1160" w:type="dxa"/>
            <w:vAlign w:val="bottom"/>
            <w:tcBorders>
              <w:bottom w:val="single" w:sz="8" w:color="auto"/>
            </w:tcBorders>
            <w:shd w:val="clear" w:color="auto" w:fill="2AD2C9"/>
          </w:tcPr>
          <w:p>
            <w:pPr>
              <w:jc w:val="right"/>
              <w:ind w:right="533"/>
              <w:spacing w:after="0"/>
              <w:rPr>
                <w:sz w:val="20"/>
                <w:szCs w:val="20"/>
                <w:color w:val="auto"/>
              </w:rPr>
            </w:pPr>
            <w:r>
              <w:rPr>
                <w:rFonts w:ascii="Arial" w:cs="Arial" w:eastAsia="Arial" w:hAnsi="Arial"/>
                <w:sz w:val="13"/>
                <w:szCs w:val="13"/>
                <w:b w:val="1"/>
                <w:bCs w:val="1"/>
                <w:color w:val="FFFFFF"/>
              </w:rPr>
              <w:t>3Q22</w:t>
            </w:r>
          </w:p>
        </w:tc>
        <w:tc>
          <w:tcPr>
            <w:tcW w:w="940" w:type="dxa"/>
            <w:vAlign w:val="bottom"/>
            <w:tcBorders>
              <w:bottom w:val="single" w:sz="8" w:color="auto"/>
              <w:right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4Q22</w:t>
            </w: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80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3"/>
                <w:szCs w:val="13"/>
                <w:b w:val="1"/>
                <w:bCs w:val="1"/>
                <w:color w:val="FFFFFF"/>
              </w:rPr>
              <w:t>YoY</w:t>
            </w:r>
          </w:p>
        </w:tc>
        <w:tc>
          <w:tcPr>
            <w:tcW w:w="1220" w:type="dxa"/>
            <w:vAlign w:val="bottom"/>
            <w:tcBorders>
              <w:bottom w:val="single" w:sz="8" w:color="auto"/>
            </w:tcBorders>
            <w:shd w:val="clear" w:color="auto" w:fill="2AD2C9"/>
          </w:tcPr>
          <w:p>
            <w:pPr>
              <w:jc w:val="right"/>
              <w:ind w:right="573"/>
              <w:spacing w:after="0"/>
              <w:rPr>
                <w:sz w:val="20"/>
                <w:szCs w:val="20"/>
                <w:color w:val="auto"/>
              </w:rPr>
            </w:pPr>
            <w:r>
              <w:rPr>
                <w:rFonts w:ascii="Arial" w:cs="Arial" w:eastAsia="Arial" w:hAnsi="Arial"/>
                <w:sz w:val="13"/>
                <w:szCs w:val="13"/>
                <w:b w:val="1"/>
                <w:bCs w:val="1"/>
                <w:color w:val="FFFFFF"/>
              </w:rPr>
              <w:t>2021</w:t>
            </w:r>
          </w:p>
        </w:tc>
        <w:tc>
          <w:tcPr>
            <w:tcW w:w="800" w:type="dxa"/>
            <w:vAlign w:val="bottom"/>
            <w:tcBorders>
              <w:bottom w:val="single" w:sz="8" w:color="auto"/>
              <w:right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2022</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Dec 21/ Dec 22</w:t>
            </w:r>
          </w:p>
        </w:tc>
        <w:tc>
          <w:tcPr>
            <w:tcW w:w="0" w:type="dxa"/>
            <w:vAlign w:val="bottom"/>
          </w:tcPr>
          <w:p>
            <w:pPr>
              <w:spacing w:after="0"/>
              <w:rPr>
                <w:sz w:val="1"/>
                <w:szCs w:val="1"/>
                <w:color w:val="auto"/>
              </w:rPr>
            </w:pPr>
          </w:p>
        </w:tc>
      </w:tr>
      <w:tr>
        <w:trPr>
          <w:trHeight w:val="136"/>
        </w:trPr>
        <w:tc>
          <w:tcPr>
            <w:tcW w:w="318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Interest income and expense</w:t>
            </w:r>
          </w:p>
        </w:tc>
        <w:tc>
          <w:tcPr>
            <w:tcW w:w="1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160"/>
              <w:spacing w:after="0" w:line="136" w:lineRule="exact"/>
              <w:rPr>
                <w:sz w:val="20"/>
                <w:szCs w:val="20"/>
                <w:color w:val="auto"/>
              </w:rPr>
            </w:pPr>
            <w:r>
              <w:rPr>
                <w:rFonts w:ascii="Arial" w:cs="Arial" w:eastAsia="Arial" w:hAnsi="Arial"/>
                <w:sz w:val="13"/>
                <w:szCs w:val="13"/>
                <w:color w:val="auto"/>
              </w:rPr>
              <w:t>Interest and dividend income</w:t>
            </w:r>
          </w:p>
        </w:tc>
        <w:tc>
          <w:tcPr>
            <w:tcW w:w="128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3,091,754</w:t>
            </w:r>
          </w:p>
        </w:tc>
        <w:tc>
          <w:tcPr>
            <w:tcW w:w="1160" w:type="dxa"/>
            <w:vAlign w:val="bottom"/>
          </w:tcPr>
          <w:p>
            <w:pPr>
              <w:jc w:val="right"/>
              <w:ind w:right="173"/>
              <w:spacing w:after="0" w:line="136" w:lineRule="exact"/>
              <w:rPr>
                <w:sz w:val="20"/>
                <w:szCs w:val="20"/>
                <w:color w:val="auto"/>
              </w:rPr>
            </w:pPr>
            <w:r>
              <w:rPr>
                <w:rFonts w:ascii="Arial" w:cs="Arial" w:eastAsia="Arial" w:hAnsi="Arial"/>
                <w:sz w:val="13"/>
                <w:szCs w:val="13"/>
                <w:color w:val="auto"/>
              </w:rPr>
              <w:t>3,988,681</w:t>
            </w:r>
          </w:p>
        </w:tc>
        <w:tc>
          <w:tcPr>
            <w:tcW w:w="94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4,362,142</w:t>
            </w:r>
          </w:p>
        </w:tc>
        <w:tc>
          <w:tcPr>
            <w:tcW w:w="760" w:type="dxa"/>
            <w:vAlign w:val="bottom"/>
          </w:tcPr>
          <w:p>
            <w:pPr>
              <w:jc w:val="center"/>
              <w:spacing w:after="0" w:line="136" w:lineRule="exact"/>
              <w:rPr>
                <w:sz w:val="20"/>
                <w:szCs w:val="20"/>
                <w:color w:val="auto"/>
              </w:rPr>
            </w:pPr>
            <w:r>
              <w:rPr>
                <w:rFonts w:ascii="Arial" w:cs="Arial" w:eastAsia="Arial" w:hAnsi="Arial"/>
                <w:sz w:val="13"/>
                <w:szCs w:val="13"/>
                <w:color w:val="auto"/>
              </w:rPr>
              <w:t>9.4%</w:t>
            </w:r>
          </w:p>
        </w:tc>
        <w:tc>
          <w:tcPr>
            <w:tcW w:w="8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41.1%</w:t>
            </w:r>
          </w:p>
        </w:tc>
        <w:tc>
          <w:tcPr>
            <w:tcW w:w="1220" w:type="dxa"/>
            <w:vAlign w:val="bottom"/>
          </w:tcPr>
          <w:p>
            <w:pPr>
              <w:jc w:val="right"/>
              <w:ind w:right="313"/>
              <w:spacing w:after="0" w:line="136" w:lineRule="exact"/>
              <w:rPr>
                <w:sz w:val="20"/>
                <w:szCs w:val="20"/>
                <w:color w:val="auto"/>
              </w:rPr>
            </w:pPr>
            <w:r>
              <w:rPr>
                <w:rFonts w:ascii="Arial" w:cs="Arial" w:eastAsia="Arial" w:hAnsi="Arial"/>
                <w:sz w:val="13"/>
                <w:szCs w:val="13"/>
                <w:color w:val="auto"/>
              </w:rPr>
              <w:t>11,850,406</w:t>
            </w:r>
          </w:p>
        </w:tc>
        <w:tc>
          <w:tcPr>
            <w:tcW w:w="80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15,011,282</w:t>
            </w:r>
          </w:p>
        </w:tc>
        <w:tc>
          <w:tcPr>
            <w:tcW w:w="11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164"/>
        </w:trPr>
        <w:tc>
          <w:tcPr>
            <w:tcW w:w="3180" w:type="dxa"/>
            <w:vAlign w:val="bottom"/>
            <w:tcBorders>
              <w:left w:val="single" w:sz="8" w:color="auto"/>
              <w:right w:val="single" w:sz="8" w:color="auto"/>
            </w:tcBorders>
          </w:tcPr>
          <w:p>
            <w:pPr>
              <w:ind w:left="160"/>
              <w:spacing w:after="0" w:line="164" w:lineRule="exact"/>
              <w:rPr>
                <w:sz w:val="20"/>
                <w:szCs w:val="20"/>
                <w:color w:val="auto"/>
              </w:rPr>
            </w:pPr>
            <w:r>
              <w:rPr>
                <w:rFonts w:ascii="Arial" w:cs="Arial" w:eastAsia="Arial" w:hAnsi="Arial"/>
                <w:sz w:val="12"/>
                <w:szCs w:val="12"/>
                <w:color w:val="auto"/>
              </w:rPr>
              <w:t xml:space="preserve">Interest expense </w:t>
            </w:r>
            <w:r>
              <w:rPr>
                <w:rFonts w:ascii="Arial" w:cs="Arial" w:eastAsia="Arial" w:hAnsi="Arial"/>
                <w:sz w:val="19"/>
                <w:szCs w:val="19"/>
                <w:color w:val="auto"/>
                <w:vertAlign w:val="superscript"/>
              </w:rPr>
              <w:t>(1)</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(614,520)</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(987,222)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(1,119,124)</w:t>
            </w:r>
          </w:p>
        </w:tc>
        <w:tc>
          <w:tcPr>
            <w:tcW w:w="760" w:type="dxa"/>
            <w:vAlign w:val="bottom"/>
          </w:tcPr>
          <w:p>
            <w:pPr>
              <w:jc w:val="center"/>
              <w:spacing w:after="0"/>
              <w:rPr>
                <w:sz w:val="20"/>
                <w:szCs w:val="20"/>
                <w:color w:val="auto"/>
              </w:rPr>
            </w:pPr>
            <w:r>
              <w:rPr>
                <w:rFonts w:ascii="Arial" w:cs="Arial" w:eastAsia="Arial" w:hAnsi="Arial"/>
                <w:sz w:val="13"/>
                <w:szCs w:val="13"/>
                <w:color w:val="auto"/>
              </w:rPr>
              <w:t>13.4%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82.1%</w:t>
            </w:r>
          </w:p>
        </w:tc>
        <w:tc>
          <w:tcPr>
            <w:tcW w:w="1220" w:type="dxa"/>
            <w:vAlign w:val="bottom"/>
          </w:tcPr>
          <w:p>
            <w:pPr>
              <w:jc w:val="right"/>
              <w:ind w:right="273"/>
              <w:spacing w:after="0"/>
              <w:rPr>
                <w:sz w:val="20"/>
                <w:szCs w:val="20"/>
                <w:color w:val="auto"/>
              </w:rPr>
            </w:pPr>
            <w:r>
              <w:rPr>
                <w:rFonts w:ascii="Arial" w:cs="Arial" w:eastAsia="Arial" w:hAnsi="Arial"/>
                <w:sz w:val="13"/>
                <w:szCs w:val="13"/>
                <w:color w:val="auto"/>
              </w:rPr>
              <w:t>(2,490,802)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(3,493,187)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185"/>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Net interest income</w:t>
            </w:r>
          </w:p>
        </w:tc>
        <w:tc>
          <w:tcPr>
            <w:tcW w:w="1280" w:type="dxa"/>
            <w:vAlign w:val="bottom"/>
          </w:tcPr>
          <w:p>
            <w:pPr>
              <w:jc w:val="right"/>
              <w:ind w:right="133"/>
              <w:spacing w:after="0"/>
              <w:rPr>
                <w:sz w:val="20"/>
                <w:szCs w:val="20"/>
                <w:color w:val="auto"/>
              </w:rPr>
            </w:pPr>
            <w:r>
              <w:rPr>
                <w:rFonts w:ascii="Arial" w:cs="Arial" w:eastAsia="Arial" w:hAnsi="Arial"/>
                <w:sz w:val="13"/>
                <w:szCs w:val="13"/>
                <w:b w:val="1"/>
                <w:bCs w:val="1"/>
                <w:color w:val="auto"/>
              </w:rPr>
              <w:t>2,477,234</w:t>
            </w:r>
          </w:p>
        </w:tc>
        <w:tc>
          <w:tcPr>
            <w:tcW w:w="1160" w:type="dxa"/>
            <w:vAlign w:val="bottom"/>
          </w:tcPr>
          <w:p>
            <w:pPr>
              <w:jc w:val="right"/>
              <w:ind w:right="173"/>
              <w:spacing w:after="0"/>
              <w:rPr>
                <w:sz w:val="20"/>
                <w:szCs w:val="20"/>
                <w:color w:val="auto"/>
              </w:rPr>
            </w:pPr>
            <w:r>
              <w:rPr>
                <w:rFonts w:ascii="Arial" w:cs="Arial" w:eastAsia="Arial" w:hAnsi="Arial"/>
                <w:sz w:val="13"/>
                <w:szCs w:val="13"/>
                <w:b w:val="1"/>
                <w:bCs w:val="1"/>
                <w:color w:val="auto"/>
              </w:rPr>
              <w:t>3,001,459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3,243,018</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8.0%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30.9%</w:t>
            </w:r>
          </w:p>
        </w:tc>
        <w:tc>
          <w:tcPr>
            <w:tcW w:w="1220" w:type="dxa"/>
            <w:vAlign w:val="bottom"/>
          </w:tcPr>
          <w:p>
            <w:pPr>
              <w:jc w:val="right"/>
              <w:ind w:right="313"/>
              <w:spacing w:after="0"/>
              <w:rPr>
                <w:sz w:val="20"/>
                <w:szCs w:val="20"/>
                <w:color w:val="auto"/>
              </w:rPr>
            </w:pPr>
            <w:r>
              <w:rPr>
                <w:rFonts w:ascii="Arial" w:cs="Arial" w:eastAsia="Arial" w:hAnsi="Arial"/>
                <w:sz w:val="13"/>
                <w:szCs w:val="13"/>
                <w:b w:val="1"/>
                <w:bCs w:val="1"/>
                <w:color w:val="auto"/>
              </w:rPr>
              <w:t>9,359,604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11,518,095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23.1%</w:t>
            </w:r>
          </w:p>
        </w:tc>
        <w:tc>
          <w:tcPr>
            <w:tcW w:w="0" w:type="dxa"/>
            <w:vAlign w:val="bottom"/>
          </w:tcPr>
          <w:p>
            <w:pPr>
              <w:spacing w:after="0"/>
              <w:rPr>
                <w:sz w:val="1"/>
                <w:szCs w:val="1"/>
                <w:color w:val="auto"/>
              </w:rPr>
            </w:pPr>
          </w:p>
        </w:tc>
      </w:tr>
      <w:tr>
        <w:trPr>
          <w:trHeight w:val="27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Gross provision for credit losses on loan portfolio</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(229,804)</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(545,249)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(815,589)</w:t>
            </w:r>
          </w:p>
        </w:tc>
        <w:tc>
          <w:tcPr>
            <w:tcW w:w="760" w:type="dxa"/>
            <w:vAlign w:val="bottom"/>
          </w:tcPr>
          <w:p>
            <w:pPr>
              <w:jc w:val="center"/>
              <w:spacing w:after="0"/>
              <w:rPr>
                <w:sz w:val="20"/>
                <w:szCs w:val="20"/>
                <w:color w:val="auto"/>
              </w:rPr>
            </w:pPr>
            <w:r>
              <w:rPr>
                <w:rFonts w:ascii="Arial" w:cs="Arial" w:eastAsia="Arial" w:hAnsi="Arial"/>
                <w:sz w:val="13"/>
                <w:szCs w:val="13"/>
                <w:color w:val="auto"/>
              </w:rPr>
              <w:t>49.6%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254.9%</w:t>
            </w:r>
          </w:p>
        </w:tc>
        <w:tc>
          <w:tcPr>
            <w:tcW w:w="1220" w:type="dxa"/>
            <w:vAlign w:val="bottom"/>
          </w:tcPr>
          <w:p>
            <w:pPr>
              <w:jc w:val="right"/>
              <w:ind w:right="273"/>
              <w:spacing w:after="0"/>
              <w:rPr>
                <w:sz w:val="20"/>
                <w:szCs w:val="20"/>
                <w:color w:val="auto"/>
              </w:rPr>
            </w:pPr>
            <w:r>
              <w:rPr>
                <w:rFonts w:ascii="Arial" w:cs="Arial" w:eastAsia="Arial" w:hAnsi="Arial"/>
                <w:sz w:val="13"/>
                <w:szCs w:val="13"/>
                <w:color w:val="auto"/>
              </w:rPr>
              <w:t>(1,558,951)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(2,158,555)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Recoveries of written-off loans</w:t>
            </w:r>
          </w:p>
        </w:tc>
        <w:tc>
          <w:tcPr>
            <w:tcW w:w="1280" w:type="dxa"/>
            <w:vAlign w:val="bottom"/>
          </w:tcPr>
          <w:p>
            <w:pPr>
              <w:jc w:val="right"/>
              <w:ind w:right="133"/>
              <w:spacing w:after="0"/>
              <w:rPr>
                <w:sz w:val="20"/>
                <w:szCs w:val="20"/>
                <w:color w:val="auto"/>
              </w:rPr>
            </w:pPr>
            <w:r>
              <w:rPr>
                <w:rFonts w:ascii="Arial" w:cs="Arial" w:eastAsia="Arial" w:hAnsi="Arial"/>
                <w:sz w:val="13"/>
                <w:szCs w:val="13"/>
                <w:color w:val="auto"/>
              </w:rPr>
              <w:t>103,022</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85,273</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84,908</w:t>
            </w:r>
          </w:p>
        </w:tc>
        <w:tc>
          <w:tcPr>
            <w:tcW w:w="760" w:type="dxa"/>
            <w:vAlign w:val="bottom"/>
          </w:tcPr>
          <w:p>
            <w:pPr>
              <w:jc w:val="center"/>
              <w:spacing w:after="0"/>
              <w:rPr>
                <w:sz w:val="20"/>
                <w:szCs w:val="20"/>
                <w:color w:val="auto"/>
              </w:rPr>
            </w:pPr>
            <w:r>
              <w:rPr>
                <w:rFonts w:ascii="Arial" w:cs="Arial" w:eastAsia="Arial" w:hAnsi="Arial"/>
                <w:sz w:val="13"/>
                <w:szCs w:val="13"/>
                <w:color w:val="auto"/>
              </w:rPr>
              <w:t>-0.4%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-17.6%</w:t>
            </w:r>
          </w:p>
        </w:tc>
        <w:tc>
          <w:tcPr>
            <w:tcW w:w="1220" w:type="dxa"/>
            <w:vAlign w:val="bottom"/>
          </w:tcPr>
          <w:p>
            <w:pPr>
              <w:jc w:val="right"/>
              <w:ind w:right="313"/>
              <w:spacing w:after="0"/>
              <w:rPr>
                <w:sz w:val="20"/>
                <w:szCs w:val="20"/>
                <w:color w:val="auto"/>
              </w:rPr>
            </w:pPr>
            <w:r>
              <w:rPr>
                <w:rFonts w:ascii="Arial" w:cs="Arial" w:eastAsia="Arial" w:hAnsi="Arial"/>
                <w:sz w:val="13"/>
                <w:szCs w:val="13"/>
                <w:color w:val="auto"/>
              </w:rPr>
              <w:t>346,728</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347,017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Provision for credit losses on loan portfolio, net</w:t>
            </w:r>
          </w:p>
        </w:tc>
        <w:tc>
          <w:tcPr>
            <w:tcW w:w="128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(126,782)</w:t>
            </w:r>
          </w:p>
        </w:tc>
        <w:tc>
          <w:tcPr>
            <w:tcW w:w="116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(459,976)</w:t>
            </w:r>
          </w:p>
        </w:tc>
        <w:tc>
          <w:tcPr>
            <w:tcW w:w="9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(730,681)</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58.9%</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476.3%</w:t>
            </w:r>
          </w:p>
        </w:tc>
        <w:tc>
          <w:tcPr>
            <w:tcW w:w="122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of recoveries</w:t>
            </w:r>
          </w:p>
        </w:tc>
        <w:tc>
          <w:tcPr>
            <w:tcW w:w="12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122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(1,212,223)</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(1,811,538)</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49.4%</w:t>
            </w:r>
          </w:p>
        </w:tc>
        <w:tc>
          <w:tcPr>
            <w:tcW w:w="0" w:type="dxa"/>
            <w:vAlign w:val="bottom"/>
          </w:tcPr>
          <w:p>
            <w:pPr>
              <w:spacing w:after="0"/>
              <w:rPr>
                <w:sz w:val="1"/>
                <w:szCs w:val="1"/>
                <w:color w:val="auto"/>
              </w:rPr>
            </w:pPr>
          </w:p>
        </w:tc>
      </w:tr>
      <w:tr>
        <w:trPr>
          <w:trHeight w:val="75"/>
        </w:trPr>
        <w:tc>
          <w:tcPr>
            <w:tcW w:w="3180" w:type="dxa"/>
            <w:vAlign w:val="bottom"/>
            <w:tcBorders>
              <w:left w:val="single" w:sz="8" w:color="auto"/>
              <w:right w:val="single" w:sz="8" w:color="auto"/>
            </w:tcBorders>
            <w:vMerge w:val="continue"/>
          </w:tcPr>
          <w:p>
            <w:pPr>
              <w:spacing w:after="0"/>
              <w:rPr>
                <w:sz w:val="6"/>
                <w:szCs w:val="6"/>
                <w:color w:val="auto"/>
              </w:rPr>
            </w:pPr>
          </w:p>
        </w:tc>
        <w:tc>
          <w:tcPr>
            <w:tcW w:w="128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w:t>
            </w:r>
          </w:p>
        </w:tc>
        <w:tc>
          <w:tcPr>
            <w:tcW w:w="11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w:t>
            </w:r>
          </w:p>
        </w:tc>
        <w:tc>
          <w:tcPr>
            <w:tcW w:w="94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1220" w:type="dxa"/>
            <w:vAlign w:val="bottom"/>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180" w:type="dxa"/>
            <w:vAlign w:val="bottom"/>
            <w:tcBorders>
              <w:left w:val="single" w:sz="8" w:color="auto"/>
              <w:right w:val="single" w:sz="8" w:color="auto"/>
            </w:tcBorders>
          </w:tcPr>
          <w:p>
            <w:pPr>
              <w:spacing w:after="0"/>
              <w:rPr>
                <w:sz w:val="10"/>
                <w:szCs w:val="10"/>
                <w:color w:val="auto"/>
              </w:rPr>
            </w:pPr>
          </w:p>
        </w:tc>
        <w:tc>
          <w:tcPr>
            <w:tcW w:w="12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Risk-adjusted net interest income</w:t>
            </w:r>
          </w:p>
        </w:tc>
        <w:tc>
          <w:tcPr>
            <w:tcW w:w="1280" w:type="dxa"/>
            <w:vAlign w:val="bottom"/>
          </w:tcPr>
          <w:p>
            <w:pPr>
              <w:jc w:val="right"/>
              <w:ind w:right="133"/>
              <w:spacing w:after="0"/>
              <w:rPr>
                <w:sz w:val="20"/>
                <w:szCs w:val="20"/>
                <w:color w:val="auto"/>
              </w:rPr>
            </w:pPr>
            <w:r>
              <w:rPr>
                <w:rFonts w:ascii="Arial" w:cs="Arial" w:eastAsia="Arial" w:hAnsi="Arial"/>
                <w:sz w:val="13"/>
                <w:szCs w:val="13"/>
                <w:b w:val="1"/>
                <w:bCs w:val="1"/>
                <w:color w:val="auto"/>
              </w:rPr>
              <w:t>2,350,452</w:t>
            </w:r>
          </w:p>
        </w:tc>
        <w:tc>
          <w:tcPr>
            <w:tcW w:w="1160" w:type="dxa"/>
            <w:vAlign w:val="bottom"/>
          </w:tcPr>
          <w:p>
            <w:pPr>
              <w:jc w:val="right"/>
              <w:ind w:right="173"/>
              <w:spacing w:after="0"/>
              <w:rPr>
                <w:sz w:val="20"/>
                <w:szCs w:val="20"/>
                <w:color w:val="auto"/>
              </w:rPr>
            </w:pPr>
            <w:r>
              <w:rPr>
                <w:rFonts w:ascii="Arial" w:cs="Arial" w:eastAsia="Arial" w:hAnsi="Arial"/>
                <w:sz w:val="13"/>
                <w:szCs w:val="13"/>
                <w:b w:val="1"/>
                <w:bCs w:val="1"/>
                <w:color w:val="auto"/>
              </w:rPr>
              <w:t>2,541,483</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2,512,337</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-1.1%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6.9%</w:t>
            </w:r>
          </w:p>
        </w:tc>
        <w:tc>
          <w:tcPr>
            <w:tcW w:w="1220" w:type="dxa"/>
            <w:vAlign w:val="bottom"/>
          </w:tcPr>
          <w:p>
            <w:pPr>
              <w:jc w:val="right"/>
              <w:ind w:right="313"/>
              <w:spacing w:after="0"/>
              <w:rPr>
                <w:sz w:val="20"/>
                <w:szCs w:val="20"/>
                <w:color w:val="auto"/>
              </w:rPr>
            </w:pPr>
            <w:r>
              <w:rPr>
                <w:rFonts w:ascii="Arial" w:cs="Arial" w:eastAsia="Arial" w:hAnsi="Arial"/>
                <w:sz w:val="13"/>
                <w:szCs w:val="13"/>
                <w:b w:val="1"/>
                <w:bCs w:val="1"/>
                <w:color w:val="auto"/>
              </w:rPr>
              <w:t>8,147,381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9,706,557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19.1%</w:t>
            </w:r>
          </w:p>
        </w:tc>
        <w:tc>
          <w:tcPr>
            <w:tcW w:w="0" w:type="dxa"/>
            <w:vAlign w:val="bottom"/>
          </w:tcPr>
          <w:p>
            <w:pPr>
              <w:spacing w:after="0"/>
              <w:rPr>
                <w:sz w:val="1"/>
                <w:szCs w:val="1"/>
                <w:color w:val="auto"/>
              </w:rPr>
            </w:pPr>
          </w:p>
        </w:tc>
      </w:tr>
      <w:tr>
        <w:trPr>
          <w:trHeight w:val="27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Non-financial income</w:t>
            </w:r>
          </w:p>
        </w:tc>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Fee income</w:t>
            </w:r>
          </w:p>
        </w:tc>
        <w:tc>
          <w:tcPr>
            <w:tcW w:w="1280" w:type="dxa"/>
            <w:vAlign w:val="bottom"/>
          </w:tcPr>
          <w:p>
            <w:pPr>
              <w:jc w:val="right"/>
              <w:ind w:right="133"/>
              <w:spacing w:after="0"/>
              <w:rPr>
                <w:sz w:val="20"/>
                <w:szCs w:val="20"/>
                <w:color w:val="auto"/>
              </w:rPr>
            </w:pPr>
            <w:r>
              <w:rPr>
                <w:rFonts w:ascii="Arial" w:cs="Arial" w:eastAsia="Arial" w:hAnsi="Arial"/>
                <w:sz w:val="13"/>
                <w:szCs w:val="13"/>
                <w:color w:val="auto"/>
              </w:rPr>
              <w:t>924,161</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934,244</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894,552</w:t>
            </w:r>
          </w:p>
        </w:tc>
        <w:tc>
          <w:tcPr>
            <w:tcW w:w="760" w:type="dxa"/>
            <w:vAlign w:val="bottom"/>
          </w:tcPr>
          <w:p>
            <w:pPr>
              <w:jc w:val="center"/>
              <w:spacing w:after="0"/>
              <w:rPr>
                <w:sz w:val="20"/>
                <w:szCs w:val="20"/>
                <w:color w:val="auto"/>
              </w:rPr>
            </w:pPr>
            <w:r>
              <w:rPr>
                <w:rFonts w:ascii="Arial" w:cs="Arial" w:eastAsia="Arial" w:hAnsi="Arial"/>
                <w:sz w:val="13"/>
                <w:szCs w:val="13"/>
                <w:color w:val="auto"/>
              </w:rPr>
              <w:t>-4.2%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-3.2%</w:t>
            </w:r>
          </w:p>
        </w:tc>
        <w:tc>
          <w:tcPr>
            <w:tcW w:w="1220" w:type="dxa"/>
            <w:vAlign w:val="bottom"/>
          </w:tcPr>
          <w:p>
            <w:pPr>
              <w:jc w:val="right"/>
              <w:ind w:right="313"/>
              <w:spacing w:after="0"/>
              <w:rPr>
                <w:sz w:val="20"/>
                <w:szCs w:val="20"/>
                <w:color w:val="auto"/>
              </w:rPr>
            </w:pPr>
            <w:r>
              <w:rPr>
                <w:rFonts w:ascii="Arial" w:cs="Arial" w:eastAsia="Arial" w:hAnsi="Arial"/>
                <w:sz w:val="13"/>
                <w:szCs w:val="13"/>
                <w:color w:val="auto"/>
              </w:rPr>
              <w:t>3,493,734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3,640,319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(loss) on foreign exchange transactions</w:t>
            </w:r>
          </w:p>
        </w:tc>
        <w:tc>
          <w:tcPr>
            <w:tcW w:w="1280" w:type="dxa"/>
            <w:vAlign w:val="bottom"/>
          </w:tcPr>
          <w:p>
            <w:pPr>
              <w:jc w:val="right"/>
              <w:ind w:right="133"/>
              <w:spacing w:after="0"/>
              <w:rPr>
                <w:sz w:val="20"/>
                <w:szCs w:val="20"/>
                <w:color w:val="auto"/>
              </w:rPr>
            </w:pPr>
            <w:r>
              <w:rPr>
                <w:rFonts w:ascii="Arial" w:cs="Arial" w:eastAsia="Arial" w:hAnsi="Arial"/>
                <w:sz w:val="13"/>
                <w:szCs w:val="13"/>
                <w:color w:val="auto"/>
              </w:rPr>
              <w:t>263,017</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262,167</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293,215</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11.8%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11.5%</w:t>
            </w:r>
          </w:p>
        </w:tc>
        <w:tc>
          <w:tcPr>
            <w:tcW w:w="1220" w:type="dxa"/>
            <w:vAlign w:val="bottom"/>
          </w:tcPr>
          <w:p>
            <w:pPr>
              <w:jc w:val="right"/>
              <w:ind w:right="313"/>
              <w:spacing w:after="0"/>
              <w:rPr>
                <w:sz w:val="20"/>
                <w:szCs w:val="20"/>
                <w:color w:val="auto"/>
              </w:rPr>
            </w:pPr>
            <w:r>
              <w:rPr>
                <w:rFonts w:ascii="Arial" w:cs="Arial" w:eastAsia="Arial" w:hAnsi="Arial"/>
                <w:sz w:val="13"/>
                <w:szCs w:val="13"/>
                <w:color w:val="auto"/>
              </w:rPr>
              <w:t>922,917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1,084,151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(loss) on sales of securities</w:t>
            </w:r>
          </w:p>
        </w:tc>
        <w:tc>
          <w:tcPr>
            <w:tcW w:w="1280" w:type="dxa"/>
            <w:vAlign w:val="bottom"/>
          </w:tcPr>
          <w:p>
            <w:pPr>
              <w:jc w:val="right"/>
              <w:ind w:right="133"/>
              <w:spacing w:after="0"/>
              <w:rPr>
                <w:sz w:val="20"/>
                <w:szCs w:val="20"/>
                <w:color w:val="auto"/>
              </w:rPr>
            </w:pPr>
            <w:r>
              <w:rPr>
                <w:rFonts w:ascii="Arial" w:cs="Arial" w:eastAsia="Arial" w:hAnsi="Arial"/>
                <w:sz w:val="13"/>
                <w:szCs w:val="13"/>
                <w:color w:val="auto"/>
              </w:rPr>
              <w:t>2,550</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(25,459)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77,512</w:t>
            </w:r>
          </w:p>
        </w:tc>
        <w:tc>
          <w:tcPr>
            <w:tcW w:w="760" w:type="dxa"/>
            <w:vAlign w:val="bottom"/>
          </w:tcPr>
          <w:p>
            <w:pPr>
              <w:jc w:val="center"/>
              <w:spacing w:after="0"/>
              <w:rPr>
                <w:sz w:val="20"/>
                <w:szCs w:val="20"/>
                <w:color w:val="auto"/>
              </w:rPr>
            </w:pPr>
            <w:r>
              <w:rPr>
                <w:rFonts w:ascii="Arial" w:cs="Arial" w:eastAsia="Arial" w:hAnsi="Arial"/>
                <w:sz w:val="13"/>
                <w:szCs w:val="13"/>
                <w:color w:val="auto"/>
              </w:rPr>
              <w:t>n.a.</w:t>
            </w:r>
          </w:p>
        </w:tc>
        <w:tc>
          <w:tcPr>
            <w:tcW w:w="8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n.a.</w:t>
            </w:r>
          </w:p>
        </w:tc>
        <w:tc>
          <w:tcPr>
            <w:tcW w:w="1220" w:type="dxa"/>
            <w:vAlign w:val="bottom"/>
          </w:tcPr>
          <w:p>
            <w:pPr>
              <w:jc w:val="right"/>
              <w:ind w:right="273"/>
              <w:spacing w:after="0"/>
              <w:rPr>
                <w:sz w:val="20"/>
                <w:szCs w:val="20"/>
                <w:color w:val="auto"/>
              </w:rPr>
            </w:pPr>
            <w:r>
              <w:rPr>
                <w:rFonts w:ascii="Arial" w:cs="Arial" w:eastAsia="Arial" w:hAnsi="Arial"/>
                <w:sz w:val="13"/>
                <w:szCs w:val="13"/>
                <w:color w:val="auto"/>
              </w:rPr>
              <w:t>(45,371)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(98,993)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118.2%</w:t>
            </w: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(loss) from associates</w:t>
            </w:r>
          </w:p>
        </w:tc>
        <w:tc>
          <w:tcPr>
            <w:tcW w:w="1280" w:type="dxa"/>
            <w:vAlign w:val="bottom"/>
          </w:tcPr>
          <w:p>
            <w:pPr>
              <w:jc w:val="right"/>
              <w:ind w:right="133"/>
              <w:spacing w:after="0"/>
              <w:rPr>
                <w:sz w:val="20"/>
                <w:szCs w:val="20"/>
                <w:color w:val="auto"/>
              </w:rPr>
            </w:pPr>
            <w:r>
              <w:rPr>
                <w:rFonts w:ascii="Arial" w:cs="Arial" w:eastAsia="Arial" w:hAnsi="Arial"/>
                <w:sz w:val="13"/>
                <w:szCs w:val="13"/>
                <w:color w:val="auto"/>
              </w:rPr>
              <w:t>13,224</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25,806</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25,422</w:t>
            </w:r>
          </w:p>
        </w:tc>
        <w:tc>
          <w:tcPr>
            <w:tcW w:w="760" w:type="dxa"/>
            <w:vAlign w:val="bottom"/>
          </w:tcPr>
          <w:p>
            <w:pPr>
              <w:jc w:val="center"/>
              <w:spacing w:after="0"/>
              <w:rPr>
                <w:sz w:val="20"/>
                <w:szCs w:val="20"/>
                <w:color w:val="auto"/>
              </w:rPr>
            </w:pPr>
            <w:r>
              <w:rPr>
                <w:rFonts w:ascii="Arial" w:cs="Arial" w:eastAsia="Arial" w:hAnsi="Arial"/>
                <w:sz w:val="13"/>
                <w:szCs w:val="13"/>
                <w:color w:val="auto"/>
              </w:rPr>
              <w:t>-1.5%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92.2%</w:t>
            </w:r>
          </w:p>
        </w:tc>
        <w:tc>
          <w:tcPr>
            <w:tcW w:w="1220" w:type="dxa"/>
            <w:vAlign w:val="bottom"/>
          </w:tcPr>
          <w:p>
            <w:pPr>
              <w:jc w:val="right"/>
              <w:ind w:right="313"/>
              <w:spacing w:after="0"/>
              <w:rPr>
                <w:sz w:val="20"/>
                <w:szCs w:val="20"/>
                <w:color w:val="auto"/>
              </w:rPr>
            </w:pPr>
            <w:r>
              <w:rPr>
                <w:rFonts w:ascii="Arial" w:cs="Arial" w:eastAsia="Arial" w:hAnsi="Arial"/>
                <w:sz w:val="13"/>
                <w:szCs w:val="13"/>
                <w:color w:val="auto"/>
              </w:rPr>
              <w:t>74,021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104,461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(loss) on derivatives held for trading</w:t>
            </w:r>
          </w:p>
        </w:tc>
        <w:tc>
          <w:tcPr>
            <w:tcW w:w="1280" w:type="dxa"/>
            <w:vAlign w:val="bottom"/>
          </w:tcPr>
          <w:p>
            <w:pPr>
              <w:jc w:val="right"/>
              <w:ind w:right="133"/>
              <w:spacing w:after="0"/>
              <w:rPr>
                <w:sz w:val="20"/>
                <w:szCs w:val="20"/>
                <w:color w:val="auto"/>
              </w:rPr>
            </w:pPr>
            <w:r>
              <w:rPr>
                <w:rFonts w:ascii="Arial" w:cs="Arial" w:eastAsia="Arial" w:hAnsi="Arial"/>
                <w:sz w:val="13"/>
                <w:szCs w:val="13"/>
                <w:color w:val="auto"/>
              </w:rPr>
              <w:t>46,546</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53,008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5,857</w:t>
            </w:r>
          </w:p>
        </w:tc>
        <w:tc>
          <w:tcPr>
            <w:tcW w:w="760" w:type="dxa"/>
            <w:vAlign w:val="bottom"/>
          </w:tcPr>
          <w:p>
            <w:pPr>
              <w:jc w:val="center"/>
              <w:spacing w:after="0"/>
              <w:rPr>
                <w:sz w:val="20"/>
                <w:szCs w:val="20"/>
                <w:color w:val="auto"/>
              </w:rPr>
            </w:pPr>
            <w:r>
              <w:rPr>
                <w:rFonts w:ascii="Arial" w:cs="Arial" w:eastAsia="Arial" w:hAnsi="Arial"/>
                <w:sz w:val="13"/>
                <w:szCs w:val="13"/>
                <w:color w:val="auto"/>
              </w:rPr>
              <w:t>-89.0%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-87.4%</w:t>
            </w:r>
          </w:p>
        </w:tc>
        <w:tc>
          <w:tcPr>
            <w:tcW w:w="1220" w:type="dxa"/>
            <w:vAlign w:val="bottom"/>
          </w:tcPr>
          <w:p>
            <w:pPr>
              <w:jc w:val="right"/>
              <w:ind w:right="313"/>
              <w:spacing w:after="0"/>
              <w:rPr>
                <w:sz w:val="20"/>
                <w:szCs w:val="20"/>
                <w:color w:val="auto"/>
              </w:rPr>
            </w:pPr>
            <w:r>
              <w:rPr>
                <w:rFonts w:ascii="Arial" w:cs="Arial" w:eastAsia="Arial" w:hAnsi="Arial"/>
                <w:sz w:val="13"/>
                <w:szCs w:val="13"/>
                <w:color w:val="auto"/>
              </w:rPr>
              <w:t>221,064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65,187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(loss) from exchange differences</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(22,083)</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(4,071)</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22,039</w:t>
            </w:r>
          </w:p>
        </w:tc>
        <w:tc>
          <w:tcPr>
            <w:tcW w:w="760" w:type="dxa"/>
            <w:vAlign w:val="bottom"/>
          </w:tcPr>
          <w:p>
            <w:pPr>
              <w:jc w:val="center"/>
              <w:spacing w:after="0"/>
              <w:rPr>
                <w:sz w:val="20"/>
                <w:szCs w:val="20"/>
                <w:color w:val="auto"/>
              </w:rPr>
            </w:pPr>
            <w:r>
              <w:rPr>
                <w:rFonts w:ascii="Arial" w:cs="Arial" w:eastAsia="Arial" w:hAnsi="Arial"/>
                <w:sz w:val="13"/>
                <w:szCs w:val="13"/>
                <w:color w:val="auto"/>
              </w:rPr>
              <w:t>n.a.</w:t>
            </w:r>
          </w:p>
        </w:tc>
        <w:tc>
          <w:tcPr>
            <w:tcW w:w="800" w:type="dxa"/>
            <w:vAlign w:val="bottom"/>
            <w:tcBorders>
              <w:right w:val="single" w:sz="8" w:color="auto"/>
            </w:tcBorders>
          </w:tcPr>
          <w:p>
            <w:pPr>
              <w:ind w:left="280"/>
              <w:spacing w:after="0"/>
              <w:rPr>
                <w:sz w:val="20"/>
                <w:szCs w:val="20"/>
                <w:color w:val="auto"/>
              </w:rPr>
            </w:pPr>
            <w:r>
              <w:rPr>
                <w:rFonts w:ascii="Arial" w:cs="Arial" w:eastAsia="Arial" w:hAnsi="Arial"/>
                <w:sz w:val="13"/>
                <w:szCs w:val="13"/>
                <w:color w:val="auto"/>
              </w:rPr>
              <w:t>n.a.</w:t>
            </w:r>
          </w:p>
        </w:tc>
        <w:tc>
          <w:tcPr>
            <w:tcW w:w="1220" w:type="dxa"/>
            <w:vAlign w:val="bottom"/>
          </w:tcPr>
          <w:p>
            <w:pPr>
              <w:jc w:val="right"/>
              <w:ind w:right="273"/>
              <w:spacing w:after="0"/>
              <w:rPr>
                <w:sz w:val="20"/>
                <w:szCs w:val="20"/>
                <w:color w:val="auto"/>
              </w:rPr>
            </w:pPr>
            <w:r>
              <w:rPr>
                <w:rFonts w:ascii="Arial" w:cs="Arial" w:eastAsia="Arial" w:hAnsi="Arial"/>
                <w:sz w:val="13"/>
                <w:szCs w:val="13"/>
                <w:color w:val="auto"/>
              </w:rPr>
              <w:t>(3,215)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(16,158)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402.6%</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 non-financial income</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76,748</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64,491</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32,064</w:t>
            </w:r>
          </w:p>
        </w:tc>
        <w:tc>
          <w:tcPr>
            <w:tcW w:w="760" w:type="dxa"/>
            <w:vAlign w:val="bottom"/>
          </w:tcPr>
          <w:p>
            <w:pPr>
              <w:jc w:val="center"/>
              <w:spacing w:after="0"/>
              <w:rPr>
                <w:sz w:val="20"/>
                <w:szCs w:val="20"/>
                <w:color w:val="auto"/>
              </w:rPr>
            </w:pPr>
            <w:r>
              <w:rPr>
                <w:rFonts w:ascii="Arial" w:cs="Arial" w:eastAsia="Arial" w:hAnsi="Arial"/>
                <w:sz w:val="13"/>
                <w:szCs w:val="13"/>
                <w:color w:val="auto"/>
              </w:rPr>
              <w:t>-50.3%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-58.2%</w:t>
            </w:r>
          </w:p>
        </w:tc>
        <w:tc>
          <w:tcPr>
            <w:tcW w:w="1220" w:type="dxa"/>
            <w:vAlign w:val="bottom"/>
          </w:tcPr>
          <w:p>
            <w:pPr>
              <w:jc w:val="right"/>
              <w:ind w:right="313"/>
              <w:spacing w:after="0"/>
              <w:rPr>
                <w:sz w:val="20"/>
                <w:szCs w:val="20"/>
                <w:color w:val="auto"/>
              </w:rPr>
            </w:pPr>
            <w:r>
              <w:rPr>
                <w:rFonts w:ascii="Arial" w:cs="Arial" w:eastAsia="Arial" w:hAnsi="Arial"/>
                <w:sz w:val="13"/>
                <w:szCs w:val="13"/>
                <w:color w:val="auto"/>
              </w:rPr>
              <w:t>266,567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329,382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85"/>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Total non-financial income</w:t>
            </w:r>
          </w:p>
        </w:tc>
        <w:tc>
          <w:tcPr>
            <w:tcW w:w="1280" w:type="dxa"/>
            <w:vAlign w:val="bottom"/>
          </w:tcPr>
          <w:p>
            <w:pPr>
              <w:jc w:val="right"/>
              <w:ind w:right="133"/>
              <w:spacing w:after="0"/>
              <w:rPr>
                <w:sz w:val="20"/>
                <w:szCs w:val="20"/>
                <w:color w:val="auto"/>
              </w:rPr>
            </w:pPr>
            <w:r>
              <w:rPr>
                <w:rFonts w:ascii="Arial" w:cs="Arial" w:eastAsia="Arial" w:hAnsi="Arial"/>
                <w:sz w:val="13"/>
                <w:szCs w:val="13"/>
                <w:b w:val="1"/>
                <w:bCs w:val="1"/>
                <w:color w:val="auto"/>
              </w:rPr>
              <w:t>1,304,163</w:t>
            </w:r>
          </w:p>
        </w:tc>
        <w:tc>
          <w:tcPr>
            <w:tcW w:w="1160" w:type="dxa"/>
            <w:vAlign w:val="bottom"/>
          </w:tcPr>
          <w:p>
            <w:pPr>
              <w:jc w:val="right"/>
              <w:ind w:right="173"/>
              <w:spacing w:after="0"/>
              <w:rPr>
                <w:sz w:val="20"/>
                <w:szCs w:val="20"/>
                <w:color w:val="auto"/>
              </w:rPr>
            </w:pPr>
            <w:r>
              <w:rPr>
                <w:rFonts w:ascii="Arial" w:cs="Arial" w:eastAsia="Arial" w:hAnsi="Arial"/>
                <w:sz w:val="13"/>
                <w:szCs w:val="13"/>
                <w:b w:val="1"/>
                <w:bCs w:val="1"/>
                <w:color w:val="auto"/>
              </w:rPr>
              <w:t>1,310,186</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1,350,661</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3.1%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3.6%</w:t>
            </w:r>
          </w:p>
        </w:tc>
        <w:tc>
          <w:tcPr>
            <w:tcW w:w="1220" w:type="dxa"/>
            <w:vAlign w:val="bottom"/>
          </w:tcPr>
          <w:p>
            <w:pPr>
              <w:jc w:val="right"/>
              <w:ind w:right="313"/>
              <w:spacing w:after="0"/>
              <w:rPr>
                <w:sz w:val="20"/>
                <w:szCs w:val="20"/>
                <w:color w:val="auto"/>
              </w:rPr>
            </w:pPr>
            <w:r>
              <w:rPr>
                <w:rFonts w:ascii="Arial" w:cs="Arial" w:eastAsia="Arial" w:hAnsi="Arial"/>
                <w:sz w:val="13"/>
                <w:szCs w:val="13"/>
                <w:b w:val="1"/>
                <w:bCs w:val="1"/>
                <w:color w:val="auto"/>
              </w:rPr>
              <w:t>4,929,717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5,108,349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3.6%</w:t>
            </w:r>
          </w:p>
        </w:tc>
        <w:tc>
          <w:tcPr>
            <w:tcW w:w="0" w:type="dxa"/>
            <w:vAlign w:val="bottom"/>
          </w:tcPr>
          <w:p>
            <w:pPr>
              <w:spacing w:after="0"/>
              <w:rPr>
                <w:sz w:val="1"/>
                <w:szCs w:val="1"/>
                <w:color w:val="auto"/>
              </w:rPr>
            </w:pPr>
          </w:p>
        </w:tc>
      </w:tr>
      <w:tr>
        <w:trPr>
          <w:trHeight w:val="27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Insurance underwriting result</w:t>
            </w:r>
          </w:p>
        </w:tc>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earned premiums</w:t>
            </w:r>
          </w:p>
        </w:tc>
        <w:tc>
          <w:tcPr>
            <w:tcW w:w="1280" w:type="dxa"/>
            <w:vAlign w:val="bottom"/>
          </w:tcPr>
          <w:p>
            <w:pPr>
              <w:jc w:val="right"/>
              <w:ind w:right="133"/>
              <w:spacing w:after="0"/>
              <w:rPr>
                <w:sz w:val="20"/>
                <w:szCs w:val="20"/>
                <w:color w:val="auto"/>
              </w:rPr>
            </w:pPr>
            <w:r>
              <w:rPr>
                <w:rFonts w:ascii="Arial" w:cs="Arial" w:eastAsia="Arial" w:hAnsi="Arial"/>
                <w:sz w:val="13"/>
                <w:szCs w:val="13"/>
                <w:color w:val="auto"/>
              </w:rPr>
              <w:t>712,087</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751,936</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735,276</w:t>
            </w:r>
          </w:p>
        </w:tc>
        <w:tc>
          <w:tcPr>
            <w:tcW w:w="760" w:type="dxa"/>
            <w:vAlign w:val="bottom"/>
          </w:tcPr>
          <w:p>
            <w:pPr>
              <w:jc w:val="center"/>
              <w:spacing w:after="0"/>
              <w:rPr>
                <w:sz w:val="20"/>
                <w:szCs w:val="20"/>
                <w:color w:val="auto"/>
              </w:rPr>
            </w:pPr>
            <w:r>
              <w:rPr>
                <w:rFonts w:ascii="Arial" w:cs="Arial" w:eastAsia="Arial" w:hAnsi="Arial"/>
                <w:sz w:val="13"/>
                <w:szCs w:val="13"/>
                <w:color w:val="auto"/>
              </w:rPr>
              <w:t>-2.2%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3.3%</w:t>
            </w:r>
          </w:p>
        </w:tc>
        <w:tc>
          <w:tcPr>
            <w:tcW w:w="1220" w:type="dxa"/>
            <w:vAlign w:val="bottom"/>
          </w:tcPr>
          <w:p>
            <w:pPr>
              <w:jc w:val="right"/>
              <w:ind w:right="313"/>
              <w:spacing w:after="0"/>
              <w:rPr>
                <w:sz w:val="20"/>
                <w:szCs w:val="20"/>
                <w:color w:val="auto"/>
              </w:rPr>
            </w:pPr>
            <w:r>
              <w:rPr>
                <w:rFonts w:ascii="Arial" w:cs="Arial" w:eastAsia="Arial" w:hAnsi="Arial"/>
                <w:sz w:val="13"/>
                <w:szCs w:val="13"/>
                <w:color w:val="auto"/>
              </w:rPr>
              <w:t>2,671,530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2,873,295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35"/>
        </w:trPr>
        <w:tc>
          <w:tcPr>
            <w:tcW w:w="3180" w:type="dxa"/>
            <w:vAlign w:val="bottom"/>
            <w:tcBorders>
              <w:left w:val="single" w:sz="8" w:color="auto"/>
              <w:right w:val="single" w:sz="8" w:color="auto"/>
            </w:tcBorders>
          </w:tcPr>
          <w:p>
            <w:pPr>
              <w:ind w:left="160"/>
              <w:spacing w:after="0" w:line="136" w:lineRule="exact"/>
              <w:rPr>
                <w:sz w:val="20"/>
                <w:szCs w:val="20"/>
                <w:color w:val="auto"/>
              </w:rPr>
            </w:pPr>
            <w:r>
              <w:rPr>
                <w:rFonts w:ascii="Arial" w:cs="Arial" w:eastAsia="Arial" w:hAnsi="Arial"/>
                <w:sz w:val="13"/>
                <w:szCs w:val="13"/>
                <w:color w:val="auto"/>
              </w:rPr>
              <w:t>Net claims</w:t>
            </w:r>
          </w:p>
        </w:tc>
        <w:tc>
          <w:tcPr>
            <w:tcW w:w="1280" w:type="dxa"/>
            <w:vAlign w:val="bottom"/>
          </w:tcPr>
          <w:p>
            <w:pPr>
              <w:jc w:val="right"/>
              <w:ind w:right="93"/>
              <w:spacing w:after="0" w:line="136" w:lineRule="exact"/>
              <w:rPr>
                <w:sz w:val="20"/>
                <w:szCs w:val="20"/>
                <w:color w:val="auto"/>
              </w:rPr>
            </w:pPr>
            <w:r>
              <w:rPr>
                <w:rFonts w:ascii="Arial" w:cs="Arial" w:eastAsia="Arial" w:hAnsi="Arial"/>
                <w:sz w:val="13"/>
                <w:szCs w:val="13"/>
                <w:color w:val="auto"/>
              </w:rPr>
              <w:t>(509,278)</w:t>
            </w:r>
          </w:p>
        </w:tc>
        <w:tc>
          <w:tcPr>
            <w:tcW w:w="116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(478,039)</w:t>
            </w:r>
          </w:p>
        </w:tc>
        <w:tc>
          <w:tcPr>
            <w:tcW w:w="94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(481,087)</w:t>
            </w:r>
          </w:p>
        </w:tc>
        <w:tc>
          <w:tcPr>
            <w:tcW w:w="760" w:type="dxa"/>
            <w:vAlign w:val="bottom"/>
          </w:tcPr>
          <w:p>
            <w:pPr>
              <w:jc w:val="center"/>
              <w:spacing w:after="0" w:line="136" w:lineRule="exact"/>
              <w:rPr>
                <w:sz w:val="20"/>
                <w:szCs w:val="20"/>
                <w:color w:val="auto"/>
              </w:rPr>
            </w:pPr>
            <w:r>
              <w:rPr>
                <w:rFonts w:ascii="Arial" w:cs="Arial" w:eastAsia="Arial" w:hAnsi="Arial"/>
                <w:sz w:val="13"/>
                <w:szCs w:val="13"/>
                <w:color w:val="auto"/>
              </w:rPr>
              <w:t>0.6%</w:t>
            </w:r>
          </w:p>
        </w:tc>
        <w:tc>
          <w:tcPr>
            <w:tcW w:w="8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9"/>
              </w:rPr>
              <w:t>-5.5%</w:t>
            </w:r>
          </w:p>
        </w:tc>
        <w:tc>
          <w:tcPr>
            <w:tcW w:w="1220" w:type="dxa"/>
            <w:vAlign w:val="bottom"/>
          </w:tcPr>
          <w:p>
            <w:pPr>
              <w:jc w:val="right"/>
              <w:ind w:right="273"/>
              <w:spacing w:after="0" w:line="136" w:lineRule="exact"/>
              <w:rPr>
                <w:sz w:val="20"/>
                <w:szCs w:val="20"/>
                <w:color w:val="auto"/>
              </w:rPr>
            </w:pPr>
            <w:r>
              <w:rPr>
                <w:rFonts w:ascii="Arial" w:cs="Arial" w:eastAsia="Arial" w:hAnsi="Arial"/>
                <w:sz w:val="13"/>
                <w:szCs w:val="13"/>
                <w:color w:val="auto"/>
              </w:rPr>
              <w:t>(2,341,917)</w:t>
            </w:r>
          </w:p>
        </w:tc>
        <w:tc>
          <w:tcPr>
            <w:tcW w:w="80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(1,929,890)</w:t>
            </w:r>
          </w:p>
        </w:tc>
        <w:tc>
          <w:tcPr>
            <w:tcW w:w="11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64"/>
        </w:trPr>
        <w:tc>
          <w:tcPr>
            <w:tcW w:w="3180" w:type="dxa"/>
            <w:vAlign w:val="bottom"/>
            <w:tcBorders>
              <w:left w:val="single" w:sz="8" w:color="auto"/>
              <w:right w:val="single" w:sz="8" w:color="auto"/>
            </w:tcBorders>
          </w:tcPr>
          <w:p>
            <w:pPr>
              <w:ind w:left="160"/>
              <w:spacing w:after="0" w:line="164" w:lineRule="exact"/>
              <w:rPr>
                <w:sz w:val="20"/>
                <w:szCs w:val="20"/>
                <w:color w:val="auto"/>
              </w:rPr>
            </w:pPr>
            <w:r>
              <w:rPr>
                <w:rFonts w:ascii="Arial" w:cs="Arial" w:eastAsia="Arial" w:hAnsi="Arial"/>
                <w:sz w:val="12"/>
                <w:szCs w:val="12"/>
                <w:color w:val="auto"/>
              </w:rPr>
              <w:t xml:space="preserve">Acquisition cost </w:t>
            </w:r>
            <w:r>
              <w:rPr>
                <w:rFonts w:ascii="Arial" w:cs="Arial" w:eastAsia="Arial" w:hAnsi="Arial"/>
                <w:sz w:val="19"/>
                <w:szCs w:val="19"/>
                <w:color w:val="auto"/>
                <w:vertAlign w:val="superscript"/>
              </w:rPr>
              <w:t>(1)</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(75,152)</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(75,055)</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(70,021)</w:t>
            </w:r>
          </w:p>
        </w:tc>
        <w:tc>
          <w:tcPr>
            <w:tcW w:w="760" w:type="dxa"/>
            <w:vAlign w:val="bottom"/>
          </w:tcPr>
          <w:p>
            <w:pPr>
              <w:jc w:val="center"/>
              <w:spacing w:after="0"/>
              <w:rPr>
                <w:sz w:val="20"/>
                <w:szCs w:val="20"/>
                <w:color w:val="auto"/>
              </w:rPr>
            </w:pPr>
            <w:r>
              <w:rPr>
                <w:rFonts w:ascii="Arial" w:cs="Arial" w:eastAsia="Arial" w:hAnsi="Arial"/>
                <w:sz w:val="13"/>
                <w:szCs w:val="13"/>
                <w:color w:val="auto"/>
              </w:rPr>
              <w:t>-6.7%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-6.8%</w:t>
            </w:r>
          </w:p>
        </w:tc>
        <w:tc>
          <w:tcPr>
            <w:tcW w:w="1220" w:type="dxa"/>
            <w:vAlign w:val="bottom"/>
          </w:tcPr>
          <w:p>
            <w:pPr>
              <w:jc w:val="right"/>
              <w:ind w:right="273"/>
              <w:spacing w:after="0"/>
              <w:rPr>
                <w:sz w:val="20"/>
                <w:szCs w:val="20"/>
                <w:color w:val="auto"/>
              </w:rPr>
            </w:pPr>
            <w:r>
              <w:rPr>
                <w:rFonts w:ascii="Arial" w:cs="Arial" w:eastAsia="Arial" w:hAnsi="Arial"/>
                <w:sz w:val="13"/>
                <w:szCs w:val="13"/>
                <w:color w:val="auto"/>
              </w:rPr>
              <w:t>(333,334)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(281,807)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85"/>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Total insurance underwriting result</w:t>
            </w:r>
          </w:p>
        </w:tc>
        <w:tc>
          <w:tcPr>
            <w:tcW w:w="1280" w:type="dxa"/>
            <w:vAlign w:val="bottom"/>
          </w:tcPr>
          <w:p>
            <w:pPr>
              <w:jc w:val="right"/>
              <w:ind w:right="133"/>
              <w:spacing w:after="0"/>
              <w:rPr>
                <w:sz w:val="20"/>
                <w:szCs w:val="20"/>
                <w:color w:val="auto"/>
              </w:rPr>
            </w:pPr>
            <w:r>
              <w:rPr>
                <w:rFonts w:ascii="Arial" w:cs="Arial" w:eastAsia="Arial" w:hAnsi="Arial"/>
                <w:sz w:val="13"/>
                <w:szCs w:val="13"/>
                <w:b w:val="1"/>
                <w:bCs w:val="1"/>
                <w:color w:val="auto"/>
              </w:rPr>
              <w:t>127,657</w:t>
            </w:r>
          </w:p>
        </w:tc>
        <w:tc>
          <w:tcPr>
            <w:tcW w:w="1160" w:type="dxa"/>
            <w:vAlign w:val="bottom"/>
          </w:tcPr>
          <w:p>
            <w:pPr>
              <w:jc w:val="right"/>
              <w:ind w:right="173"/>
              <w:spacing w:after="0"/>
              <w:rPr>
                <w:sz w:val="20"/>
                <w:szCs w:val="20"/>
                <w:color w:val="auto"/>
              </w:rPr>
            </w:pPr>
            <w:r>
              <w:rPr>
                <w:rFonts w:ascii="Arial" w:cs="Arial" w:eastAsia="Arial" w:hAnsi="Arial"/>
                <w:sz w:val="13"/>
                <w:szCs w:val="13"/>
                <w:b w:val="1"/>
                <w:bCs w:val="1"/>
                <w:color w:val="auto"/>
              </w:rPr>
              <w:t>198,842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184,168</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-7.4%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44.3%</w:t>
            </w:r>
          </w:p>
        </w:tc>
        <w:tc>
          <w:tcPr>
            <w:tcW w:w="1220" w:type="dxa"/>
            <w:vAlign w:val="bottom"/>
          </w:tcPr>
          <w:p>
            <w:pPr>
              <w:jc w:val="right"/>
              <w:ind w:right="273"/>
              <w:spacing w:after="0"/>
              <w:rPr>
                <w:sz w:val="20"/>
                <w:szCs w:val="20"/>
                <w:color w:val="auto"/>
              </w:rPr>
            </w:pPr>
            <w:r>
              <w:rPr>
                <w:rFonts w:ascii="Arial" w:cs="Arial" w:eastAsia="Arial" w:hAnsi="Arial"/>
                <w:sz w:val="13"/>
                <w:szCs w:val="13"/>
                <w:b w:val="1"/>
                <w:bCs w:val="1"/>
                <w:color w:val="auto"/>
              </w:rPr>
              <w:t>(3,721)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661,598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270"/>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expenses</w:t>
            </w:r>
          </w:p>
        </w:tc>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Salaries and employee benefits</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(1,013,176)</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(1,021,946)</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(1,077,461)</w:t>
            </w:r>
          </w:p>
        </w:tc>
        <w:tc>
          <w:tcPr>
            <w:tcW w:w="760" w:type="dxa"/>
            <w:vAlign w:val="bottom"/>
          </w:tcPr>
          <w:p>
            <w:pPr>
              <w:jc w:val="center"/>
              <w:spacing w:after="0"/>
              <w:rPr>
                <w:sz w:val="20"/>
                <w:szCs w:val="20"/>
                <w:color w:val="auto"/>
              </w:rPr>
            </w:pPr>
            <w:r>
              <w:rPr>
                <w:rFonts w:ascii="Arial" w:cs="Arial" w:eastAsia="Arial" w:hAnsi="Arial"/>
                <w:sz w:val="13"/>
                <w:szCs w:val="13"/>
                <w:color w:val="auto"/>
              </w:rPr>
              <w:t>5.4%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6.3%</w:t>
            </w:r>
          </w:p>
        </w:tc>
        <w:tc>
          <w:tcPr>
            <w:tcW w:w="1220" w:type="dxa"/>
            <w:vAlign w:val="bottom"/>
          </w:tcPr>
          <w:p>
            <w:pPr>
              <w:jc w:val="right"/>
              <w:ind w:right="273"/>
              <w:spacing w:after="0"/>
              <w:rPr>
                <w:sz w:val="20"/>
                <w:szCs w:val="20"/>
                <w:color w:val="auto"/>
              </w:rPr>
            </w:pPr>
            <w:r>
              <w:rPr>
                <w:rFonts w:ascii="Arial" w:cs="Arial" w:eastAsia="Arial" w:hAnsi="Arial"/>
                <w:sz w:val="13"/>
                <w:szCs w:val="13"/>
                <w:color w:val="auto"/>
              </w:rPr>
              <w:t>(3,668,476)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(4,052,780)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Administrative, general and tax expenses</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(898,677)</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(868,805)</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(1,063,611)</w:t>
            </w:r>
          </w:p>
        </w:tc>
        <w:tc>
          <w:tcPr>
            <w:tcW w:w="760" w:type="dxa"/>
            <w:vAlign w:val="bottom"/>
          </w:tcPr>
          <w:p>
            <w:pPr>
              <w:jc w:val="center"/>
              <w:spacing w:after="0"/>
              <w:rPr>
                <w:sz w:val="20"/>
                <w:szCs w:val="20"/>
                <w:color w:val="auto"/>
              </w:rPr>
            </w:pPr>
            <w:r>
              <w:rPr>
                <w:rFonts w:ascii="Arial" w:cs="Arial" w:eastAsia="Arial" w:hAnsi="Arial"/>
                <w:sz w:val="13"/>
                <w:szCs w:val="13"/>
                <w:color w:val="auto"/>
              </w:rPr>
              <w:t>22.4%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18.4%</w:t>
            </w:r>
          </w:p>
        </w:tc>
        <w:tc>
          <w:tcPr>
            <w:tcW w:w="1220" w:type="dxa"/>
            <w:vAlign w:val="bottom"/>
          </w:tcPr>
          <w:p>
            <w:pPr>
              <w:jc w:val="right"/>
              <w:ind w:right="273"/>
              <w:spacing w:after="0"/>
              <w:rPr>
                <w:sz w:val="20"/>
                <w:szCs w:val="20"/>
                <w:color w:val="auto"/>
              </w:rPr>
            </w:pPr>
            <w:r>
              <w:rPr>
                <w:rFonts w:ascii="Arial" w:cs="Arial" w:eastAsia="Arial" w:hAnsi="Arial"/>
                <w:sz w:val="13"/>
                <w:szCs w:val="13"/>
                <w:color w:val="auto"/>
              </w:rPr>
              <w:t>(2,953,717)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(3,505,101)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Depreciation and amortization</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(181,660)</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(173,500)</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(176,645)</w:t>
            </w:r>
          </w:p>
        </w:tc>
        <w:tc>
          <w:tcPr>
            <w:tcW w:w="760" w:type="dxa"/>
            <w:vAlign w:val="bottom"/>
          </w:tcPr>
          <w:p>
            <w:pPr>
              <w:jc w:val="center"/>
              <w:spacing w:after="0"/>
              <w:rPr>
                <w:sz w:val="20"/>
                <w:szCs w:val="20"/>
                <w:color w:val="auto"/>
              </w:rPr>
            </w:pPr>
            <w:r>
              <w:rPr>
                <w:rFonts w:ascii="Arial" w:cs="Arial" w:eastAsia="Arial" w:hAnsi="Arial"/>
                <w:sz w:val="13"/>
                <w:szCs w:val="13"/>
                <w:color w:val="auto"/>
              </w:rPr>
              <w:t>1.8%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-2.8%</w:t>
            </w:r>
          </w:p>
        </w:tc>
        <w:tc>
          <w:tcPr>
            <w:tcW w:w="1220" w:type="dxa"/>
            <w:vAlign w:val="bottom"/>
          </w:tcPr>
          <w:p>
            <w:pPr>
              <w:jc w:val="right"/>
              <w:ind w:right="273"/>
              <w:spacing w:after="0"/>
              <w:rPr>
                <w:sz w:val="20"/>
                <w:szCs w:val="20"/>
                <w:color w:val="auto"/>
              </w:rPr>
            </w:pPr>
            <w:r>
              <w:rPr>
                <w:rFonts w:ascii="Arial" w:cs="Arial" w:eastAsia="Arial" w:hAnsi="Arial"/>
                <w:sz w:val="13"/>
                <w:szCs w:val="13"/>
                <w:color w:val="auto"/>
              </w:rPr>
              <w:t>(683,254)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(683,504)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1"/>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Association in participation</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(13,965)</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(9,999)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(12,936)</w:t>
            </w:r>
          </w:p>
        </w:tc>
        <w:tc>
          <w:tcPr>
            <w:tcW w:w="760" w:type="dxa"/>
            <w:vAlign w:val="bottom"/>
          </w:tcPr>
          <w:p>
            <w:pPr>
              <w:jc w:val="center"/>
              <w:spacing w:after="0"/>
              <w:rPr>
                <w:sz w:val="20"/>
                <w:szCs w:val="20"/>
                <w:color w:val="auto"/>
              </w:rPr>
            </w:pPr>
            <w:r>
              <w:rPr>
                <w:rFonts w:ascii="Arial" w:cs="Arial" w:eastAsia="Arial" w:hAnsi="Arial"/>
                <w:sz w:val="13"/>
                <w:szCs w:val="13"/>
                <w:color w:val="auto"/>
              </w:rPr>
              <w:t>29.4%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-7.4%</w:t>
            </w:r>
          </w:p>
        </w:tc>
        <w:tc>
          <w:tcPr>
            <w:tcW w:w="1220" w:type="dxa"/>
            <w:vAlign w:val="bottom"/>
          </w:tcPr>
          <w:p>
            <w:pPr>
              <w:jc w:val="right"/>
              <w:ind w:right="273"/>
              <w:spacing w:after="0"/>
              <w:rPr>
                <w:sz w:val="20"/>
                <w:szCs w:val="20"/>
                <w:color w:val="auto"/>
              </w:rPr>
            </w:pPr>
            <w:r>
              <w:rPr>
                <w:rFonts w:ascii="Arial" w:cs="Arial" w:eastAsia="Arial" w:hAnsi="Arial"/>
                <w:sz w:val="13"/>
                <w:szCs w:val="13"/>
                <w:color w:val="auto"/>
              </w:rPr>
              <w:t>(47,176)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(40,955)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 expenses</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(115,687)</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(66,903)</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(143,956)</w:t>
            </w: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115.2%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24.4%</w:t>
            </w:r>
          </w:p>
        </w:tc>
        <w:tc>
          <w:tcPr>
            <w:tcW w:w="1220" w:type="dxa"/>
            <w:vAlign w:val="bottom"/>
          </w:tcPr>
          <w:p>
            <w:pPr>
              <w:jc w:val="right"/>
              <w:ind w:right="273"/>
              <w:spacing w:after="0"/>
              <w:rPr>
                <w:sz w:val="20"/>
                <w:szCs w:val="20"/>
                <w:color w:val="auto"/>
              </w:rPr>
            </w:pPr>
            <w:r>
              <w:rPr>
                <w:rFonts w:ascii="Arial" w:cs="Arial" w:eastAsia="Arial" w:hAnsi="Arial"/>
                <w:sz w:val="13"/>
                <w:szCs w:val="13"/>
                <w:color w:val="auto"/>
              </w:rPr>
              <w:t>(387,938)</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(338,275)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85"/>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Total expenses</w:t>
            </w:r>
          </w:p>
        </w:tc>
        <w:tc>
          <w:tcPr>
            <w:tcW w:w="1280" w:type="dxa"/>
            <w:vAlign w:val="bottom"/>
          </w:tcPr>
          <w:p>
            <w:pPr>
              <w:jc w:val="right"/>
              <w:ind w:right="93"/>
              <w:spacing w:after="0"/>
              <w:rPr>
                <w:sz w:val="20"/>
                <w:szCs w:val="20"/>
                <w:color w:val="auto"/>
              </w:rPr>
            </w:pPr>
            <w:r>
              <w:rPr>
                <w:rFonts w:ascii="Arial" w:cs="Arial" w:eastAsia="Arial" w:hAnsi="Arial"/>
                <w:sz w:val="13"/>
                <w:szCs w:val="13"/>
                <w:b w:val="1"/>
                <w:bCs w:val="1"/>
                <w:color w:val="auto"/>
              </w:rPr>
              <w:t>(2,223,165)</w:t>
            </w:r>
          </w:p>
        </w:tc>
        <w:tc>
          <w:tcPr>
            <w:tcW w:w="1160" w:type="dxa"/>
            <w:vAlign w:val="bottom"/>
          </w:tcPr>
          <w:p>
            <w:pPr>
              <w:jc w:val="right"/>
              <w:ind w:right="133"/>
              <w:spacing w:after="0"/>
              <w:rPr>
                <w:sz w:val="20"/>
                <w:szCs w:val="20"/>
                <w:color w:val="auto"/>
              </w:rPr>
            </w:pPr>
            <w:r>
              <w:rPr>
                <w:rFonts w:ascii="Arial" w:cs="Arial" w:eastAsia="Arial" w:hAnsi="Arial"/>
                <w:sz w:val="13"/>
                <w:szCs w:val="13"/>
                <w:b w:val="1"/>
                <w:bCs w:val="1"/>
                <w:color w:val="auto"/>
              </w:rPr>
              <w:t>(2,141,153)</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(2,474,609)</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15.6%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11.3%</w:t>
            </w:r>
          </w:p>
        </w:tc>
        <w:tc>
          <w:tcPr>
            <w:tcW w:w="1220" w:type="dxa"/>
            <w:vAlign w:val="bottom"/>
          </w:tcPr>
          <w:p>
            <w:pPr>
              <w:jc w:val="right"/>
              <w:ind w:right="273"/>
              <w:spacing w:after="0"/>
              <w:rPr>
                <w:sz w:val="20"/>
                <w:szCs w:val="20"/>
                <w:color w:val="auto"/>
              </w:rPr>
            </w:pPr>
            <w:r>
              <w:rPr>
                <w:rFonts w:ascii="Arial" w:cs="Arial" w:eastAsia="Arial" w:hAnsi="Arial"/>
                <w:sz w:val="13"/>
                <w:szCs w:val="13"/>
                <w:b w:val="1"/>
                <w:bCs w:val="1"/>
                <w:color w:val="auto"/>
              </w:rPr>
              <w:t>(7,740,561)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(8,620,615)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11.4%</w:t>
            </w:r>
          </w:p>
        </w:tc>
        <w:tc>
          <w:tcPr>
            <w:tcW w:w="0" w:type="dxa"/>
            <w:vAlign w:val="bottom"/>
          </w:tcPr>
          <w:p>
            <w:pPr>
              <w:spacing w:after="0"/>
              <w:rPr>
                <w:sz w:val="1"/>
                <w:szCs w:val="1"/>
                <w:color w:val="auto"/>
              </w:rPr>
            </w:pPr>
          </w:p>
        </w:tc>
      </w:tr>
      <w:tr>
        <w:trPr>
          <w:trHeight w:val="302"/>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Profit before income tax</w:t>
            </w:r>
          </w:p>
        </w:tc>
        <w:tc>
          <w:tcPr>
            <w:tcW w:w="1280" w:type="dxa"/>
            <w:vAlign w:val="bottom"/>
          </w:tcPr>
          <w:p>
            <w:pPr>
              <w:jc w:val="right"/>
              <w:ind w:right="93"/>
              <w:spacing w:after="0"/>
              <w:rPr>
                <w:sz w:val="20"/>
                <w:szCs w:val="20"/>
                <w:color w:val="auto"/>
              </w:rPr>
            </w:pPr>
            <w:r>
              <w:rPr>
                <w:rFonts w:ascii="Arial" w:cs="Arial" w:eastAsia="Arial" w:hAnsi="Arial"/>
                <w:sz w:val="13"/>
                <w:szCs w:val="13"/>
                <w:b w:val="1"/>
                <w:bCs w:val="1"/>
                <w:color w:val="auto"/>
              </w:rPr>
              <w:t>1,559,107</w:t>
            </w:r>
          </w:p>
        </w:tc>
        <w:tc>
          <w:tcPr>
            <w:tcW w:w="1160" w:type="dxa"/>
            <w:vAlign w:val="bottom"/>
          </w:tcPr>
          <w:p>
            <w:pPr>
              <w:jc w:val="right"/>
              <w:ind w:right="173"/>
              <w:spacing w:after="0"/>
              <w:rPr>
                <w:sz w:val="20"/>
                <w:szCs w:val="20"/>
                <w:color w:val="auto"/>
              </w:rPr>
            </w:pPr>
            <w:r>
              <w:rPr>
                <w:rFonts w:ascii="Arial" w:cs="Arial" w:eastAsia="Arial" w:hAnsi="Arial"/>
                <w:sz w:val="13"/>
                <w:szCs w:val="13"/>
                <w:b w:val="1"/>
                <w:bCs w:val="1"/>
                <w:color w:val="auto"/>
              </w:rPr>
              <w:t>1,909,358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1,572,557</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-17.6%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0.9%</w:t>
            </w:r>
          </w:p>
        </w:tc>
        <w:tc>
          <w:tcPr>
            <w:tcW w:w="1220" w:type="dxa"/>
            <w:vAlign w:val="bottom"/>
          </w:tcPr>
          <w:p>
            <w:pPr>
              <w:jc w:val="right"/>
              <w:ind w:right="313"/>
              <w:spacing w:after="0"/>
              <w:rPr>
                <w:sz w:val="20"/>
                <w:szCs w:val="20"/>
                <w:color w:val="auto"/>
              </w:rPr>
            </w:pPr>
            <w:r>
              <w:rPr>
                <w:rFonts w:ascii="Arial" w:cs="Arial" w:eastAsia="Arial" w:hAnsi="Arial"/>
                <w:sz w:val="13"/>
                <w:szCs w:val="13"/>
                <w:b w:val="1"/>
                <w:bCs w:val="1"/>
                <w:color w:val="auto"/>
              </w:rPr>
              <w:t>5,332,816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6,855,889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28.6%</w:t>
            </w:r>
          </w:p>
        </w:tc>
        <w:tc>
          <w:tcPr>
            <w:tcW w:w="0" w:type="dxa"/>
            <w:vAlign w:val="bottom"/>
          </w:tcPr>
          <w:p>
            <w:pPr>
              <w:spacing w:after="0"/>
              <w:rPr>
                <w:sz w:val="1"/>
                <w:szCs w:val="1"/>
                <w:color w:val="auto"/>
              </w:rPr>
            </w:pPr>
          </w:p>
        </w:tc>
      </w:tr>
      <w:tr>
        <w:trPr>
          <w:trHeight w:val="294"/>
        </w:trPr>
        <w:tc>
          <w:tcPr>
            <w:tcW w:w="3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Income tax</w:t>
            </w:r>
          </w:p>
        </w:tc>
        <w:tc>
          <w:tcPr>
            <w:tcW w:w="1280" w:type="dxa"/>
            <w:vAlign w:val="bottom"/>
          </w:tcPr>
          <w:p>
            <w:pPr>
              <w:jc w:val="right"/>
              <w:ind w:right="93"/>
              <w:spacing w:after="0"/>
              <w:rPr>
                <w:sz w:val="20"/>
                <w:szCs w:val="20"/>
                <w:color w:val="auto"/>
              </w:rPr>
            </w:pPr>
            <w:r>
              <w:rPr>
                <w:rFonts w:ascii="Arial" w:cs="Arial" w:eastAsia="Arial" w:hAnsi="Arial"/>
                <w:sz w:val="13"/>
                <w:szCs w:val="13"/>
                <w:color w:val="auto"/>
              </w:rPr>
              <w:t>(471,860)</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(575,083)</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(476,236)</w:t>
            </w:r>
          </w:p>
        </w:tc>
        <w:tc>
          <w:tcPr>
            <w:tcW w:w="760" w:type="dxa"/>
            <w:vAlign w:val="bottom"/>
          </w:tcPr>
          <w:p>
            <w:pPr>
              <w:jc w:val="center"/>
              <w:spacing w:after="0"/>
              <w:rPr>
                <w:sz w:val="20"/>
                <w:szCs w:val="20"/>
                <w:color w:val="auto"/>
              </w:rPr>
            </w:pPr>
            <w:r>
              <w:rPr>
                <w:rFonts w:ascii="Arial" w:cs="Arial" w:eastAsia="Arial" w:hAnsi="Arial"/>
                <w:sz w:val="13"/>
                <w:szCs w:val="13"/>
                <w:color w:val="auto"/>
              </w:rPr>
              <w:t>-17.2%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0.9%</w:t>
            </w:r>
          </w:p>
        </w:tc>
        <w:tc>
          <w:tcPr>
            <w:tcW w:w="1220" w:type="dxa"/>
            <w:vAlign w:val="bottom"/>
          </w:tcPr>
          <w:p>
            <w:pPr>
              <w:jc w:val="right"/>
              <w:ind w:right="273"/>
              <w:spacing w:after="0"/>
              <w:rPr>
                <w:sz w:val="20"/>
                <w:szCs w:val="20"/>
                <w:color w:val="auto"/>
              </w:rPr>
            </w:pPr>
            <w:r>
              <w:rPr>
                <w:rFonts w:ascii="Arial" w:cs="Arial" w:eastAsia="Arial" w:hAnsi="Arial"/>
                <w:sz w:val="13"/>
                <w:szCs w:val="13"/>
                <w:color w:val="auto"/>
              </w:rPr>
              <w:t>(1,660,987)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(2,110,501)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278"/>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profit</w:t>
            </w:r>
          </w:p>
        </w:tc>
        <w:tc>
          <w:tcPr>
            <w:tcW w:w="1280" w:type="dxa"/>
            <w:vAlign w:val="bottom"/>
          </w:tcPr>
          <w:p>
            <w:pPr>
              <w:jc w:val="right"/>
              <w:ind w:right="133"/>
              <w:spacing w:after="0"/>
              <w:rPr>
                <w:sz w:val="20"/>
                <w:szCs w:val="20"/>
                <w:color w:val="auto"/>
              </w:rPr>
            </w:pPr>
            <w:r>
              <w:rPr>
                <w:rFonts w:ascii="Arial" w:cs="Arial" w:eastAsia="Arial" w:hAnsi="Arial"/>
                <w:sz w:val="13"/>
                <w:szCs w:val="13"/>
                <w:b w:val="1"/>
                <w:bCs w:val="1"/>
                <w:color w:val="auto"/>
              </w:rPr>
              <w:t>1,087,247</w:t>
            </w:r>
          </w:p>
        </w:tc>
        <w:tc>
          <w:tcPr>
            <w:tcW w:w="1160" w:type="dxa"/>
            <w:vAlign w:val="bottom"/>
          </w:tcPr>
          <w:p>
            <w:pPr>
              <w:jc w:val="right"/>
              <w:ind w:right="173"/>
              <w:spacing w:after="0"/>
              <w:rPr>
                <w:sz w:val="20"/>
                <w:szCs w:val="20"/>
                <w:color w:val="auto"/>
              </w:rPr>
            </w:pPr>
            <w:r>
              <w:rPr>
                <w:rFonts w:ascii="Arial" w:cs="Arial" w:eastAsia="Arial" w:hAnsi="Arial"/>
                <w:sz w:val="13"/>
                <w:szCs w:val="13"/>
                <w:b w:val="1"/>
                <w:bCs w:val="1"/>
                <w:color w:val="auto"/>
              </w:rPr>
              <w:t>1,334,275</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1,096,321</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-17.8%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0.8%</w:t>
            </w:r>
          </w:p>
        </w:tc>
        <w:tc>
          <w:tcPr>
            <w:tcW w:w="1220" w:type="dxa"/>
            <w:vAlign w:val="bottom"/>
          </w:tcPr>
          <w:p>
            <w:pPr>
              <w:jc w:val="right"/>
              <w:ind w:right="313"/>
              <w:spacing w:after="0"/>
              <w:rPr>
                <w:sz w:val="20"/>
                <w:szCs w:val="20"/>
                <w:color w:val="auto"/>
              </w:rPr>
            </w:pPr>
            <w:r>
              <w:rPr>
                <w:rFonts w:ascii="Arial" w:cs="Arial" w:eastAsia="Arial" w:hAnsi="Arial"/>
                <w:sz w:val="13"/>
                <w:szCs w:val="13"/>
                <w:b w:val="1"/>
                <w:bCs w:val="1"/>
                <w:color w:val="auto"/>
              </w:rPr>
              <w:t>3,671,829</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4,745,388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29.2%</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1280" w:type="dxa"/>
            <w:vAlign w:val="bottom"/>
          </w:tcPr>
          <w:p>
            <w:pPr>
              <w:jc w:val="right"/>
              <w:ind w:right="133"/>
              <w:spacing w:after="0"/>
              <w:rPr>
                <w:sz w:val="20"/>
                <w:szCs w:val="20"/>
                <w:color w:val="auto"/>
              </w:rPr>
            </w:pPr>
            <w:r>
              <w:rPr>
                <w:rFonts w:ascii="Arial" w:cs="Arial" w:eastAsia="Arial" w:hAnsi="Arial"/>
                <w:sz w:val="13"/>
                <w:szCs w:val="13"/>
                <w:color w:val="auto"/>
              </w:rPr>
              <w:t>26,631</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31,855</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24,231</w:t>
            </w:r>
          </w:p>
        </w:tc>
        <w:tc>
          <w:tcPr>
            <w:tcW w:w="760" w:type="dxa"/>
            <w:vAlign w:val="bottom"/>
          </w:tcPr>
          <w:p>
            <w:pPr>
              <w:jc w:val="center"/>
              <w:spacing w:after="0"/>
              <w:rPr>
                <w:sz w:val="20"/>
                <w:szCs w:val="20"/>
                <w:color w:val="auto"/>
              </w:rPr>
            </w:pPr>
            <w:r>
              <w:rPr>
                <w:rFonts w:ascii="Arial" w:cs="Arial" w:eastAsia="Arial" w:hAnsi="Arial"/>
                <w:sz w:val="13"/>
                <w:szCs w:val="13"/>
                <w:color w:val="auto"/>
              </w:rPr>
              <w:t>-23.9%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-9.0%</w:t>
            </w:r>
          </w:p>
        </w:tc>
        <w:tc>
          <w:tcPr>
            <w:tcW w:w="1220" w:type="dxa"/>
            <w:vAlign w:val="bottom"/>
          </w:tcPr>
          <w:p>
            <w:pPr>
              <w:jc w:val="right"/>
              <w:ind w:right="313"/>
              <w:spacing w:after="0"/>
              <w:rPr>
                <w:sz w:val="20"/>
                <w:szCs w:val="20"/>
                <w:color w:val="auto"/>
              </w:rPr>
            </w:pPr>
            <w:r>
              <w:rPr>
                <w:rFonts w:ascii="Arial" w:cs="Arial" w:eastAsia="Arial" w:hAnsi="Arial"/>
                <w:sz w:val="13"/>
                <w:szCs w:val="13"/>
                <w:color w:val="auto"/>
              </w:rPr>
              <w:t>87,247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112,292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61"/>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profit attributable to Credicorp</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1,060,616</w:t>
            </w: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1,302,420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1,072,090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-17.7%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1.1%</w:t>
            </w:r>
          </w:p>
        </w:tc>
        <w:tc>
          <w:tcPr>
            <w:tcW w:w="12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3,584,582</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4,633,096</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29.3%</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(1) The acquisition cost of Pacífico iIncludes net fees and underwriting expenses.</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59" w:name="page60"/>
    <w:bookmarkEnd w:id="59"/>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216535</wp:posOffset>
            </wp:positionV>
            <wp:extent cx="7141845" cy="535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12.5.2. Credicorp Stand-alone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Credicorp Ltd.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Separate Statement of Financal Position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 thousands, IFRS)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4200" w:type="dxa"/>
            <w:vAlign w:val="bottom"/>
            <w:tcBorders>
              <w:right w:val="single" w:sz="8" w:color="auto"/>
            </w:tcBorders>
          </w:tcPr>
          <w:p>
            <w:pPr>
              <w:spacing w:after="0"/>
              <w:rPr>
                <w:sz w:val="13"/>
                <w:szCs w:val="13"/>
                <w:color w:val="auto"/>
              </w:rPr>
            </w:pPr>
          </w:p>
        </w:tc>
        <w:tc>
          <w:tcPr>
            <w:tcW w:w="160" w:type="dxa"/>
            <w:vAlign w:val="bottom"/>
            <w:tcBorders>
              <w:top w:val="single" w:sz="8" w:color="auto"/>
              <w:right w:val="single" w:sz="8" w:color="2AD2C9"/>
            </w:tcBorders>
            <w:shd w:val="clear" w:color="auto" w:fill="2AD2C9"/>
          </w:tcPr>
          <w:p>
            <w:pPr>
              <w:spacing w:after="0"/>
              <w:rPr>
                <w:sz w:val="13"/>
                <w:szCs w:val="13"/>
                <w:color w:val="auto"/>
              </w:rPr>
            </w:pPr>
          </w:p>
        </w:tc>
        <w:tc>
          <w:tcPr>
            <w:tcW w:w="960" w:type="dxa"/>
            <w:vAlign w:val="bottom"/>
            <w:tcBorders>
              <w:top w:val="single" w:sz="8" w:color="auto"/>
            </w:tcBorders>
            <w:shd w:val="clear" w:color="auto" w:fill="2AD2C9"/>
          </w:tcPr>
          <w:p>
            <w:pPr>
              <w:spacing w:after="0"/>
              <w:rPr>
                <w:sz w:val="13"/>
                <w:szCs w:val="13"/>
                <w:color w:val="auto"/>
              </w:rPr>
            </w:pPr>
          </w:p>
        </w:tc>
        <w:tc>
          <w:tcPr>
            <w:tcW w:w="860" w:type="dxa"/>
            <w:vAlign w:val="bottom"/>
            <w:tcBorders>
              <w:top w:val="single" w:sz="8" w:color="auto"/>
            </w:tcBorders>
            <w:shd w:val="clear" w:color="auto" w:fill="2AD2C9"/>
          </w:tcPr>
          <w:p>
            <w:pPr>
              <w:jc w:val="right"/>
              <w:ind w:right="93"/>
              <w:spacing w:after="0"/>
              <w:rPr>
                <w:sz w:val="20"/>
                <w:szCs w:val="20"/>
                <w:color w:val="auto"/>
              </w:rPr>
            </w:pPr>
            <w:r>
              <w:rPr>
                <w:rFonts w:ascii="Arial" w:cs="Arial" w:eastAsia="Arial" w:hAnsi="Arial"/>
                <w:sz w:val="13"/>
                <w:szCs w:val="13"/>
                <w:b w:val="1"/>
                <w:bCs w:val="1"/>
                <w:color w:val="FFFFFF"/>
              </w:rPr>
              <w:t>As of</w:t>
            </w:r>
          </w:p>
        </w:tc>
        <w:tc>
          <w:tcPr>
            <w:tcW w:w="240" w:type="dxa"/>
            <w:vAlign w:val="bottom"/>
            <w:tcBorders>
              <w:top w:val="single" w:sz="8" w:color="auto"/>
            </w:tcBorders>
            <w:shd w:val="clear" w:color="auto" w:fill="2AD2C9"/>
          </w:tcPr>
          <w:p>
            <w:pPr>
              <w:spacing w:after="0"/>
              <w:rPr>
                <w:sz w:val="13"/>
                <w:szCs w:val="13"/>
                <w:color w:val="auto"/>
              </w:rPr>
            </w:pPr>
          </w:p>
        </w:tc>
        <w:tc>
          <w:tcPr>
            <w:tcW w:w="500" w:type="dxa"/>
            <w:vAlign w:val="bottom"/>
            <w:tcBorders>
              <w:top w:val="single" w:sz="8" w:color="auto"/>
              <w:right w:val="single" w:sz="8" w:color="2AD2C9"/>
            </w:tcBorders>
            <w:shd w:val="clear" w:color="auto" w:fill="2AD2C9"/>
          </w:tcPr>
          <w:p>
            <w:pPr>
              <w:spacing w:after="0"/>
              <w:rPr>
                <w:sz w:val="13"/>
                <w:szCs w:val="13"/>
                <w:color w:val="auto"/>
              </w:rPr>
            </w:pPr>
          </w:p>
        </w:tc>
        <w:tc>
          <w:tcPr>
            <w:tcW w:w="620" w:type="dxa"/>
            <w:vAlign w:val="bottom"/>
            <w:tcBorders>
              <w:top w:val="single" w:sz="8" w:color="auto"/>
              <w:right w:val="single" w:sz="8" w:color="auto"/>
            </w:tcBorders>
            <w:shd w:val="clear" w:color="auto" w:fill="2AD2C9"/>
          </w:tcPr>
          <w:p>
            <w:pPr>
              <w:spacing w:after="0"/>
              <w:rPr>
                <w:sz w:val="13"/>
                <w:szCs w:val="13"/>
                <w:color w:val="auto"/>
              </w:rPr>
            </w:pPr>
          </w:p>
        </w:tc>
        <w:tc>
          <w:tcPr>
            <w:tcW w:w="80" w:type="dxa"/>
            <w:vAlign w:val="bottom"/>
            <w:tcBorders>
              <w:top w:val="single" w:sz="8" w:color="auto"/>
            </w:tcBorders>
            <w:shd w:val="clear" w:color="auto" w:fill="2AD2C9"/>
          </w:tcPr>
          <w:p>
            <w:pPr>
              <w:spacing w:after="0"/>
              <w:rPr>
                <w:sz w:val="13"/>
                <w:szCs w:val="13"/>
                <w:color w:val="auto"/>
              </w:rPr>
            </w:pPr>
          </w:p>
        </w:tc>
        <w:tc>
          <w:tcPr>
            <w:tcW w:w="1220" w:type="dxa"/>
            <w:vAlign w:val="bottom"/>
            <w:tcBorders>
              <w:top w:val="single" w:sz="8" w:color="auto"/>
            </w:tcBorders>
            <w:gridSpan w:val="3"/>
            <w:shd w:val="clear" w:color="auto" w:fill="2AD2C9"/>
          </w:tcPr>
          <w:p>
            <w:pPr>
              <w:ind w:left="320"/>
              <w:spacing w:after="0"/>
              <w:rPr>
                <w:sz w:val="20"/>
                <w:szCs w:val="20"/>
                <w:color w:val="auto"/>
              </w:rPr>
            </w:pPr>
            <w:r>
              <w:rPr>
                <w:rFonts w:ascii="Arial" w:cs="Arial" w:eastAsia="Arial" w:hAnsi="Arial"/>
                <w:sz w:val="13"/>
                <w:szCs w:val="13"/>
                <w:b w:val="1"/>
                <w:bCs w:val="1"/>
                <w:color w:val="FFFFFF"/>
              </w:rPr>
              <w:t>% change</w:t>
            </w:r>
          </w:p>
        </w:tc>
        <w:tc>
          <w:tcPr>
            <w:tcW w:w="160" w:type="dxa"/>
            <w:vAlign w:val="bottom"/>
            <w:tcBorders>
              <w:top w:val="single" w:sz="8" w:color="auto"/>
              <w:right w:val="single" w:sz="8" w:color="auto"/>
            </w:tcBorders>
            <w:shd w:val="clear" w:color="auto" w:fill="2AD2C9"/>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1"/>
        </w:trPr>
        <w:tc>
          <w:tcPr>
            <w:tcW w:w="42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right w:val="single" w:sz="8" w:color="2AD2C9"/>
            </w:tcBorders>
            <w:shd w:val="clear" w:color="auto" w:fill="2AD2C9"/>
          </w:tcPr>
          <w:p>
            <w:pPr>
              <w:spacing w:after="0"/>
              <w:rPr>
                <w:sz w:val="13"/>
                <w:szCs w:val="13"/>
                <w:color w:val="auto"/>
              </w:rPr>
            </w:pPr>
          </w:p>
        </w:tc>
        <w:tc>
          <w:tcPr>
            <w:tcW w:w="960" w:type="dxa"/>
            <w:vAlign w:val="bottom"/>
            <w:tcBorders>
              <w:bottom w:val="single" w:sz="8" w:color="auto"/>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Dec 21</w:t>
            </w:r>
          </w:p>
        </w:tc>
        <w:tc>
          <w:tcPr>
            <w:tcW w:w="860" w:type="dxa"/>
            <w:vAlign w:val="bottom"/>
            <w:tcBorders>
              <w:bottom w:val="single" w:sz="8" w:color="auto"/>
            </w:tcBorders>
            <w:shd w:val="clear" w:color="auto" w:fill="2AD2C9"/>
          </w:tcPr>
          <w:p>
            <w:pPr>
              <w:jc w:val="right"/>
              <w:ind w:right="13"/>
              <w:spacing w:after="0"/>
              <w:rPr>
                <w:sz w:val="20"/>
                <w:szCs w:val="20"/>
                <w:color w:val="auto"/>
              </w:rPr>
            </w:pPr>
            <w:r>
              <w:rPr>
                <w:rFonts w:ascii="Arial" w:cs="Arial" w:eastAsia="Arial" w:hAnsi="Arial"/>
                <w:sz w:val="13"/>
                <w:szCs w:val="13"/>
                <w:b w:val="1"/>
                <w:bCs w:val="1"/>
                <w:color w:val="FFFFFF"/>
              </w:rPr>
              <w:t>Sep 22</w:t>
            </w:r>
          </w:p>
        </w:tc>
        <w:tc>
          <w:tcPr>
            <w:tcW w:w="240" w:type="dxa"/>
            <w:vAlign w:val="bottom"/>
            <w:tcBorders>
              <w:bottom w:val="single" w:sz="8" w:color="auto"/>
            </w:tcBorders>
            <w:shd w:val="clear" w:color="auto" w:fill="2AD2C9"/>
          </w:tcPr>
          <w:p>
            <w:pPr>
              <w:spacing w:after="0"/>
              <w:rPr>
                <w:sz w:val="13"/>
                <w:szCs w:val="13"/>
                <w:color w:val="auto"/>
              </w:rPr>
            </w:pPr>
          </w:p>
        </w:tc>
        <w:tc>
          <w:tcPr>
            <w:tcW w:w="1120" w:type="dxa"/>
            <w:vAlign w:val="bottom"/>
            <w:tcBorders>
              <w:bottom w:val="single" w:sz="8" w:color="auto"/>
              <w:right w:val="single" w:sz="8" w:color="auto"/>
            </w:tcBorders>
            <w:gridSpan w:val="2"/>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Dec 22</w:t>
            </w:r>
          </w:p>
        </w:tc>
        <w:tc>
          <w:tcPr>
            <w:tcW w:w="80" w:type="dxa"/>
            <w:vAlign w:val="bottom"/>
            <w:tcBorders>
              <w:bottom w:val="single" w:sz="8" w:color="auto"/>
            </w:tcBorders>
            <w:shd w:val="clear" w:color="auto" w:fill="2AD2C9"/>
          </w:tcPr>
          <w:p>
            <w:pPr>
              <w:spacing w:after="0"/>
              <w:rPr>
                <w:sz w:val="13"/>
                <w:szCs w:val="13"/>
                <w:color w:val="auto"/>
              </w:rPr>
            </w:pPr>
          </w:p>
        </w:tc>
        <w:tc>
          <w:tcPr>
            <w:tcW w:w="780" w:type="dxa"/>
            <w:vAlign w:val="bottom"/>
            <w:tcBorders>
              <w:bottom w:val="single" w:sz="8" w:color="auto"/>
            </w:tcBorders>
            <w:shd w:val="clear" w:color="auto" w:fill="2AD2C9"/>
          </w:tcPr>
          <w:p>
            <w:pPr>
              <w:jc w:val="center"/>
              <w:ind w:right="193"/>
              <w:spacing w:after="0"/>
              <w:rPr>
                <w:sz w:val="20"/>
                <w:szCs w:val="20"/>
                <w:color w:val="auto"/>
              </w:rPr>
            </w:pPr>
            <w:r>
              <w:rPr>
                <w:rFonts w:ascii="Arial" w:cs="Arial" w:eastAsia="Arial" w:hAnsi="Arial"/>
                <w:sz w:val="13"/>
                <w:szCs w:val="13"/>
                <w:b w:val="1"/>
                <w:bCs w:val="1"/>
                <w:color w:val="FFFFFF"/>
                <w:w w:val="99"/>
              </w:rPr>
              <w:t>QoQ</w:t>
            </w:r>
          </w:p>
        </w:tc>
        <w:tc>
          <w:tcPr>
            <w:tcW w:w="440" w:type="dxa"/>
            <w:vAlign w:val="bottom"/>
            <w:tcBorders>
              <w:bottom w:val="single" w:sz="8" w:color="auto"/>
            </w:tcBorders>
            <w:gridSpan w:val="2"/>
            <w:shd w:val="clear" w:color="auto" w:fill="2AD2C9"/>
          </w:tcPr>
          <w:p>
            <w:pPr>
              <w:jc w:val="center"/>
              <w:spacing w:after="0"/>
              <w:rPr>
                <w:sz w:val="20"/>
                <w:szCs w:val="20"/>
                <w:color w:val="auto"/>
              </w:rPr>
            </w:pPr>
            <w:r>
              <w:rPr>
                <w:rFonts w:ascii="Arial" w:cs="Arial" w:eastAsia="Arial" w:hAnsi="Arial"/>
                <w:sz w:val="13"/>
                <w:szCs w:val="13"/>
                <w:b w:val="1"/>
                <w:bCs w:val="1"/>
                <w:color w:val="FFFFFF"/>
              </w:rPr>
              <w:t>YoY</w:t>
            </w:r>
          </w:p>
        </w:tc>
        <w:tc>
          <w:tcPr>
            <w:tcW w:w="160" w:type="dxa"/>
            <w:vAlign w:val="bottom"/>
            <w:tcBorders>
              <w:bottom w:val="single" w:sz="8" w:color="auto"/>
              <w:right w:val="single" w:sz="8" w:color="auto"/>
            </w:tcBorders>
            <w:shd w:val="clear" w:color="auto" w:fill="2AD2C9"/>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6"/>
        </w:trPr>
        <w:tc>
          <w:tcPr>
            <w:tcW w:w="42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ASSETS</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1"/>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Cash and cash equivalents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179,104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125,092</w:t>
            </w:r>
          </w:p>
        </w:tc>
        <w:tc>
          <w:tcPr>
            <w:tcW w:w="500" w:type="dxa"/>
            <w:vAlign w:val="bottom"/>
          </w:tcPr>
          <w:p>
            <w:pPr>
              <w:spacing w:after="0"/>
              <w:rPr>
                <w:sz w:val="13"/>
                <w:szCs w:val="13"/>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136,399</w:t>
            </w:r>
          </w:p>
        </w:tc>
        <w:tc>
          <w:tcPr>
            <w:tcW w:w="80" w:type="dxa"/>
            <w:vAlign w:val="bottom"/>
          </w:tcPr>
          <w:p>
            <w:pPr>
              <w:spacing w:after="0"/>
              <w:rPr>
                <w:sz w:val="13"/>
                <w:szCs w:val="13"/>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color w:val="auto"/>
              </w:rPr>
              <w:t>9.0%</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rPr>
              <w:t>-23.8%</w:t>
            </w:r>
          </w:p>
        </w:tc>
        <w:tc>
          <w:tcPr>
            <w:tcW w:w="1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At fair value through profit or loss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1,050,218</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967,331</w:t>
            </w:r>
          </w:p>
        </w:tc>
        <w:tc>
          <w:tcPr>
            <w:tcW w:w="500" w:type="dxa"/>
            <w:vAlign w:val="bottom"/>
          </w:tcPr>
          <w:p>
            <w:pPr>
              <w:spacing w:after="0"/>
              <w:rPr>
                <w:sz w:val="13"/>
                <w:szCs w:val="13"/>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958,939</w:t>
            </w:r>
          </w:p>
        </w:tc>
        <w:tc>
          <w:tcPr>
            <w:tcW w:w="80" w:type="dxa"/>
            <w:vAlign w:val="bottom"/>
          </w:tcPr>
          <w:p>
            <w:pPr>
              <w:spacing w:after="0"/>
              <w:rPr>
                <w:sz w:val="13"/>
                <w:szCs w:val="13"/>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color w:val="auto"/>
              </w:rPr>
              <w:t>-0.9%</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w w:val="99"/>
              </w:rPr>
              <w:t>n.a</w:t>
            </w:r>
          </w:p>
        </w:tc>
        <w:tc>
          <w:tcPr>
            <w:tcW w:w="1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Fair value through other comprehensive income investments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346,979</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313,739</w:t>
            </w:r>
          </w:p>
        </w:tc>
        <w:tc>
          <w:tcPr>
            <w:tcW w:w="500" w:type="dxa"/>
            <w:vAlign w:val="bottom"/>
          </w:tcPr>
          <w:p>
            <w:pPr>
              <w:spacing w:after="0"/>
              <w:rPr>
                <w:sz w:val="13"/>
                <w:szCs w:val="13"/>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306,343</w:t>
            </w:r>
          </w:p>
        </w:tc>
        <w:tc>
          <w:tcPr>
            <w:tcW w:w="80" w:type="dxa"/>
            <w:vAlign w:val="bottom"/>
          </w:tcPr>
          <w:p>
            <w:pPr>
              <w:spacing w:after="0"/>
              <w:rPr>
                <w:sz w:val="13"/>
                <w:szCs w:val="13"/>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color w:val="auto"/>
              </w:rPr>
              <w:t>-2.4%</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rPr>
              <w:t>-11.7%</w:t>
            </w:r>
          </w:p>
        </w:tc>
        <w:tc>
          <w:tcPr>
            <w:tcW w:w="1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 subsidiaries and associates investments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31,168,827</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32,308,088</w:t>
            </w:r>
          </w:p>
        </w:tc>
        <w:tc>
          <w:tcPr>
            <w:tcW w:w="11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33,878,318</w:t>
            </w:r>
          </w:p>
        </w:tc>
        <w:tc>
          <w:tcPr>
            <w:tcW w:w="80" w:type="dxa"/>
            <w:vAlign w:val="bottom"/>
          </w:tcPr>
          <w:p>
            <w:pPr>
              <w:spacing w:after="0"/>
              <w:rPr>
                <w:sz w:val="13"/>
                <w:szCs w:val="13"/>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color w:val="auto"/>
              </w:rPr>
              <w:t>4.9%</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rPr>
              <w:t>8.7%</w:t>
            </w:r>
          </w:p>
        </w:tc>
        <w:tc>
          <w:tcPr>
            <w:tcW w:w="1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Other assets</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172</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12,115</w:t>
            </w:r>
          </w:p>
        </w:tc>
        <w:tc>
          <w:tcPr>
            <w:tcW w:w="500" w:type="dxa"/>
            <w:vAlign w:val="bottom"/>
          </w:tcPr>
          <w:p>
            <w:pPr>
              <w:spacing w:after="0"/>
              <w:rPr>
                <w:sz w:val="15"/>
                <w:szCs w:val="15"/>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80" w:type="dxa"/>
            <w:vAlign w:val="bottom"/>
          </w:tcPr>
          <w:p>
            <w:pPr>
              <w:spacing w:after="0"/>
              <w:rPr>
                <w:sz w:val="15"/>
                <w:szCs w:val="15"/>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color w:val="auto"/>
              </w:rPr>
              <w:t>n.a</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w w:val="99"/>
              </w:rPr>
              <w:t>n.a</w:t>
            </w:r>
          </w:p>
        </w:tc>
        <w:tc>
          <w:tcPr>
            <w:tcW w:w="16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10"/>
        </w:trPr>
        <w:tc>
          <w:tcPr>
            <w:tcW w:w="4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32,745,300</w:t>
            </w: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rPr>
              <w:t>33,726,365</w:t>
            </w:r>
          </w:p>
        </w:tc>
        <w:tc>
          <w:tcPr>
            <w:tcW w:w="11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35,280,134</w:t>
            </w:r>
          </w:p>
        </w:tc>
        <w:tc>
          <w:tcPr>
            <w:tcW w:w="80" w:type="dxa"/>
            <w:vAlign w:val="bottom"/>
          </w:tcPr>
          <w:p>
            <w:pPr>
              <w:spacing w:after="0"/>
              <w:rPr>
                <w:sz w:val="24"/>
                <w:szCs w:val="24"/>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b w:val="1"/>
                <w:bCs w:val="1"/>
                <w:color w:val="auto"/>
              </w:rPr>
              <w:t>4.6%</w:t>
            </w:r>
          </w:p>
        </w:tc>
        <w:tc>
          <w:tcPr>
            <w:tcW w:w="440" w:type="dxa"/>
            <w:vAlign w:val="bottom"/>
            <w:gridSpan w:val="2"/>
          </w:tcPr>
          <w:p>
            <w:pPr>
              <w:jc w:val="center"/>
              <w:spacing w:after="0"/>
              <w:rPr>
                <w:sz w:val="20"/>
                <w:szCs w:val="20"/>
                <w:color w:val="auto"/>
              </w:rPr>
            </w:pPr>
            <w:r>
              <w:rPr>
                <w:rFonts w:ascii="Arial" w:cs="Arial" w:eastAsia="Arial" w:hAnsi="Arial"/>
                <w:sz w:val="13"/>
                <w:szCs w:val="13"/>
                <w:b w:val="1"/>
                <w:bCs w:val="1"/>
                <w:color w:val="auto"/>
              </w:rPr>
              <w:t>7.7%</w:t>
            </w:r>
          </w:p>
        </w:tc>
        <w:tc>
          <w:tcPr>
            <w:tcW w:w="16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2"/>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LIABILITIES AND NET SHAREHOLDERS' EQUITY</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Due to banks, correspondents and other entities</w:t>
            </w:r>
          </w:p>
        </w:tc>
        <w:tc>
          <w:tcPr>
            <w:tcW w:w="16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256,528</w:t>
            </w:r>
          </w:p>
        </w:tc>
        <w:tc>
          <w:tcPr>
            <w:tcW w:w="500" w:type="dxa"/>
            <w:vAlign w:val="bottom"/>
          </w:tcPr>
          <w:p>
            <w:pPr>
              <w:spacing w:after="0"/>
              <w:rPr>
                <w:sz w:val="23"/>
                <w:szCs w:val="23"/>
                <w:color w:val="auto"/>
              </w:rPr>
            </w:pPr>
          </w:p>
        </w:tc>
        <w:tc>
          <w:tcPr>
            <w:tcW w:w="6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80" w:type="dxa"/>
            <w:vAlign w:val="bottom"/>
          </w:tcPr>
          <w:p>
            <w:pPr>
              <w:jc w:val="center"/>
              <w:ind w:right="173"/>
              <w:spacing w:after="0"/>
              <w:rPr>
                <w:sz w:val="20"/>
                <w:szCs w:val="20"/>
                <w:color w:val="auto"/>
              </w:rPr>
            </w:pPr>
            <w:r>
              <w:rPr>
                <w:rFonts w:ascii="Arial" w:cs="Arial" w:eastAsia="Arial" w:hAnsi="Arial"/>
                <w:sz w:val="13"/>
                <w:szCs w:val="13"/>
                <w:color w:val="auto"/>
              </w:rPr>
              <w:t>n.a.</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rPr>
              <w:t>n.a.</w:t>
            </w:r>
          </w:p>
        </w:tc>
        <w:tc>
          <w:tcPr>
            <w:tcW w:w="16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51"/>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Bonds and notes issued</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1,980,311</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1,993,778</w:t>
            </w:r>
          </w:p>
        </w:tc>
        <w:tc>
          <w:tcPr>
            <w:tcW w:w="11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1,898,066</w:t>
            </w:r>
          </w:p>
        </w:tc>
        <w:tc>
          <w:tcPr>
            <w:tcW w:w="80" w:type="dxa"/>
            <w:vAlign w:val="bottom"/>
          </w:tcPr>
          <w:p>
            <w:pPr>
              <w:spacing w:after="0"/>
              <w:rPr>
                <w:sz w:val="13"/>
                <w:szCs w:val="13"/>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color w:val="auto"/>
              </w:rPr>
              <w:t>-4.8%</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w w:val="99"/>
              </w:rPr>
              <w:t>-4.2%</w:t>
            </w:r>
          </w:p>
        </w:tc>
        <w:tc>
          <w:tcPr>
            <w:tcW w:w="1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159,403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218,687</w:t>
            </w:r>
          </w:p>
        </w:tc>
        <w:tc>
          <w:tcPr>
            <w:tcW w:w="500" w:type="dxa"/>
            <w:vAlign w:val="bottom"/>
          </w:tcPr>
          <w:p>
            <w:pPr>
              <w:spacing w:after="0"/>
              <w:rPr>
                <w:sz w:val="15"/>
                <w:szCs w:val="15"/>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220,642</w:t>
            </w:r>
          </w:p>
        </w:tc>
        <w:tc>
          <w:tcPr>
            <w:tcW w:w="80" w:type="dxa"/>
            <w:vAlign w:val="bottom"/>
          </w:tcPr>
          <w:p>
            <w:pPr>
              <w:spacing w:after="0"/>
              <w:rPr>
                <w:sz w:val="15"/>
                <w:szCs w:val="15"/>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color w:val="auto"/>
              </w:rPr>
              <w:t>0.9%</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rPr>
              <w:t>38.4%</w:t>
            </w:r>
          </w:p>
        </w:tc>
        <w:tc>
          <w:tcPr>
            <w:tcW w:w="16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10"/>
        </w:trPr>
        <w:tc>
          <w:tcPr>
            <w:tcW w:w="4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Liabilities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2,139,714</w:t>
            </w: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rPr>
              <w:t>2,468,993</w:t>
            </w:r>
          </w:p>
        </w:tc>
        <w:tc>
          <w:tcPr>
            <w:tcW w:w="500" w:type="dxa"/>
            <w:vAlign w:val="bottom"/>
          </w:tcPr>
          <w:p>
            <w:pPr>
              <w:spacing w:after="0"/>
              <w:rPr>
                <w:sz w:val="24"/>
                <w:szCs w:val="24"/>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2,118,708</w:t>
            </w:r>
          </w:p>
        </w:tc>
        <w:tc>
          <w:tcPr>
            <w:tcW w:w="80" w:type="dxa"/>
            <w:vAlign w:val="bottom"/>
          </w:tcPr>
          <w:p>
            <w:pPr>
              <w:spacing w:after="0"/>
              <w:rPr>
                <w:sz w:val="24"/>
                <w:szCs w:val="24"/>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b w:val="1"/>
                <w:bCs w:val="1"/>
                <w:color w:val="auto"/>
              </w:rPr>
              <w:t>-14.2%</w:t>
            </w:r>
          </w:p>
        </w:tc>
        <w:tc>
          <w:tcPr>
            <w:tcW w:w="4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-1.0%</w:t>
            </w:r>
          </w:p>
        </w:tc>
        <w:tc>
          <w:tcPr>
            <w:tcW w:w="16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EQUITY</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51"/>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Capital stock</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1,318,993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1,318,993</w:t>
            </w:r>
          </w:p>
        </w:tc>
        <w:tc>
          <w:tcPr>
            <w:tcW w:w="11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1,318,993</w:t>
            </w:r>
          </w:p>
        </w:tc>
        <w:tc>
          <w:tcPr>
            <w:tcW w:w="80" w:type="dxa"/>
            <w:vAlign w:val="bottom"/>
          </w:tcPr>
          <w:p>
            <w:pPr>
              <w:spacing w:after="0"/>
              <w:rPr>
                <w:sz w:val="13"/>
                <w:szCs w:val="13"/>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color w:val="auto"/>
              </w:rPr>
              <w:t>0.0%</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rPr>
              <w:t>0.0%</w:t>
            </w:r>
          </w:p>
        </w:tc>
        <w:tc>
          <w:tcPr>
            <w:tcW w:w="1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Capital Surplus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384,542</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384,542</w:t>
            </w:r>
          </w:p>
        </w:tc>
        <w:tc>
          <w:tcPr>
            <w:tcW w:w="500" w:type="dxa"/>
            <w:vAlign w:val="bottom"/>
          </w:tcPr>
          <w:p>
            <w:pPr>
              <w:spacing w:after="0"/>
              <w:rPr>
                <w:sz w:val="13"/>
                <w:szCs w:val="13"/>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384,542</w:t>
            </w:r>
          </w:p>
        </w:tc>
        <w:tc>
          <w:tcPr>
            <w:tcW w:w="80" w:type="dxa"/>
            <w:vAlign w:val="bottom"/>
          </w:tcPr>
          <w:p>
            <w:pPr>
              <w:spacing w:after="0"/>
              <w:rPr>
                <w:sz w:val="13"/>
                <w:szCs w:val="13"/>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color w:val="auto"/>
              </w:rPr>
              <w:t>0.0%</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rPr>
              <w:t>0.0%</w:t>
            </w:r>
          </w:p>
        </w:tc>
        <w:tc>
          <w:tcPr>
            <w:tcW w:w="1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Reserve</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20,945,491</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23,300,350</w:t>
            </w:r>
          </w:p>
        </w:tc>
        <w:tc>
          <w:tcPr>
            <w:tcW w:w="11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23,300,350</w:t>
            </w:r>
          </w:p>
        </w:tc>
        <w:tc>
          <w:tcPr>
            <w:tcW w:w="80" w:type="dxa"/>
            <w:vAlign w:val="bottom"/>
          </w:tcPr>
          <w:p>
            <w:pPr>
              <w:spacing w:after="0"/>
              <w:rPr>
                <w:sz w:val="13"/>
                <w:szCs w:val="13"/>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color w:val="auto"/>
              </w:rPr>
              <w:t>0.0%</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rPr>
              <w:t>11.2%</w:t>
            </w:r>
          </w:p>
        </w:tc>
        <w:tc>
          <w:tcPr>
            <w:tcW w:w="1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1"/>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Unrealized results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62,163</w:t>
            </w:r>
          </w:p>
        </w:tc>
        <w:tc>
          <w:tcPr>
            <w:tcW w:w="1600" w:type="dxa"/>
            <w:vAlign w:val="bottom"/>
            <w:gridSpan w:val="3"/>
          </w:tcPr>
          <w:p>
            <w:pPr>
              <w:jc w:val="right"/>
              <w:ind w:right="393"/>
              <w:spacing w:after="0"/>
              <w:rPr>
                <w:sz w:val="20"/>
                <w:szCs w:val="20"/>
                <w:color w:val="auto"/>
              </w:rPr>
            </w:pPr>
            <w:r>
              <w:rPr>
                <w:rFonts w:ascii="Arial" w:cs="Arial" w:eastAsia="Arial" w:hAnsi="Arial"/>
                <w:sz w:val="13"/>
                <w:szCs w:val="13"/>
                <w:color w:val="auto"/>
              </w:rPr>
              <w:t>(1,661,404)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(835,079)</w:t>
            </w:r>
          </w:p>
        </w:tc>
        <w:tc>
          <w:tcPr>
            <w:tcW w:w="80" w:type="dxa"/>
            <w:vAlign w:val="bottom"/>
          </w:tcPr>
          <w:p>
            <w:pPr>
              <w:spacing w:after="0"/>
              <w:rPr>
                <w:sz w:val="13"/>
                <w:szCs w:val="13"/>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color w:val="auto"/>
              </w:rPr>
              <w:t>-49.7%</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rPr>
              <w:t>n.a.</w:t>
            </w:r>
          </w:p>
        </w:tc>
        <w:tc>
          <w:tcPr>
            <w:tcW w:w="16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Retained earnings</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7,894,397</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7,914,891</w:t>
            </w:r>
          </w:p>
        </w:tc>
        <w:tc>
          <w:tcPr>
            <w:tcW w:w="11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8,992,620</w:t>
            </w:r>
          </w:p>
        </w:tc>
        <w:tc>
          <w:tcPr>
            <w:tcW w:w="80" w:type="dxa"/>
            <w:vAlign w:val="bottom"/>
          </w:tcPr>
          <w:p>
            <w:pPr>
              <w:spacing w:after="0"/>
              <w:rPr>
                <w:sz w:val="15"/>
                <w:szCs w:val="15"/>
                <w:color w:val="auto"/>
              </w:rPr>
            </w:pPr>
          </w:p>
        </w:tc>
        <w:tc>
          <w:tcPr>
            <w:tcW w:w="780" w:type="dxa"/>
            <w:vAlign w:val="bottom"/>
          </w:tcPr>
          <w:p>
            <w:pPr>
              <w:jc w:val="center"/>
              <w:ind w:right="173"/>
              <w:spacing w:after="0"/>
              <w:rPr>
                <w:sz w:val="20"/>
                <w:szCs w:val="20"/>
                <w:color w:val="auto"/>
              </w:rPr>
            </w:pPr>
            <w:r>
              <w:rPr>
                <w:rFonts w:ascii="Arial" w:cs="Arial" w:eastAsia="Arial" w:hAnsi="Arial"/>
                <w:sz w:val="13"/>
                <w:szCs w:val="13"/>
                <w:color w:val="auto"/>
              </w:rPr>
              <w:t>13.6%</w:t>
            </w:r>
          </w:p>
        </w:tc>
        <w:tc>
          <w:tcPr>
            <w:tcW w:w="440" w:type="dxa"/>
            <w:vAlign w:val="bottom"/>
            <w:gridSpan w:val="2"/>
          </w:tcPr>
          <w:p>
            <w:pPr>
              <w:jc w:val="center"/>
              <w:spacing w:after="0"/>
              <w:rPr>
                <w:sz w:val="20"/>
                <w:szCs w:val="20"/>
                <w:color w:val="auto"/>
              </w:rPr>
            </w:pPr>
            <w:r>
              <w:rPr>
                <w:rFonts w:ascii="Arial" w:cs="Arial" w:eastAsia="Arial" w:hAnsi="Arial"/>
                <w:sz w:val="13"/>
                <w:szCs w:val="13"/>
                <w:color w:val="auto"/>
              </w:rPr>
              <w:t>13.9%</w:t>
            </w:r>
          </w:p>
        </w:tc>
        <w:tc>
          <w:tcPr>
            <w:tcW w:w="16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10"/>
        </w:trPr>
        <w:tc>
          <w:tcPr>
            <w:tcW w:w="4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net equity</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30,605,586</w:t>
            </w: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rPr>
              <w:t>31,257,372</w:t>
            </w:r>
          </w:p>
        </w:tc>
        <w:tc>
          <w:tcPr>
            <w:tcW w:w="11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33,161,426</w:t>
            </w:r>
          </w:p>
        </w:tc>
        <w:tc>
          <w:tcPr>
            <w:tcW w:w="80" w:type="dxa"/>
            <w:vAlign w:val="bottom"/>
          </w:tcPr>
          <w:p>
            <w:pPr>
              <w:spacing w:after="0"/>
              <w:rPr>
                <w:sz w:val="24"/>
                <w:szCs w:val="24"/>
                <w:color w:val="auto"/>
              </w:rPr>
            </w:pPr>
          </w:p>
        </w:tc>
        <w:tc>
          <w:tcPr>
            <w:tcW w:w="780" w:type="dxa"/>
            <w:vAlign w:val="bottom"/>
          </w:tcPr>
          <w:p>
            <w:pPr>
              <w:jc w:val="center"/>
              <w:ind w:right="193"/>
              <w:spacing w:after="0"/>
              <w:rPr>
                <w:sz w:val="20"/>
                <w:szCs w:val="20"/>
                <w:color w:val="auto"/>
              </w:rPr>
            </w:pPr>
            <w:r>
              <w:rPr>
                <w:rFonts w:ascii="Arial" w:cs="Arial" w:eastAsia="Arial" w:hAnsi="Arial"/>
                <w:sz w:val="13"/>
                <w:szCs w:val="13"/>
                <w:b w:val="1"/>
                <w:bCs w:val="1"/>
                <w:color w:val="auto"/>
              </w:rPr>
              <w:t>6.1%</w:t>
            </w:r>
          </w:p>
        </w:tc>
        <w:tc>
          <w:tcPr>
            <w:tcW w:w="440" w:type="dxa"/>
            <w:vAlign w:val="bottom"/>
            <w:gridSpan w:val="2"/>
          </w:tcPr>
          <w:p>
            <w:pPr>
              <w:jc w:val="center"/>
              <w:spacing w:after="0"/>
              <w:rPr>
                <w:sz w:val="20"/>
                <w:szCs w:val="20"/>
                <w:color w:val="auto"/>
              </w:rPr>
            </w:pPr>
            <w:r>
              <w:rPr>
                <w:rFonts w:ascii="Arial" w:cs="Arial" w:eastAsia="Arial" w:hAnsi="Arial"/>
                <w:sz w:val="13"/>
                <w:szCs w:val="13"/>
                <w:b w:val="1"/>
                <w:bCs w:val="1"/>
                <w:color w:val="auto"/>
              </w:rPr>
              <w:t>8.4%</w:t>
            </w:r>
          </w:p>
        </w:tc>
        <w:tc>
          <w:tcPr>
            <w:tcW w:w="16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7"/>
        </w:trPr>
        <w:tc>
          <w:tcPr>
            <w:tcW w:w="4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32,745,300</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33,726,365</w:t>
            </w:r>
          </w:p>
        </w:tc>
        <w:tc>
          <w:tcPr>
            <w:tcW w:w="11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35,280,134</w:t>
            </w: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rPr>
              <w:t>4.6%</w:t>
            </w: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7.7%</w:t>
            </w:r>
          </w:p>
        </w:tc>
        <w:tc>
          <w:tcPr>
            <w:tcW w:w="160" w:type="dxa"/>
            <w:vAlign w:val="bottom"/>
            <w:tcBorders>
              <w:bottom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44"/>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134"/>
        </w:trPr>
        <w:tc>
          <w:tcPr>
            <w:tcW w:w="42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960" w:type="dxa"/>
            <w:vAlign w:val="bottom"/>
            <w:shd w:val="clear" w:color="auto" w:fill="2AD2C9"/>
          </w:tcPr>
          <w:p>
            <w:pPr>
              <w:spacing w:after="0"/>
              <w:rPr>
                <w:sz w:val="11"/>
                <w:szCs w:val="11"/>
                <w:color w:val="auto"/>
              </w:rPr>
            </w:pPr>
          </w:p>
        </w:tc>
        <w:tc>
          <w:tcPr>
            <w:tcW w:w="860" w:type="dxa"/>
            <w:vAlign w:val="bottom"/>
            <w:shd w:val="clear" w:color="auto" w:fill="2AD2C9"/>
          </w:tcPr>
          <w:p>
            <w:pPr>
              <w:jc w:val="right"/>
              <w:ind w:right="253"/>
              <w:spacing w:after="0" w:line="134" w:lineRule="exact"/>
              <w:rPr>
                <w:sz w:val="20"/>
                <w:szCs w:val="20"/>
                <w:color w:val="auto"/>
              </w:rPr>
            </w:pPr>
            <w:r>
              <w:rPr>
                <w:rFonts w:ascii="Arial" w:cs="Arial" w:eastAsia="Arial" w:hAnsi="Arial"/>
                <w:sz w:val="13"/>
                <w:szCs w:val="13"/>
                <w:b w:val="1"/>
                <w:bCs w:val="1"/>
                <w:color w:val="FFFFFF"/>
              </w:rPr>
              <w:t>Quarter</w:t>
            </w:r>
          </w:p>
        </w:tc>
        <w:tc>
          <w:tcPr>
            <w:tcW w:w="240" w:type="dxa"/>
            <w:vAlign w:val="bottom"/>
            <w:shd w:val="clear" w:color="auto" w:fill="2AD2C9"/>
          </w:tcPr>
          <w:p>
            <w:pPr>
              <w:spacing w:after="0"/>
              <w:rPr>
                <w:sz w:val="11"/>
                <w:szCs w:val="11"/>
                <w:color w:val="auto"/>
              </w:rPr>
            </w:pPr>
          </w:p>
        </w:tc>
        <w:tc>
          <w:tcPr>
            <w:tcW w:w="500" w:type="dxa"/>
            <w:vAlign w:val="bottom"/>
            <w:tcBorders>
              <w:right w:val="single" w:sz="8" w:color="auto"/>
            </w:tcBorders>
            <w:shd w:val="clear" w:color="auto" w:fill="2AD2C9"/>
          </w:tcPr>
          <w:p>
            <w:pPr>
              <w:spacing w:after="0"/>
              <w:rPr>
                <w:sz w:val="11"/>
                <w:szCs w:val="11"/>
                <w:color w:val="auto"/>
              </w:rPr>
            </w:pPr>
          </w:p>
        </w:tc>
        <w:tc>
          <w:tcPr>
            <w:tcW w:w="1480" w:type="dxa"/>
            <w:vAlign w:val="bottom"/>
            <w:gridSpan w:val="3"/>
            <w:shd w:val="clear" w:color="auto" w:fill="2AD2C9"/>
          </w:tcPr>
          <w:p>
            <w:pPr>
              <w:ind w:left="520"/>
              <w:spacing w:after="0" w:line="134" w:lineRule="exact"/>
              <w:rPr>
                <w:sz w:val="20"/>
                <w:szCs w:val="20"/>
                <w:color w:val="auto"/>
              </w:rPr>
            </w:pPr>
            <w:r>
              <w:rPr>
                <w:rFonts w:ascii="Arial" w:cs="Arial" w:eastAsia="Arial" w:hAnsi="Arial"/>
                <w:sz w:val="13"/>
                <w:szCs w:val="13"/>
                <w:b w:val="1"/>
                <w:bCs w:val="1"/>
                <w:color w:val="FFFFFF"/>
              </w:rPr>
              <w:t>% change</w:t>
            </w:r>
          </w:p>
        </w:tc>
        <w:tc>
          <w:tcPr>
            <w:tcW w:w="220" w:type="dxa"/>
            <w:vAlign w:val="bottom"/>
            <w:tcBorders>
              <w:right w:val="single" w:sz="8" w:color="auto"/>
            </w:tcBorders>
            <w:shd w:val="clear" w:color="auto" w:fill="2AD2C9"/>
          </w:tcPr>
          <w:p>
            <w:pPr>
              <w:spacing w:after="0"/>
              <w:rPr>
                <w:sz w:val="11"/>
                <w:szCs w:val="11"/>
                <w:color w:val="auto"/>
              </w:rPr>
            </w:pPr>
          </w:p>
        </w:tc>
        <w:tc>
          <w:tcPr>
            <w:tcW w:w="220" w:type="dxa"/>
            <w:vAlign w:val="bottom"/>
            <w:shd w:val="clear" w:color="auto" w:fill="2AD2C9"/>
          </w:tcPr>
          <w:p>
            <w:pPr>
              <w:spacing w:after="0"/>
              <w:rPr>
                <w:sz w:val="11"/>
                <w:szCs w:val="11"/>
                <w:color w:val="auto"/>
              </w:rPr>
            </w:pPr>
          </w:p>
        </w:tc>
        <w:tc>
          <w:tcPr>
            <w:tcW w:w="160" w:type="dxa"/>
            <w:vAlign w:val="bottom"/>
            <w:tcBorders>
              <w:right w:val="single" w:sz="8" w:color="2AD2C9"/>
            </w:tcBorders>
            <w:shd w:val="clear" w:color="auto" w:fill="2AD2C9"/>
          </w:tcPr>
          <w:p>
            <w:pPr>
              <w:spacing w:after="0"/>
              <w:rPr>
                <w:sz w:val="11"/>
                <w:szCs w:val="11"/>
                <w:color w:val="auto"/>
              </w:rPr>
            </w:pPr>
          </w:p>
        </w:tc>
        <w:tc>
          <w:tcPr>
            <w:tcW w:w="660" w:type="dxa"/>
            <w:vAlign w:val="bottom"/>
            <w:shd w:val="clear" w:color="auto" w:fill="2AD2C9"/>
          </w:tcPr>
          <w:p>
            <w:pPr>
              <w:jc w:val="right"/>
              <w:spacing w:after="0" w:line="134" w:lineRule="exact"/>
              <w:rPr>
                <w:sz w:val="20"/>
                <w:szCs w:val="20"/>
                <w:color w:val="auto"/>
              </w:rPr>
            </w:pPr>
            <w:r>
              <w:rPr>
                <w:rFonts w:ascii="Arial" w:cs="Arial" w:eastAsia="Arial" w:hAnsi="Arial"/>
                <w:sz w:val="13"/>
                <w:szCs w:val="13"/>
                <w:b w:val="1"/>
                <w:bCs w:val="1"/>
                <w:color w:val="FFFFFF"/>
              </w:rPr>
              <w:t>Year</w:t>
            </w:r>
          </w:p>
        </w:tc>
        <w:tc>
          <w:tcPr>
            <w:tcW w:w="720" w:type="dxa"/>
            <w:vAlign w:val="bottom"/>
            <w:tcBorders>
              <w:right w:val="single" w:sz="8" w:color="auto"/>
            </w:tcBorders>
            <w:shd w:val="clear" w:color="auto" w:fill="2AD2C9"/>
          </w:tcPr>
          <w:p>
            <w:pPr>
              <w:spacing w:after="0"/>
              <w:rPr>
                <w:sz w:val="11"/>
                <w:szCs w:val="11"/>
                <w:color w:val="auto"/>
              </w:rPr>
            </w:pPr>
          </w:p>
        </w:tc>
        <w:tc>
          <w:tcPr>
            <w:tcW w:w="880" w:type="dxa"/>
            <w:vAlign w:val="bottom"/>
            <w:tcBorders>
              <w:right w:val="single" w:sz="8" w:color="auto"/>
            </w:tcBorders>
            <w:shd w:val="clear" w:color="auto" w:fill="2AD2C9"/>
          </w:tcPr>
          <w:p>
            <w:pPr>
              <w:jc w:val="center"/>
              <w:spacing w:after="0" w:line="134" w:lineRule="exact"/>
              <w:rPr>
                <w:sz w:val="20"/>
                <w:szCs w:val="20"/>
                <w:color w:val="auto"/>
              </w:rPr>
            </w:pPr>
            <w:r>
              <w:rPr>
                <w:rFonts w:ascii="Arial" w:cs="Arial" w:eastAsia="Arial" w:hAnsi="Arial"/>
                <w:sz w:val="13"/>
                <w:szCs w:val="13"/>
                <w:b w:val="1"/>
                <w:bCs w:val="1"/>
                <w:color w:val="FFFFFF"/>
              </w:rPr>
              <w:t>% Change</w:t>
            </w:r>
          </w:p>
        </w:tc>
      </w:tr>
      <w:tr>
        <w:trPr>
          <w:trHeight w:val="161"/>
        </w:trPr>
        <w:tc>
          <w:tcPr>
            <w:tcW w:w="420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4Q21</w:t>
            </w:r>
          </w:p>
        </w:tc>
        <w:tc>
          <w:tcPr>
            <w:tcW w:w="860" w:type="dxa"/>
            <w:vAlign w:val="bottom"/>
            <w:tcBorders>
              <w:bottom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3Q22</w:t>
            </w:r>
          </w:p>
        </w:tc>
        <w:tc>
          <w:tcPr>
            <w:tcW w:w="740" w:type="dxa"/>
            <w:vAlign w:val="bottom"/>
            <w:tcBorders>
              <w:bottom w:val="single" w:sz="8" w:color="auto"/>
              <w:right w:val="single" w:sz="8" w:color="auto"/>
            </w:tcBorders>
            <w:gridSpan w:val="2"/>
            <w:shd w:val="clear" w:color="auto" w:fill="2AD2C9"/>
          </w:tcPr>
          <w:p>
            <w:pPr>
              <w:jc w:val="right"/>
              <w:ind w:right="233"/>
              <w:spacing w:after="0"/>
              <w:rPr>
                <w:sz w:val="20"/>
                <w:szCs w:val="20"/>
                <w:color w:val="auto"/>
              </w:rPr>
            </w:pPr>
            <w:r>
              <w:rPr>
                <w:rFonts w:ascii="Arial" w:cs="Arial" w:eastAsia="Arial" w:hAnsi="Arial"/>
                <w:sz w:val="13"/>
                <w:szCs w:val="13"/>
                <w:b w:val="1"/>
                <w:bCs w:val="1"/>
                <w:color w:val="FFFFFF"/>
              </w:rPr>
              <w:t>4Q22</w:t>
            </w:r>
          </w:p>
        </w:tc>
        <w:tc>
          <w:tcPr>
            <w:tcW w:w="700" w:type="dxa"/>
            <w:vAlign w:val="bottom"/>
            <w:tcBorders>
              <w:bottom w:val="single" w:sz="8" w:color="auto"/>
            </w:tcBorders>
            <w:gridSpan w:val="2"/>
            <w:shd w:val="clear" w:color="auto" w:fill="2AD2C9"/>
          </w:tcPr>
          <w:p>
            <w:pPr>
              <w:jc w:val="center"/>
              <w:ind w:left="53"/>
              <w:spacing w:after="0"/>
              <w:rPr>
                <w:sz w:val="20"/>
                <w:szCs w:val="20"/>
                <w:color w:val="auto"/>
              </w:rPr>
            </w:pPr>
            <w:r>
              <w:rPr>
                <w:rFonts w:ascii="Arial" w:cs="Arial" w:eastAsia="Arial" w:hAnsi="Arial"/>
                <w:sz w:val="13"/>
                <w:szCs w:val="13"/>
                <w:b w:val="1"/>
                <w:bCs w:val="1"/>
                <w:color w:val="FFFFFF"/>
              </w:rPr>
              <w:t>QoQ</w:t>
            </w:r>
          </w:p>
        </w:tc>
        <w:tc>
          <w:tcPr>
            <w:tcW w:w="780" w:type="dxa"/>
            <w:vAlign w:val="bottom"/>
            <w:tcBorders>
              <w:bottom w:val="single" w:sz="8" w:color="auto"/>
            </w:tcBorders>
            <w:shd w:val="clear" w:color="auto" w:fill="2AD2C9"/>
          </w:tcPr>
          <w:p>
            <w:pPr>
              <w:jc w:val="center"/>
              <w:ind w:left="253"/>
              <w:spacing w:after="0"/>
              <w:rPr>
                <w:sz w:val="20"/>
                <w:szCs w:val="20"/>
                <w:color w:val="auto"/>
              </w:rPr>
            </w:pPr>
            <w:r>
              <w:rPr>
                <w:rFonts w:ascii="Arial" w:cs="Arial" w:eastAsia="Arial" w:hAnsi="Arial"/>
                <w:sz w:val="13"/>
                <w:szCs w:val="13"/>
                <w:b w:val="1"/>
                <w:bCs w:val="1"/>
                <w:color w:val="FFFFFF"/>
              </w:rPr>
              <w:t>YoY</w:t>
            </w:r>
          </w:p>
        </w:tc>
        <w:tc>
          <w:tcPr>
            <w:tcW w:w="220" w:type="dxa"/>
            <w:vAlign w:val="bottom"/>
            <w:tcBorders>
              <w:bottom w:val="single" w:sz="8" w:color="auto"/>
              <w:right w:val="single" w:sz="8" w:color="auto"/>
            </w:tcBorders>
            <w:shd w:val="clear" w:color="auto" w:fill="2AD2C9"/>
          </w:tcPr>
          <w:p>
            <w:pPr>
              <w:spacing w:after="0"/>
              <w:rPr>
                <w:sz w:val="13"/>
                <w:szCs w:val="13"/>
                <w:color w:val="auto"/>
              </w:rPr>
            </w:pPr>
          </w:p>
        </w:tc>
        <w:tc>
          <w:tcPr>
            <w:tcW w:w="220" w:type="dxa"/>
            <w:vAlign w:val="bottom"/>
            <w:tcBorders>
              <w:bottom w:val="single" w:sz="8" w:color="auto"/>
            </w:tcBorders>
            <w:shd w:val="clear" w:color="auto" w:fill="2AD2C9"/>
          </w:tcPr>
          <w:p>
            <w:pPr>
              <w:spacing w:after="0"/>
              <w:rPr>
                <w:sz w:val="13"/>
                <w:szCs w:val="13"/>
                <w:color w:val="auto"/>
              </w:rPr>
            </w:pPr>
          </w:p>
        </w:tc>
        <w:tc>
          <w:tcPr>
            <w:tcW w:w="820" w:type="dxa"/>
            <w:vAlign w:val="bottom"/>
            <w:tcBorders>
              <w:bottom w:val="single" w:sz="8" w:color="auto"/>
            </w:tcBorders>
            <w:gridSpan w:val="2"/>
            <w:shd w:val="clear" w:color="auto" w:fill="2AD2C9"/>
          </w:tcPr>
          <w:p>
            <w:pPr>
              <w:jc w:val="right"/>
              <w:ind w:right="413"/>
              <w:spacing w:after="0"/>
              <w:rPr>
                <w:sz w:val="20"/>
                <w:szCs w:val="20"/>
                <w:color w:val="auto"/>
              </w:rPr>
            </w:pPr>
            <w:r>
              <w:rPr>
                <w:rFonts w:ascii="Arial" w:cs="Arial" w:eastAsia="Arial" w:hAnsi="Arial"/>
                <w:sz w:val="13"/>
                <w:szCs w:val="13"/>
                <w:b w:val="1"/>
                <w:bCs w:val="1"/>
                <w:color w:val="FFFFFF"/>
              </w:rPr>
              <w:t>2021</w:t>
            </w:r>
          </w:p>
        </w:tc>
        <w:tc>
          <w:tcPr>
            <w:tcW w:w="720" w:type="dxa"/>
            <w:vAlign w:val="bottom"/>
            <w:tcBorders>
              <w:bottom w:val="single" w:sz="8" w:color="auto"/>
              <w:right w:val="single" w:sz="8" w:color="auto"/>
            </w:tcBorders>
            <w:shd w:val="clear" w:color="auto" w:fill="2AD2C9"/>
          </w:tcPr>
          <w:p>
            <w:pPr>
              <w:jc w:val="right"/>
              <w:ind w:right="253"/>
              <w:spacing w:after="0"/>
              <w:rPr>
                <w:sz w:val="20"/>
                <w:szCs w:val="20"/>
                <w:color w:val="auto"/>
              </w:rPr>
            </w:pPr>
            <w:r>
              <w:rPr>
                <w:rFonts w:ascii="Arial" w:cs="Arial" w:eastAsia="Arial" w:hAnsi="Arial"/>
                <w:sz w:val="13"/>
                <w:szCs w:val="13"/>
                <w:b w:val="1"/>
                <w:bCs w:val="1"/>
                <w:color w:val="FFFFFF"/>
              </w:rPr>
              <w:t>2022</w:t>
            </w:r>
          </w:p>
        </w:tc>
        <w:tc>
          <w:tcPr>
            <w:tcW w:w="8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2022/2021</w:t>
            </w:r>
          </w:p>
        </w:tc>
      </w:tr>
      <w:tr>
        <w:trPr>
          <w:trHeight w:val="178"/>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Interest income</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r>
      <w:tr>
        <w:trPr>
          <w:trHeight w:val="260"/>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Net share of the income from investments in subsidiaries and associates</w:t>
            </w:r>
          </w:p>
        </w:tc>
        <w:tc>
          <w:tcPr>
            <w:tcW w:w="960" w:type="dxa"/>
            <w:vAlign w:val="bottom"/>
          </w:tcPr>
          <w:p>
            <w:pPr>
              <w:jc w:val="right"/>
              <w:ind w:right="133"/>
              <w:spacing w:after="0"/>
              <w:rPr>
                <w:sz w:val="20"/>
                <w:szCs w:val="20"/>
                <w:color w:val="auto"/>
              </w:rPr>
            </w:pPr>
            <w:r>
              <w:rPr>
                <w:rFonts w:ascii="Arial" w:cs="Arial" w:eastAsia="Arial" w:hAnsi="Arial"/>
                <w:sz w:val="13"/>
                <w:szCs w:val="13"/>
                <w:color w:val="auto"/>
              </w:rPr>
              <w:t>1,092,707</w:t>
            </w:r>
          </w:p>
        </w:tc>
        <w:tc>
          <w:tcPr>
            <w:tcW w:w="860" w:type="dxa"/>
            <w:vAlign w:val="bottom"/>
          </w:tcPr>
          <w:p>
            <w:pPr>
              <w:jc w:val="right"/>
              <w:ind w:right="133"/>
              <w:spacing w:after="0"/>
              <w:rPr>
                <w:sz w:val="20"/>
                <w:szCs w:val="20"/>
                <w:color w:val="auto"/>
              </w:rPr>
            </w:pPr>
            <w:r>
              <w:rPr>
                <w:rFonts w:ascii="Arial" w:cs="Arial" w:eastAsia="Arial" w:hAnsi="Arial"/>
                <w:sz w:val="13"/>
                <w:szCs w:val="13"/>
                <w:color w:val="auto"/>
              </w:rPr>
              <w:t>1,379,036</w:t>
            </w:r>
          </w:p>
        </w:tc>
        <w:tc>
          <w:tcPr>
            <w:tcW w:w="740" w:type="dxa"/>
            <w:vAlign w:val="bottom"/>
            <w:tcBorders>
              <w:right w:val="single" w:sz="8" w:color="auto"/>
            </w:tcBorders>
            <w:gridSpan w:val="2"/>
          </w:tcPr>
          <w:p>
            <w:pPr>
              <w:jc w:val="right"/>
              <w:ind w:right="13"/>
              <w:spacing w:after="0"/>
              <w:rPr>
                <w:sz w:val="20"/>
                <w:szCs w:val="20"/>
                <w:color w:val="auto"/>
              </w:rPr>
            </w:pPr>
            <w:r>
              <w:rPr>
                <w:rFonts w:ascii="Arial" w:cs="Arial" w:eastAsia="Arial" w:hAnsi="Arial"/>
                <w:sz w:val="13"/>
                <w:szCs w:val="13"/>
                <w:color w:val="auto"/>
              </w:rPr>
              <w:t>1,115,614</w:t>
            </w:r>
          </w:p>
        </w:tc>
        <w:tc>
          <w:tcPr>
            <w:tcW w:w="700" w:type="dxa"/>
            <w:vAlign w:val="bottom"/>
            <w:gridSpan w:val="2"/>
          </w:tcPr>
          <w:p>
            <w:pPr>
              <w:jc w:val="center"/>
              <w:ind w:left="53"/>
              <w:spacing w:after="0"/>
              <w:rPr>
                <w:sz w:val="20"/>
                <w:szCs w:val="20"/>
                <w:color w:val="auto"/>
              </w:rPr>
            </w:pPr>
            <w:r>
              <w:rPr>
                <w:rFonts w:ascii="Arial" w:cs="Arial" w:eastAsia="Arial" w:hAnsi="Arial"/>
                <w:sz w:val="13"/>
                <w:szCs w:val="13"/>
                <w:color w:val="auto"/>
              </w:rPr>
              <w:t>-19.1%</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2.1%</w:t>
            </w:r>
          </w:p>
        </w:tc>
        <w:tc>
          <w:tcPr>
            <w:tcW w:w="22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53"/>
              <w:spacing w:after="0"/>
              <w:rPr>
                <w:sz w:val="20"/>
                <w:szCs w:val="20"/>
                <w:color w:val="auto"/>
              </w:rPr>
            </w:pPr>
            <w:r>
              <w:rPr>
                <w:rFonts w:ascii="Arial" w:cs="Arial" w:eastAsia="Arial" w:hAnsi="Arial"/>
                <w:sz w:val="13"/>
                <w:szCs w:val="13"/>
                <w:color w:val="auto"/>
              </w:rPr>
              <w:t>3,751,366</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5,156,494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37.5%</w:t>
            </w:r>
          </w:p>
        </w:tc>
      </w:tr>
      <w:tr>
        <w:trPr>
          <w:trHeight w:val="151"/>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Interest and similar income</w:t>
            </w:r>
          </w:p>
        </w:tc>
        <w:tc>
          <w:tcPr>
            <w:tcW w:w="960" w:type="dxa"/>
            <w:vAlign w:val="bottom"/>
          </w:tcPr>
          <w:p>
            <w:pPr>
              <w:jc w:val="right"/>
              <w:ind w:right="133"/>
              <w:spacing w:after="0"/>
              <w:rPr>
                <w:sz w:val="20"/>
                <w:szCs w:val="20"/>
                <w:color w:val="auto"/>
              </w:rPr>
            </w:pPr>
            <w:r>
              <w:rPr>
                <w:rFonts w:ascii="Arial" w:cs="Arial" w:eastAsia="Arial" w:hAnsi="Arial"/>
                <w:sz w:val="13"/>
                <w:szCs w:val="13"/>
                <w:color w:val="auto"/>
              </w:rPr>
              <w:t>308</w:t>
            </w:r>
          </w:p>
        </w:tc>
        <w:tc>
          <w:tcPr>
            <w:tcW w:w="860" w:type="dxa"/>
            <w:vAlign w:val="bottom"/>
          </w:tcPr>
          <w:p>
            <w:pPr>
              <w:jc w:val="right"/>
              <w:ind w:right="133"/>
              <w:spacing w:after="0"/>
              <w:rPr>
                <w:sz w:val="20"/>
                <w:szCs w:val="20"/>
                <w:color w:val="auto"/>
              </w:rPr>
            </w:pPr>
            <w:r>
              <w:rPr>
                <w:rFonts w:ascii="Arial" w:cs="Arial" w:eastAsia="Arial" w:hAnsi="Arial"/>
                <w:sz w:val="13"/>
                <w:szCs w:val="13"/>
                <w:color w:val="auto"/>
              </w:rPr>
              <w:t>307</w:t>
            </w:r>
          </w:p>
        </w:tc>
        <w:tc>
          <w:tcPr>
            <w:tcW w:w="240" w:type="dxa"/>
            <w:vAlign w:val="bottom"/>
          </w:tcPr>
          <w:p>
            <w:pPr>
              <w:spacing w:after="0"/>
              <w:rPr>
                <w:sz w:val="13"/>
                <w:szCs w:val="13"/>
                <w:color w:val="auto"/>
              </w:rPr>
            </w:pPr>
          </w:p>
        </w:tc>
        <w:tc>
          <w:tcPr>
            <w:tcW w:w="5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1,040</w:t>
            </w:r>
          </w:p>
        </w:tc>
        <w:tc>
          <w:tcPr>
            <w:tcW w:w="700" w:type="dxa"/>
            <w:vAlign w:val="bottom"/>
            <w:gridSpan w:val="2"/>
          </w:tcPr>
          <w:p>
            <w:pPr>
              <w:jc w:val="center"/>
              <w:ind w:left="53"/>
              <w:spacing w:after="0"/>
              <w:rPr>
                <w:sz w:val="20"/>
                <w:szCs w:val="20"/>
                <w:color w:val="auto"/>
              </w:rPr>
            </w:pPr>
            <w:r>
              <w:rPr>
                <w:rFonts w:ascii="Arial" w:cs="Arial" w:eastAsia="Arial" w:hAnsi="Arial"/>
                <w:sz w:val="13"/>
                <w:szCs w:val="13"/>
                <w:color w:val="auto"/>
              </w:rPr>
              <w:t>238.8%</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237.7%</w:t>
            </w:r>
          </w:p>
        </w:tc>
        <w:tc>
          <w:tcPr>
            <w:tcW w:w="2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53"/>
              <w:spacing w:after="0"/>
              <w:rPr>
                <w:sz w:val="20"/>
                <w:szCs w:val="20"/>
                <w:color w:val="auto"/>
              </w:rPr>
            </w:pPr>
            <w:r>
              <w:rPr>
                <w:rFonts w:ascii="Arial" w:cs="Arial" w:eastAsia="Arial" w:hAnsi="Arial"/>
                <w:sz w:val="13"/>
                <w:szCs w:val="13"/>
                <w:color w:val="auto"/>
              </w:rPr>
              <w:t>24,317</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8,701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-64.2%</w:t>
            </w:r>
          </w:p>
        </w:tc>
      </w:tr>
      <w:tr>
        <w:trPr>
          <w:trHeight w:val="149"/>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Net gain on financial assets at fair value through profit or loss</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(2,258)</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(10,214)</w:t>
            </w:r>
          </w:p>
        </w:tc>
        <w:tc>
          <w:tcPr>
            <w:tcW w:w="240" w:type="dxa"/>
            <w:vAlign w:val="bottom"/>
          </w:tcPr>
          <w:p>
            <w:pPr>
              <w:spacing w:after="0"/>
              <w:rPr>
                <w:sz w:val="12"/>
                <w:szCs w:val="12"/>
                <w:color w:val="auto"/>
              </w:rPr>
            </w:pPr>
          </w:p>
        </w:tc>
        <w:tc>
          <w:tcPr>
            <w:tcW w:w="5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32,597</w:t>
            </w:r>
          </w:p>
        </w:tc>
        <w:tc>
          <w:tcPr>
            <w:tcW w:w="700" w:type="dxa"/>
            <w:vAlign w:val="bottom"/>
            <w:gridSpan w:val="2"/>
          </w:tcPr>
          <w:p>
            <w:pPr>
              <w:jc w:val="center"/>
              <w:ind w:left="53"/>
              <w:spacing w:after="0"/>
              <w:rPr>
                <w:sz w:val="20"/>
                <w:szCs w:val="20"/>
                <w:color w:val="auto"/>
              </w:rPr>
            </w:pPr>
            <w:r>
              <w:rPr>
                <w:rFonts w:ascii="Arial" w:cs="Arial" w:eastAsia="Arial" w:hAnsi="Arial"/>
                <w:sz w:val="13"/>
                <w:szCs w:val="13"/>
                <w:color w:val="auto"/>
              </w:rPr>
              <w:t>-419.1%</w:t>
            </w:r>
          </w:p>
        </w:tc>
        <w:tc>
          <w:tcPr>
            <w:tcW w:w="1000" w:type="dxa"/>
            <w:vAlign w:val="bottom"/>
            <w:tcBorders>
              <w:right w:val="single" w:sz="8" w:color="auto"/>
            </w:tcBorders>
            <w:gridSpan w:val="2"/>
          </w:tcPr>
          <w:p>
            <w:pPr>
              <w:jc w:val="center"/>
              <w:ind w:left="33"/>
              <w:spacing w:after="0"/>
              <w:rPr>
                <w:sz w:val="20"/>
                <w:szCs w:val="20"/>
                <w:color w:val="auto"/>
              </w:rPr>
            </w:pPr>
            <w:r>
              <w:rPr>
                <w:rFonts w:ascii="Arial" w:cs="Arial" w:eastAsia="Arial" w:hAnsi="Arial"/>
                <w:sz w:val="13"/>
                <w:szCs w:val="13"/>
                <w:color w:val="auto"/>
              </w:rPr>
              <w:t>-1543.6%</w:t>
            </w:r>
          </w:p>
        </w:tc>
        <w:tc>
          <w:tcPr>
            <w:tcW w:w="220" w:type="dxa"/>
            <w:vAlign w:val="bottom"/>
          </w:tcPr>
          <w:p>
            <w:pPr>
              <w:spacing w:after="0"/>
              <w:rPr>
                <w:sz w:val="12"/>
                <w:szCs w:val="12"/>
                <w:color w:val="auto"/>
              </w:rPr>
            </w:pPr>
          </w:p>
        </w:tc>
        <w:tc>
          <w:tcPr>
            <w:tcW w:w="820" w:type="dxa"/>
            <w:vAlign w:val="bottom"/>
            <w:gridSpan w:val="2"/>
          </w:tcPr>
          <w:p>
            <w:pPr>
              <w:jc w:val="right"/>
              <w:ind w:right="153"/>
              <w:spacing w:after="0"/>
              <w:rPr>
                <w:sz w:val="20"/>
                <w:szCs w:val="20"/>
                <w:color w:val="auto"/>
              </w:rPr>
            </w:pPr>
            <w:r>
              <w:rPr>
                <w:rFonts w:ascii="Arial" w:cs="Arial" w:eastAsia="Arial" w:hAnsi="Arial"/>
                <w:sz w:val="13"/>
                <w:szCs w:val="13"/>
                <w:color w:val="auto"/>
              </w:rPr>
              <w:t>2,006</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(45,831)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r>
      <w:tr>
        <w:trPr>
          <w:trHeight w:val="185"/>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income</w:t>
            </w:r>
          </w:p>
        </w:tc>
        <w:tc>
          <w:tcPr>
            <w:tcW w:w="960" w:type="dxa"/>
            <w:vAlign w:val="bottom"/>
          </w:tcPr>
          <w:p>
            <w:pPr>
              <w:jc w:val="right"/>
              <w:ind w:right="133"/>
              <w:spacing w:after="0"/>
              <w:rPr>
                <w:sz w:val="20"/>
                <w:szCs w:val="20"/>
                <w:color w:val="auto"/>
              </w:rPr>
            </w:pPr>
            <w:r>
              <w:rPr>
                <w:rFonts w:ascii="Arial" w:cs="Arial" w:eastAsia="Arial" w:hAnsi="Arial"/>
                <w:sz w:val="13"/>
                <w:szCs w:val="13"/>
                <w:b w:val="1"/>
                <w:bCs w:val="1"/>
                <w:color w:val="auto"/>
              </w:rPr>
              <w:t>1,090,757</w:t>
            </w:r>
          </w:p>
        </w:tc>
        <w:tc>
          <w:tcPr>
            <w:tcW w:w="860" w:type="dxa"/>
            <w:vAlign w:val="bottom"/>
          </w:tcPr>
          <w:p>
            <w:pPr>
              <w:jc w:val="right"/>
              <w:ind w:right="133"/>
              <w:spacing w:after="0"/>
              <w:rPr>
                <w:sz w:val="20"/>
                <w:szCs w:val="20"/>
                <w:color w:val="auto"/>
              </w:rPr>
            </w:pPr>
            <w:r>
              <w:rPr>
                <w:rFonts w:ascii="Arial" w:cs="Arial" w:eastAsia="Arial" w:hAnsi="Arial"/>
                <w:sz w:val="13"/>
                <w:szCs w:val="13"/>
                <w:b w:val="1"/>
                <w:bCs w:val="1"/>
                <w:color w:val="auto"/>
              </w:rPr>
              <w:t>1,369,129</w:t>
            </w:r>
          </w:p>
        </w:tc>
        <w:tc>
          <w:tcPr>
            <w:tcW w:w="740" w:type="dxa"/>
            <w:vAlign w:val="bottom"/>
            <w:tcBorders>
              <w:right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1,149,251</w:t>
            </w:r>
          </w:p>
        </w:tc>
        <w:tc>
          <w:tcPr>
            <w:tcW w:w="700" w:type="dxa"/>
            <w:vAlign w:val="bottom"/>
            <w:gridSpan w:val="2"/>
          </w:tcPr>
          <w:p>
            <w:pPr>
              <w:jc w:val="center"/>
              <w:ind w:left="53"/>
              <w:spacing w:after="0"/>
              <w:rPr>
                <w:sz w:val="20"/>
                <w:szCs w:val="20"/>
                <w:color w:val="auto"/>
              </w:rPr>
            </w:pPr>
            <w:r>
              <w:rPr>
                <w:rFonts w:ascii="Arial" w:cs="Arial" w:eastAsia="Arial" w:hAnsi="Arial"/>
                <w:sz w:val="13"/>
                <w:szCs w:val="13"/>
                <w:color w:val="auto"/>
              </w:rPr>
              <w:t>-16.1%</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5.4%</w:t>
            </w:r>
          </w:p>
        </w:tc>
        <w:tc>
          <w:tcPr>
            <w:tcW w:w="2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3,777,689</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5,119,364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35.5%</w:t>
            </w:r>
          </w:p>
        </w:tc>
      </w:tr>
      <w:tr>
        <w:trPr>
          <w:trHeight w:val="270"/>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Interest and similar expense</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(15,018)</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(19,155)</w:t>
            </w:r>
          </w:p>
        </w:tc>
        <w:tc>
          <w:tcPr>
            <w:tcW w:w="74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(20,550)</w:t>
            </w:r>
          </w:p>
        </w:tc>
        <w:tc>
          <w:tcPr>
            <w:tcW w:w="620" w:type="dxa"/>
            <w:vAlign w:val="bottom"/>
          </w:tcPr>
          <w:p>
            <w:pPr>
              <w:jc w:val="center"/>
              <w:ind w:left="133"/>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23"/>
                <w:szCs w:val="23"/>
                <w:color w:val="auto"/>
              </w:rPr>
            </w:pP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36.8%</w:t>
            </w:r>
          </w:p>
        </w:tc>
        <w:tc>
          <w:tcPr>
            <w:tcW w:w="220" w:type="dxa"/>
            <w:vAlign w:val="bottom"/>
            <w:tcBorders>
              <w:righ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113"/>
              <w:spacing w:after="0"/>
              <w:rPr>
                <w:sz w:val="20"/>
                <w:szCs w:val="20"/>
                <w:color w:val="auto"/>
              </w:rPr>
            </w:pPr>
            <w:r>
              <w:rPr>
                <w:rFonts w:ascii="Arial" w:cs="Arial" w:eastAsia="Arial" w:hAnsi="Arial"/>
                <w:sz w:val="13"/>
                <w:szCs w:val="13"/>
                <w:color w:val="auto"/>
              </w:rPr>
              <w:t>(57,899)</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(68,134)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17.7%</w:t>
            </w:r>
          </w:p>
        </w:tc>
      </w:tr>
      <w:tr>
        <w:trPr>
          <w:trHeight w:val="149"/>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Administrative and general expenses</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(7,601)</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(5,908)</w:t>
            </w:r>
          </w:p>
        </w:tc>
        <w:tc>
          <w:tcPr>
            <w:tcW w:w="240" w:type="dxa"/>
            <w:vAlign w:val="bottom"/>
          </w:tcPr>
          <w:p>
            <w:pPr>
              <w:spacing w:after="0"/>
              <w:rPr>
                <w:sz w:val="12"/>
                <w:szCs w:val="12"/>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(9,272)</w:t>
            </w:r>
          </w:p>
        </w:tc>
        <w:tc>
          <w:tcPr>
            <w:tcW w:w="620" w:type="dxa"/>
            <w:vAlign w:val="bottom"/>
          </w:tcPr>
          <w:p>
            <w:pPr>
              <w:jc w:val="center"/>
              <w:ind w:left="133"/>
              <w:spacing w:after="0"/>
              <w:rPr>
                <w:sz w:val="20"/>
                <w:szCs w:val="20"/>
                <w:color w:val="auto"/>
              </w:rPr>
            </w:pPr>
            <w:r>
              <w:rPr>
                <w:rFonts w:ascii="Arial" w:cs="Arial" w:eastAsia="Arial" w:hAnsi="Arial"/>
                <w:sz w:val="13"/>
                <w:szCs w:val="13"/>
                <w:color w:val="auto"/>
              </w:rPr>
              <w:t>56.9%</w:t>
            </w:r>
          </w:p>
        </w:tc>
        <w:tc>
          <w:tcPr>
            <w:tcW w:w="80" w:type="dxa"/>
            <w:vAlign w:val="bottom"/>
          </w:tcPr>
          <w:p>
            <w:pPr>
              <w:spacing w:after="0"/>
              <w:rPr>
                <w:sz w:val="12"/>
                <w:szCs w:val="12"/>
                <w:color w:val="auto"/>
              </w:rPr>
            </w:pP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22.0%</w:t>
            </w:r>
          </w:p>
        </w:tc>
        <w:tc>
          <w:tcPr>
            <w:tcW w:w="2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13"/>
              <w:spacing w:after="0"/>
              <w:rPr>
                <w:sz w:val="20"/>
                <w:szCs w:val="20"/>
                <w:color w:val="auto"/>
              </w:rPr>
            </w:pPr>
            <w:r>
              <w:rPr>
                <w:rFonts w:ascii="Arial" w:cs="Arial" w:eastAsia="Arial" w:hAnsi="Arial"/>
                <w:sz w:val="13"/>
                <w:szCs w:val="13"/>
                <w:color w:val="auto"/>
              </w:rPr>
              <w:t>(20,561)</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(23,205)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12.9%</w:t>
            </w:r>
          </w:p>
        </w:tc>
      </w:tr>
      <w:tr>
        <w:trPr>
          <w:trHeight w:val="185"/>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expenses</w:t>
            </w:r>
          </w:p>
        </w:tc>
        <w:tc>
          <w:tcPr>
            <w:tcW w:w="960" w:type="dxa"/>
            <w:vAlign w:val="bottom"/>
          </w:tcPr>
          <w:p>
            <w:pPr>
              <w:jc w:val="right"/>
              <w:ind w:right="93"/>
              <w:spacing w:after="0"/>
              <w:rPr>
                <w:sz w:val="20"/>
                <w:szCs w:val="20"/>
                <w:color w:val="auto"/>
              </w:rPr>
            </w:pPr>
            <w:r>
              <w:rPr>
                <w:rFonts w:ascii="Arial" w:cs="Arial" w:eastAsia="Arial" w:hAnsi="Arial"/>
                <w:sz w:val="13"/>
                <w:szCs w:val="13"/>
                <w:b w:val="1"/>
                <w:bCs w:val="1"/>
                <w:color w:val="auto"/>
              </w:rPr>
              <w:t>(22,619)</w:t>
            </w:r>
          </w:p>
        </w:tc>
        <w:tc>
          <w:tcPr>
            <w:tcW w:w="860" w:type="dxa"/>
            <w:vAlign w:val="bottom"/>
          </w:tcPr>
          <w:p>
            <w:pPr>
              <w:jc w:val="right"/>
              <w:ind w:right="93"/>
              <w:spacing w:after="0"/>
              <w:rPr>
                <w:sz w:val="20"/>
                <w:szCs w:val="20"/>
                <w:color w:val="auto"/>
              </w:rPr>
            </w:pPr>
            <w:r>
              <w:rPr>
                <w:rFonts w:ascii="Arial" w:cs="Arial" w:eastAsia="Arial" w:hAnsi="Arial"/>
                <w:sz w:val="13"/>
                <w:szCs w:val="13"/>
                <w:b w:val="1"/>
                <w:bCs w:val="1"/>
                <w:color w:val="auto"/>
              </w:rPr>
              <w:t>(25,063)</w:t>
            </w:r>
          </w:p>
        </w:tc>
        <w:tc>
          <w:tcPr>
            <w:tcW w:w="74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(29,822)</w:t>
            </w:r>
          </w:p>
        </w:tc>
        <w:tc>
          <w:tcPr>
            <w:tcW w:w="620" w:type="dxa"/>
            <w:vAlign w:val="bottom"/>
          </w:tcPr>
          <w:p>
            <w:pPr>
              <w:jc w:val="center"/>
              <w:ind w:left="133"/>
              <w:spacing w:after="0"/>
              <w:rPr>
                <w:sz w:val="20"/>
                <w:szCs w:val="20"/>
                <w:color w:val="auto"/>
              </w:rPr>
            </w:pPr>
            <w:r>
              <w:rPr>
                <w:rFonts w:ascii="Arial" w:cs="Arial" w:eastAsia="Arial" w:hAnsi="Arial"/>
                <w:sz w:val="13"/>
                <w:szCs w:val="13"/>
                <w:color w:val="auto"/>
              </w:rPr>
              <w:t>19.0%</w:t>
            </w:r>
          </w:p>
        </w:tc>
        <w:tc>
          <w:tcPr>
            <w:tcW w:w="80" w:type="dxa"/>
            <w:vAlign w:val="bottom"/>
          </w:tcPr>
          <w:p>
            <w:pPr>
              <w:spacing w:after="0"/>
              <w:rPr>
                <w:sz w:val="16"/>
                <w:szCs w:val="16"/>
                <w:color w:val="auto"/>
              </w:rPr>
            </w:pP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31.8%</w:t>
            </w:r>
          </w:p>
        </w:tc>
        <w:tc>
          <w:tcPr>
            <w:tcW w:w="2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(78,460)</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(91,339)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16.4%</w:t>
            </w:r>
          </w:p>
        </w:tc>
      </w:tr>
      <w:tr>
        <w:trPr>
          <w:trHeight w:val="302"/>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Operating income</w:t>
            </w:r>
          </w:p>
        </w:tc>
        <w:tc>
          <w:tcPr>
            <w:tcW w:w="960" w:type="dxa"/>
            <w:vAlign w:val="bottom"/>
          </w:tcPr>
          <w:p>
            <w:pPr>
              <w:jc w:val="right"/>
              <w:ind w:right="133"/>
              <w:spacing w:after="0"/>
              <w:rPr>
                <w:sz w:val="20"/>
                <w:szCs w:val="20"/>
                <w:color w:val="auto"/>
              </w:rPr>
            </w:pPr>
            <w:r>
              <w:rPr>
                <w:rFonts w:ascii="Arial" w:cs="Arial" w:eastAsia="Arial" w:hAnsi="Arial"/>
                <w:sz w:val="13"/>
                <w:szCs w:val="13"/>
                <w:b w:val="1"/>
                <w:bCs w:val="1"/>
                <w:color w:val="auto"/>
              </w:rPr>
              <w:t>1,068,138</w:t>
            </w:r>
          </w:p>
        </w:tc>
        <w:tc>
          <w:tcPr>
            <w:tcW w:w="860" w:type="dxa"/>
            <w:vAlign w:val="bottom"/>
          </w:tcPr>
          <w:p>
            <w:pPr>
              <w:jc w:val="right"/>
              <w:ind w:right="133"/>
              <w:spacing w:after="0"/>
              <w:rPr>
                <w:sz w:val="20"/>
                <w:szCs w:val="20"/>
                <w:color w:val="auto"/>
              </w:rPr>
            </w:pPr>
            <w:r>
              <w:rPr>
                <w:rFonts w:ascii="Arial" w:cs="Arial" w:eastAsia="Arial" w:hAnsi="Arial"/>
                <w:sz w:val="13"/>
                <w:szCs w:val="13"/>
                <w:b w:val="1"/>
                <w:bCs w:val="1"/>
                <w:color w:val="auto"/>
              </w:rPr>
              <w:t>1,344,066</w:t>
            </w:r>
          </w:p>
        </w:tc>
        <w:tc>
          <w:tcPr>
            <w:tcW w:w="740" w:type="dxa"/>
            <w:vAlign w:val="bottom"/>
            <w:tcBorders>
              <w:right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1,119,429</w:t>
            </w:r>
          </w:p>
        </w:tc>
        <w:tc>
          <w:tcPr>
            <w:tcW w:w="700" w:type="dxa"/>
            <w:vAlign w:val="bottom"/>
            <w:gridSpan w:val="2"/>
          </w:tcPr>
          <w:p>
            <w:pPr>
              <w:jc w:val="center"/>
              <w:ind w:left="53"/>
              <w:spacing w:after="0"/>
              <w:rPr>
                <w:sz w:val="20"/>
                <w:szCs w:val="20"/>
                <w:color w:val="auto"/>
              </w:rPr>
            </w:pPr>
            <w:r>
              <w:rPr>
                <w:rFonts w:ascii="Arial" w:cs="Arial" w:eastAsia="Arial" w:hAnsi="Arial"/>
                <w:sz w:val="13"/>
                <w:szCs w:val="13"/>
                <w:color w:val="auto"/>
              </w:rPr>
              <w:t>-16.7%</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4.8%</w:t>
            </w:r>
          </w:p>
        </w:tc>
        <w:tc>
          <w:tcPr>
            <w:tcW w:w="2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3,699,229</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5,028,025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35.9%</w:t>
            </w:r>
          </w:p>
        </w:tc>
      </w:tr>
      <w:tr>
        <w:trPr>
          <w:trHeight w:val="270"/>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Net gain (losses) from exchange differences</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(142)</w:t>
            </w:r>
          </w:p>
        </w:tc>
        <w:tc>
          <w:tcPr>
            <w:tcW w:w="860" w:type="dxa"/>
            <w:vAlign w:val="bottom"/>
          </w:tcPr>
          <w:p>
            <w:pPr>
              <w:jc w:val="right"/>
              <w:ind w:right="133"/>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23"/>
                <w:szCs w:val="23"/>
                <w:color w:val="auto"/>
              </w:rPr>
            </w:pPr>
          </w:p>
        </w:tc>
        <w:tc>
          <w:tcPr>
            <w:tcW w:w="5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85</w:t>
            </w:r>
          </w:p>
        </w:tc>
        <w:tc>
          <w:tcPr>
            <w:tcW w:w="700" w:type="dxa"/>
            <w:vAlign w:val="bottom"/>
            <w:gridSpan w:val="2"/>
          </w:tcPr>
          <w:p>
            <w:pPr>
              <w:jc w:val="center"/>
              <w:ind w:left="53"/>
              <w:spacing w:after="0"/>
              <w:rPr>
                <w:sz w:val="20"/>
                <w:szCs w:val="20"/>
                <w:color w:val="auto"/>
              </w:rPr>
            </w:pPr>
            <w:r>
              <w:rPr>
                <w:rFonts w:ascii="Arial" w:cs="Arial" w:eastAsia="Arial" w:hAnsi="Arial"/>
                <w:sz w:val="13"/>
                <w:szCs w:val="13"/>
                <w:color w:val="auto"/>
              </w:rPr>
              <w:t>174.2%</w:t>
            </w:r>
          </w:p>
        </w:tc>
        <w:tc>
          <w:tcPr>
            <w:tcW w:w="1000" w:type="dxa"/>
            <w:vAlign w:val="bottom"/>
            <w:tcBorders>
              <w:right w:val="single" w:sz="8" w:color="auto"/>
            </w:tcBorders>
            <w:gridSpan w:val="2"/>
          </w:tcPr>
          <w:p>
            <w:pPr>
              <w:jc w:val="center"/>
              <w:ind w:left="33"/>
              <w:spacing w:after="0"/>
              <w:rPr>
                <w:sz w:val="20"/>
                <w:szCs w:val="20"/>
                <w:color w:val="auto"/>
              </w:rPr>
            </w:pPr>
            <w:r>
              <w:rPr>
                <w:rFonts w:ascii="Arial" w:cs="Arial" w:eastAsia="Arial" w:hAnsi="Arial"/>
                <w:sz w:val="13"/>
                <w:szCs w:val="13"/>
                <w:color w:val="auto"/>
              </w:rPr>
              <w:t>-159.9%</w:t>
            </w:r>
          </w:p>
        </w:tc>
        <w:tc>
          <w:tcPr>
            <w:tcW w:w="220" w:type="dxa"/>
            <w:vAlign w:val="bottom"/>
          </w:tcPr>
          <w:p>
            <w:pPr>
              <w:spacing w:after="0"/>
              <w:rPr>
                <w:sz w:val="23"/>
                <w:szCs w:val="23"/>
                <w:color w:val="auto"/>
              </w:rPr>
            </w:pPr>
          </w:p>
        </w:tc>
        <w:tc>
          <w:tcPr>
            <w:tcW w:w="820" w:type="dxa"/>
            <w:vAlign w:val="bottom"/>
            <w:gridSpan w:val="2"/>
          </w:tcPr>
          <w:p>
            <w:pPr>
              <w:jc w:val="right"/>
              <w:ind w:right="113"/>
              <w:spacing w:after="0"/>
              <w:rPr>
                <w:sz w:val="20"/>
                <w:szCs w:val="20"/>
                <w:color w:val="auto"/>
              </w:rPr>
            </w:pPr>
            <w:r>
              <w:rPr>
                <w:rFonts w:ascii="Arial" w:cs="Arial" w:eastAsia="Arial" w:hAnsi="Arial"/>
                <w:sz w:val="13"/>
                <w:szCs w:val="13"/>
                <w:color w:val="auto"/>
              </w:rPr>
              <w:t>(1,840)</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(781)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-57.6%</w:t>
            </w:r>
          </w:p>
        </w:tc>
      </w:tr>
      <w:tr>
        <w:trPr>
          <w:trHeight w:val="175"/>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Other, net</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(8)</w:t>
            </w:r>
          </w:p>
        </w:tc>
        <w:tc>
          <w:tcPr>
            <w:tcW w:w="860" w:type="dxa"/>
            <w:vAlign w:val="bottom"/>
          </w:tcPr>
          <w:p>
            <w:pPr>
              <w:jc w:val="right"/>
              <w:ind w:right="133"/>
              <w:spacing w:after="0"/>
              <w:rPr>
                <w:sz w:val="20"/>
                <w:szCs w:val="20"/>
                <w:color w:val="auto"/>
              </w:rPr>
            </w:pPr>
            <w:r>
              <w:rPr>
                <w:rFonts w:ascii="Arial" w:cs="Arial" w:eastAsia="Arial" w:hAnsi="Arial"/>
                <w:sz w:val="13"/>
                <w:szCs w:val="13"/>
                <w:color w:val="auto"/>
              </w:rPr>
              <w:t>231</w:t>
            </w:r>
          </w:p>
        </w:tc>
        <w:tc>
          <w:tcPr>
            <w:tcW w:w="240" w:type="dxa"/>
            <w:vAlign w:val="bottom"/>
          </w:tcPr>
          <w:p>
            <w:pPr>
              <w:spacing w:after="0"/>
              <w:rPr>
                <w:sz w:val="15"/>
                <w:szCs w:val="15"/>
                <w:color w:val="auto"/>
              </w:rPr>
            </w:pPr>
          </w:p>
        </w:tc>
        <w:tc>
          <w:tcPr>
            <w:tcW w:w="5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106</w:t>
            </w:r>
          </w:p>
        </w:tc>
        <w:tc>
          <w:tcPr>
            <w:tcW w:w="700" w:type="dxa"/>
            <w:vAlign w:val="bottom"/>
            <w:gridSpan w:val="2"/>
          </w:tcPr>
          <w:p>
            <w:pPr>
              <w:jc w:val="center"/>
              <w:ind w:left="53"/>
              <w:spacing w:after="0"/>
              <w:rPr>
                <w:sz w:val="20"/>
                <w:szCs w:val="20"/>
                <w:color w:val="auto"/>
              </w:rPr>
            </w:pPr>
            <w:r>
              <w:rPr>
                <w:rFonts w:ascii="Arial" w:cs="Arial" w:eastAsia="Arial" w:hAnsi="Arial"/>
                <w:sz w:val="13"/>
                <w:szCs w:val="13"/>
                <w:color w:val="auto"/>
                <w:w w:val="99"/>
              </w:rPr>
              <w:t>n.a</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w w:val="99"/>
              </w:rPr>
              <w:t>n.a</w:t>
            </w:r>
          </w:p>
        </w:tc>
        <w:tc>
          <w:tcPr>
            <w:tcW w:w="2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13"/>
              <w:spacing w:after="0"/>
              <w:rPr>
                <w:sz w:val="20"/>
                <w:szCs w:val="20"/>
                <w:color w:val="auto"/>
              </w:rPr>
            </w:pPr>
            <w:r>
              <w:rPr>
                <w:rFonts w:ascii="Arial" w:cs="Arial" w:eastAsia="Arial" w:hAnsi="Arial"/>
                <w:sz w:val="13"/>
                <w:szCs w:val="13"/>
                <w:color w:val="auto"/>
              </w:rPr>
              <w:t>(29)</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556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r>
      <w:tr>
        <w:trPr>
          <w:trHeight w:val="278"/>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Profit before income tax</w:t>
            </w:r>
          </w:p>
        </w:tc>
        <w:tc>
          <w:tcPr>
            <w:tcW w:w="960" w:type="dxa"/>
            <w:vAlign w:val="bottom"/>
          </w:tcPr>
          <w:p>
            <w:pPr>
              <w:jc w:val="right"/>
              <w:ind w:right="133"/>
              <w:spacing w:after="0"/>
              <w:rPr>
                <w:sz w:val="20"/>
                <w:szCs w:val="20"/>
                <w:color w:val="auto"/>
              </w:rPr>
            </w:pPr>
            <w:r>
              <w:rPr>
                <w:rFonts w:ascii="Arial" w:cs="Arial" w:eastAsia="Arial" w:hAnsi="Arial"/>
                <w:sz w:val="13"/>
                <w:szCs w:val="13"/>
                <w:b w:val="1"/>
                <w:bCs w:val="1"/>
                <w:color w:val="auto"/>
              </w:rPr>
              <w:t>1,067,988</w:t>
            </w:r>
          </w:p>
        </w:tc>
        <w:tc>
          <w:tcPr>
            <w:tcW w:w="860" w:type="dxa"/>
            <w:vAlign w:val="bottom"/>
          </w:tcPr>
          <w:p>
            <w:pPr>
              <w:jc w:val="right"/>
              <w:ind w:right="133"/>
              <w:spacing w:after="0"/>
              <w:rPr>
                <w:sz w:val="20"/>
                <w:szCs w:val="20"/>
                <w:color w:val="auto"/>
              </w:rPr>
            </w:pPr>
            <w:r>
              <w:rPr>
                <w:rFonts w:ascii="Arial" w:cs="Arial" w:eastAsia="Arial" w:hAnsi="Arial"/>
                <w:sz w:val="13"/>
                <w:szCs w:val="13"/>
                <w:b w:val="1"/>
                <w:bCs w:val="1"/>
                <w:color w:val="auto"/>
              </w:rPr>
              <w:t>1,344,328</w:t>
            </w:r>
          </w:p>
        </w:tc>
        <w:tc>
          <w:tcPr>
            <w:tcW w:w="740" w:type="dxa"/>
            <w:vAlign w:val="bottom"/>
            <w:tcBorders>
              <w:right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1,119,620</w:t>
            </w:r>
          </w:p>
        </w:tc>
        <w:tc>
          <w:tcPr>
            <w:tcW w:w="700" w:type="dxa"/>
            <w:vAlign w:val="bottom"/>
            <w:gridSpan w:val="2"/>
          </w:tcPr>
          <w:p>
            <w:pPr>
              <w:jc w:val="center"/>
              <w:ind w:left="53"/>
              <w:spacing w:after="0"/>
              <w:rPr>
                <w:sz w:val="20"/>
                <w:szCs w:val="20"/>
                <w:color w:val="auto"/>
              </w:rPr>
            </w:pPr>
            <w:r>
              <w:rPr>
                <w:rFonts w:ascii="Arial" w:cs="Arial" w:eastAsia="Arial" w:hAnsi="Arial"/>
                <w:sz w:val="13"/>
                <w:szCs w:val="13"/>
                <w:color w:val="auto"/>
              </w:rPr>
              <w:t>-16.7%</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4.8%</w:t>
            </w:r>
          </w:p>
        </w:tc>
        <w:tc>
          <w:tcPr>
            <w:tcW w:w="2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3,697,360</w:t>
            </w:r>
          </w:p>
        </w:tc>
        <w:tc>
          <w:tcPr>
            <w:tcW w:w="7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5,027,800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36.0%</w:t>
            </w:r>
          </w:p>
        </w:tc>
      </w:tr>
      <w:tr>
        <w:trPr>
          <w:trHeight w:val="149"/>
        </w:trPr>
        <w:tc>
          <w:tcPr>
            <w:tcW w:w="43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Income tax</w:t>
            </w: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(19,228)</w:t>
            </w:r>
          </w:p>
        </w:tc>
        <w:tc>
          <w:tcPr>
            <w:tcW w:w="860" w:type="dxa"/>
            <w:vAlign w:val="bottom"/>
          </w:tcPr>
          <w:p>
            <w:pPr>
              <w:jc w:val="right"/>
              <w:ind w:right="93"/>
              <w:spacing w:after="0"/>
              <w:rPr>
                <w:sz w:val="20"/>
                <w:szCs w:val="20"/>
                <w:color w:val="auto"/>
              </w:rPr>
            </w:pPr>
            <w:r>
              <w:rPr>
                <w:rFonts w:ascii="Arial" w:cs="Arial" w:eastAsia="Arial" w:hAnsi="Arial"/>
                <w:sz w:val="13"/>
                <w:szCs w:val="13"/>
                <w:color w:val="auto"/>
              </w:rPr>
              <w:t>(42,000)</w:t>
            </w:r>
          </w:p>
        </w:tc>
        <w:tc>
          <w:tcPr>
            <w:tcW w:w="74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rPr>
              <w:t>(42,000)</w:t>
            </w:r>
          </w:p>
        </w:tc>
        <w:tc>
          <w:tcPr>
            <w:tcW w:w="620" w:type="dxa"/>
            <w:vAlign w:val="bottom"/>
          </w:tcPr>
          <w:p>
            <w:pPr>
              <w:jc w:val="center"/>
              <w:ind w:left="133"/>
              <w:spacing w:after="0"/>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c>
          <w:tcPr>
            <w:tcW w:w="780" w:type="dxa"/>
            <w:vAlign w:val="bottom"/>
          </w:tcPr>
          <w:p>
            <w:pPr>
              <w:jc w:val="center"/>
              <w:ind w:left="253"/>
              <w:spacing w:after="0"/>
              <w:rPr>
                <w:sz w:val="20"/>
                <w:szCs w:val="20"/>
                <w:color w:val="auto"/>
              </w:rPr>
            </w:pPr>
            <w:r>
              <w:rPr>
                <w:rFonts w:ascii="Arial" w:cs="Arial" w:eastAsia="Arial" w:hAnsi="Arial"/>
                <w:sz w:val="13"/>
                <w:szCs w:val="13"/>
                <w:color w:val="auto"/>
                <w:w w:val="99"/>
              </w:rPr>
              <w:t>n.a</w:t>
            </w:r>
          </w:p>
        </w:tc>
        <w:tc>
          <w:tcPr>
            <w:tcW w:w="22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13"/>
              <w:spacing w:after="0"/>
              <w:rPr>
                <w:sz w:val="20"/>
                <w:szCs w:val="20"/>
                <w:color w:val="auto"/>
              </w:rPr>
            </w:pPr>
            <w:r>
              <w:rPr>
                <w:rFonts w:ascii="Arial" w:cs="Arial" w:eastAsia="Arial" w:hAnsi="Arial"/>
                <w:sz w:val="13"/>
                <w:szCs w:val="13"/>
                <w:color w:val="auto"/>
              </w:rPr>
              <w:t>(78,082)</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(168,290)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115.5%</w:t>
            </w:r>
          </w:p>
        </w:tc>
      </w:tr>
      <w:tr>
        <w:trPr>
          <w:trHeight w:val="161"/>
        </w:trPr>
        <w:tc>
          <w:tcPr>
            <w:tcW w:w="43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Net income</w:t>
            </w: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1,048,760</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1,302,328</w:t>
            </w:r>
          </w:p>
        </w:tc>
        <w:tc>
          <w:tcPr>
            <w:tcW w:w="740" w:type="dxa"/>
            <w:vAlign w:val="bottom"/>
            <w:tcBorders>
              <w:bottom w:val="single" w:sz="8" w:color="auto"/>
              <w:right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1,077,620</w:t>
            </w:r>
          </w:p>
        </w:tc>
        <w:tc>
          <w:tcPr>
            <w:tcW w:w="700" w:type="dxa"/>
            <w:vAlign w:val="bottom"/>
            <w:tcBorders>
              <w:bottom w:val="single" w:sz="8" w:color="auto"/>
            </w:tcBorders>
            <w:gridSpan w:val="2"/>
          </w:tcPr>
          <w:p>
            <w:pPr>
              <w:jc w:val="center"/>
              <w:ind w:left="53"/>
              <w:spacing w:after="0"/>
              <w:rPr>
                <w:sz w:val="20"/>
                <w:szCs w:val="20"/>
                <w:color w:val="auto"/>
              </w:rPr>
            </w:pPr>
            <w:r>
              <w:rPr>
                <w:rFonts w:ascii="Arial" w:cs="Arial" w:eastAsia="Arial" w:hAnsi="Arial"/>
                <w:sz w:val="13"/>
                <w:szCs w:val="13"/>
                <w:color w:val="auto"/>
              </w:rPr>
              <w:t>-17.3%</w:t>
            </w:r>
          </w:p>
        </w:tc>
        <w:tc>
          <w:tcPr>
            <w:tcW w:w="780" w:type="dxa"/>
            <w:vAlign w:val="bottom"/>
            <w:tcBorders>
              <w:bottom w:val="single" w:sz="8" w:color="auto"/>
            </w:tcBorders>
          </w:tcPr>
          <w:p>
            <w:pPr>
              <w:jc w:val="center"/>
              <w:ind w:left="253"/>
              <w:spacing w:after="0"/>
              <w:rPr>
                <w:sz w:val="20"/>
                <w:szCs w:val="20"/>
                <w:color w:val="auto"/>
              </w:rPr>
            </w:pPr>
            <w:r>
              <w:rPr>
                <w:rFonts w:ascii="Arial" w:cs="Arial" w:eastAsia="Arial" w:hAnsi="Arial"/>
                <w:sz w:val="13"/>
                <w:szCs w:val="13"/>
                <w:color w:val="auto"/>
              </w:rPr>
              <w:t>2.8%</w:t>
            </w:r>
          </w:p>
        </w:tc>
        <w:tc>
          <w:tcPr>
            <w:tcW w:w="22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3"/>
                <w:szCs w:val="13"/>
                <w:b w:val="1"/>
                <w:bCs w:val="1"/>
                <w:color w:val="auto"/>
              </w:rPr>
              <w:t>3,619,278</w:t>
            </w:r>
          </w:p>
        </w:tc>
        <w:tc>
          <w:tcPr>
            <w:tcW w:w="7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4,859,510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34.3%</w:t>
            </w:r>
          </w:p>
        </w:tc>
      </w:tr>
      <w:tr>
        <w:trPr>
          <w:trHeight w:val="30"/>
        </w:trPr>
        <w:tc>
          <w:tcPr>
            <w:tcW w:w="420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4"/>
        </w:trPr>
        <w:tc>
          <w:tcPr>
            <w:tcW w:w="4360" w:type="dxa"/>
            <w:vAlign w:val="bottom"/>
            <w:tcBorders>
              <w:left w:val="single" w:sz="8" w:color="auto"/>
              <w:bottom w:val="single" w:sz="8" w:color="auto"/>
              <w:right w:val="single" w:sz="8" w:color="auto"/>
            </w:tcBorders>
            <w:gridSpan w:val="2"/>
          </w:tcPr>
          <w:p>
            <w:pPr>
              <w:ind w:left="20"/>
              <w:spacing w:after="0" w:line="144" w:lineRule="exact"/>
              <w:rPr>
                <w:sz w:val="20"/>
                <w:szCs w:val="20"/>
                <w:color w:val="auto"/>
              </w:rPr>
            </w:pPr>
            <w:r>
              <w:rPr>
                <w:rFonts w:ascii="Arial" w:cs="Arial" w:eastAsia="Arial" w:hAnsi="Arial"/>
                <w:sz w:val="13"/>
                <w:szCs w:val="13"/>
                <w:b w:val="1"/>
                <w:bCs w:val="1"/>
                <w:color w:val="auto"/>
              </w:rPr>
              <w:t>Double Leverage Ratio</w:t>
            </w:r>
          </w:p>
        </w:tc>
        <w:tc>
          <w:tcPr>
            <w:tcW w:w="960" w:type="dxa"/>
            <w:vAlign w:val="bottom"/>
            <w:tcBorders>
              <w:bottom w:val="single" w:sz="8" w:color="auto"/>
            </w:tcBorders>
          </w:tcPr>
          <w:p>
            <w:pPr>
              <w:jc w:val="right"/>
              <w:ind w:right="93"/>
              <w:spacing w:after="0" w:line="144" w:lineRule="exact"/>
              <w:rPr>
                <w:sz w:val="20"/>
                <w:szCs w:val="20"/>
                <w:color w:val="auto"/>
              </w:rPr>
            </w:pPr>
            <w:r>
              <w:rPr>
                <w:rFonts w:ascii="Arial" w:cs="Arial" w:eastAsia="Arial" w:hAnsi="Arial"/>
                <w:sz w:val="13"/>
                <w:szCs w:val="13"/>
                <w:b w:val="1"/>
                <w:bCs w:val="1"/>
                <w:color w:val="auto"/>
              </w:rPr>
              <w:t>101.84%</w:t>
            </w:r>
          </w:p>
        </w:tc>
        <w:tc>
          <w:tcPr>
            <w:tcW w:w="860" w:type="dxa"/>
            <w:vAlign w:val="bottom"/>
            <w:tcBorders>
              <w:bottom w:val="single" w:sz="8" w:color="auto"/>
            </w:tcBorders>
          </w:tcPr>
          <w:p>
            <w:pPr>
              <w:jc w:val="right"/>
              <w:ind w:right="93"/>
              <w:spacing w:after="0" w:line="144" w:lineRule="exact"/>
              <w:rPr>
                <w:sz w:val="20"/>
                <w:szCs w:val="20"/>
                <w:color w:val="auto"/>
              </w:rPr>
            </w:pPr>
            <w:r>
              <w:rPr>
                <w:rFonts w:ascii="Arial" w:cs="Arial" w:eastAsia="Arial" w:hAnsi="Arial"/>
                <w:sz w:val="13"/>
                <w:szCs w:val="13"/>
                <w:b w:val="1"/>
                <w:bCs w:val="1"/>
                <w:color w:val="auto"/>
              </w:rPr>
              <w:t>103.36%</w:t>
            </w:r>
          </w:p>
        </w:tc>
        <w:tc>
          <w:tcPr>
            <w:tcW w:w="740" w:type="dxa"/>
            <w:vAlign w:val="bottom"/>
            <w:tcBorders>
              <w:bottom w:val="single" w:sz="8" w:color="auto"/>
              <w:right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102.16%</w:t>
            </w:r>
          </w:p>
        </w:tc>
        <w:tc>
          <w:tcPr>
            <w:tcW w:w="700" w:type="dxa"/>
            <w:vAlign w:val="bottom"/>
            <w:tcBorders>
              <w:bottom w:val="single" w:sz="8" w:color="auto"/>
            </w:tcBorders>
            <w:gridSpan w:val="2"/>
          </w:tcPr>
          <w:p>
            <w:pPr>
              <w:jc w:val="center"/>
              <w:ind w:left="53"/>
              <w:spacing w:after="0" w:line="144" w:lineRule="exact"/>
              <w:rPr>
                <w:sz w:val="20"/>
                <w:szCs w:val="20"/>
                <w:color w:val="auto"/>
              </w:rPr>
            </w:pPr>
            <w:r>
              <w:rPr>
                <w:rFonts w:ascii="Arial" w:cs="Arial" w:eastAsia="Arial" w:hAnsi="Arial"/>
                <w:sz w:val="13"/>
                <w:szCs w:val="13"/>
                <w:color w:val="auto"/>
              </w:rPr>
              <w:t>-120bps</w:t>
            </w:r>
          </w:p>
        </w:tc>
        <w:tc>
          <w:tcPr>
            <w:tcW w:w="780" w:type="dxa"/>
            <w:vAlign w:val="bottom"/>
            <w:tcBorders>
              <w:bottom w:val="single" w:sz="8" w:color="auto"/>
            </w:tcBorders>
          </w:tcPr>
          <w:p>
            <w:pPr>
              <w:jc w:val="center"/>
              <w:ind w:left="233"/>
              <w:spacing w:after="0" w:line="144" w:lineRule="exact"/>
              <w:rPr>
                <w:sz w:val="20"/>
                <w:szCs w:val="20"/>
                <w:color w:val="auto"/>
              </w:rPr>
            </w:pPr>
            <w:r>
              <w:rPr>
                <w:rFonts w:ascii="Arial" w:cs="Arial" w:eastAsia="Arial" w:hAnsi="Arial"/>
                <w:sz w:val="13"/>
                <w:szCs w:val="13"/>
                <w:color w:val="auto"/>
              </w:rPr>
              <w:t>32bps</w:t>
            </w:r>
          </w:p>
        </w:tc>
        <w:tc>
          <w:tcPr>
            <w:tcW w:w="22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13"/>
              <w:spacing w:after="0" w:line="144" w:lineRule="exact"/>
              <w:rPr>
                <w:sz w:val="20"/>
                <w:szCs w:val="20"/>
                <w:color w:val="auto"/>
              </w:rPr>
            </w:pPr>
            <w:r>
              <w:rPr>
                <w:rFonts w:ascii="Arial" w:cs="Arial" w:eastAsia="Arial" w:hAnsi="Arial"/>
                <w:sz w:val="13"/>
                <w:szCs w:val="13"/>
                <w:b w:val="1"/>
                <w:bCs w:val="1"/>
                <w:color w:val="auto"/>
              </w:rPr>
              <w:t>101.84%</w:t>
            </w:r>
          </w:p>
        </w:tc>
        <w:tc>
          <w:tcPr>
            <w:tcW w:w="720" w:type="dxa"/>
            <w:vAlign w:val="bottom"/>
            <w:tcBorders>
              <w:bottom w:val="single" w:sz="8" w:color="auto"/>
              <w:right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102.16%</w:t>
            </w:r>
          </w:p>
        </w:tc>
        <w:tc>
          <w:tcPr>
            <w:tcW w:w="8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32bps</w:t>
            </w:r>
          </w:p>
        </w:tc>
      </w:tr>
    </w:tbl>
    <w:p>
      <w:pPr>
        <w:spacing w:after="0" w:line="35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60" w:name="page61"/>
    <w:bookmarkEnd w:id="60"/>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216535</wp:posOffset>
            </wp:positionV>
            <wp:extent cx="7141845" cy="535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12.5.3. BCP Consolidated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BANCO DE CREDITO DEL PERU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 OF FINANCIAL POSITION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S/ thousands, IFRS)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5420" w:type="dxa"/>
            <w:vAlign w:val="bottom"/>
            <w:tcBorders>
              <w:right w:val="single" w:sz="8" w:color="auto"/>
            </w:tcBorders>
          </w:tcPr>
          <w:p>
            <w:pPr>
              <w:spacing w:after="0"/>
              <w:rPr>
                <w:sz w:val="13"/>
                <w:szCs w:val="13"/>
                <w:color w:val="auto"/>
              </w:rPr>
            </w:pPr>
          </w:p>
        </w:tc>
        <w:tc>
          <w:tcPr>
            <w:tcW w:w="1560" w:type="dxa"/>
            <w:vAlign w:val="bottom"/>
            <w:tcBorders>
              <w:top w:val="single" w:sz="8" w:color="auto"/>
            </w:tcBorders>
            <w:shd w:val="clear" w:color="auto" w:fill="2AD2C9"/>
          </w:tcPr>
          <w:p>
            <w:pPr>
              <w:spacing w:after="0"/>
              <w:rPr>
                <w:sz w:val="13"/>
                <w:szCs w:val="13"/>
                <w:color w:val="auto"/>
              </w:rPr>
            </w:pPr>
          </w:p>
        </w:tc>
        <w:tc>
          <w:tcPr>
            <w:tcW w:w="1360" w:type="dxa"/>
            <w:vAlign w:val="bottom"/>
            <w:tcBorders>
              <w:top w:val="single" w:sz="8" w:color="auto"/>
            </w:tcBorders>
            <w:shd w:val="clear" w:color="auto" w:fill="2AD2C9"/>
          </w:tcPr>
          <w:p>
            <w:pPr>
              <w:jc w:val="right"/>
              <w:ind w:right="673"/>
              <w:spacing w:after="0"/>
              <w:rPr>
                <w:sz w:val="20"/>
                <w:szCs w:val="20"/>
                <w:color w:val="auto"/>
              </w:rPr>
            </w:pPr>
            <w:r>
              <w:rPr>
                <w:rFonts w:ascii="Arial" w:cs="Arial" w:eastAsia="Arial" w:hAnsi="Arial"/>
                <w:sz w:val="13"/>
                <w:szCs w:val="13"/>
                <w:b w:val="1"/>
                <w:bCs w:val="1"/>
                <w:color w:val="FFFFFF"/>
              </w:rPr>
              <w:t>As of</w:t>
            </w:r>
          </w:p>
        </w:tc>
        <w:tc>
          <w:tcPr>
            <w:tcW w:w="1120" w:type="dxa"/>
            <w:vAlign w:val="bottom"/>
            <w:tcBorders>
              <w:top w:val="single" w:sz="8" w:color="auto"/>
              <w:right w:val="single" w:sz="8" w:color="auto"/>
            </w:tcBorders>
            <w:shd w:val="clear" w:color="auto" w:fill="2AD2C9"/>
          </w:tcPr>
          <w:p>
            <w:pPr>
              <w:spacing w:after="0"/>
              <w:rPr>
                <w:sz w:val="13"/>
                <w:szCs w:val="13"/>
                <w:color w:val="auto"/>
              </w:rPr>
            </w:pPr>
          </w:p>
        </w:tc>
        <w:tc>
          <w:tcPr>
            <w:tcW w:w="180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3"/>
                <w:szCs w:val="13"/>
                <w:b w:val="1"/>
                <w:bCs w:val="1"/>
                <w:color w:val="FFFFFF"/>
              </w:rPr>
              <w:t>% change</w:t>
            </w:r>
          </w:p>
        </w:tc>
      </w:tr>
      <w:tr>
        <w:trPr>
          <w:trHeight w:val="161"/>
        </w:trPr>
        <w:tc>
          <w:tcPr>
            <w:tcW w:w="54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shd w:val="clear" w:color="auto" w:fill="2AD2C9"/>
          </w:tcPr>
          <w:p>
            <w:pPr>
              <w:jc w:val="right"/>
              <w:ind w:right="613"/>
              <w:spacing w:after="0"/>
              <w:rPr>
                <w:sz w:val="20"/>
                <w:szCs w:val="20"/>
                <w:color w:val="auto"/>
              </w:rPr>
            </w:pPr>
            <w:r>
              <w:rPr>
                <w:rFonts w:ascii="Arial" w:cs="Arial" w:eastAsia="Arial" w:hAnsi="Arial"/>
                <w:sz w:val="13"/>
                <w:szCs w:val="13"/>
                <w:b w:val="1"/>
                <w:bCs w:val="1"/>
                <w:color w:val="FFFFFF"/>
              </w:rPr>
              <w:t>Dec 21</w:t>
            </w:r>
          </w:p>
        </w:tc>
        <w:tc>
          <w:tcPr>
            <w:tcW w:w="1360" w:type="dxa"/>
            <w:vAlign w:val="bottom"/>
            <w:tcBorders>
              <w:bottom w:val="single" w:sz="8" w:color="auto"/>
            </w:tcBorders>
            <w:shd w:val="clear" w:color="auto" w:fill="2AD2C9"/>
          </w:tcPr>
          <w:p>
            <w:pPr>
              <w:jc w:val="right"/>
              <w:ind w:right="633"/>
              <w:spacing w:after="0"/>
              <w:rPr>
                <w:sz w:val="20"/>
                <w:szCs w:val="20"/>
                <w:color w:val="auto"/>
              </w:rPr>
            </w:pPr>
            <w:r>
              <w:rPr>
                <w:rFonts w:ascii="Arial" w:cs="Arial" w:eastAsia="Arial" w:hAnsi="Arial"/>
                <w:sz w:val="13"/>
                <w:szCs w:val="13"/>
                <w:b w:val="1"/>
                <w:bCs w:val="1"/>
                <w:color w:val="FFFFFF"/>
              </w:rPr>
              <w:t>Sep 22</w:t>
            </w:r>
          </w:p>
        </w:tc>
        <w:tc>
          <w:tcPr>
            <w:tcW w:w="1120" w:type="dxa"/>
            <w:vAlign w:val="bottom"/>
            <w:tcBorders>
              <w:bottom w:val="single" w:sz="8" w:color="auto"/>
              <w:right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Dec 22</w:t>
            </w:r>
          </w:p>
        </w:tc>
        <w:tc>
          <w:tcPr>
            <w:tcW w:w="8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3"/>
                <w:szCs w:val="13"/>
                <w:b w:val="1"/>
                <w:bCs w:val="1"/>
                <w:color w:val="FFFFFF"/>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YoY</w:t>
            </w:r>
          </w:p>
        </w:tc>
      </w:tr>
      <w:tr>
        <w:trPr>
          <w:trHeight w:val="134"/>
        </w:trPr>
        <w:tc>
          <w:tcPr>
            <w:tcW w:w="5420" w:type="dxa"/>
            <w:vAlign w:val="bottom"/>
            <w:tcBorders>
              <w:left w:val="single" w:sz="8" w:color="auto"/>
              <w:right w:val="single" w:sz="8" w:color="auto"/>
            </w:tcBorders>
          </w:tcPr>
          <w:p>
            <w:pPr>
              <w:ind w:left="20"/>
              <w:spacing w:after="0" w:line="134" w:lineRule="exact"/>
              <w:rPr>
                <w:sz w:val="20"/>
                <w:szCs w:val="20"/>
                <w:color w:val="auto"/>
              </w:rPr>
            </w:pPr>
            <w:r>
              <w:rPr>
                <w:rFonts w:ascii="Arial" w:cs="Arial" w:eastAsia="Arial" w:hAnsi="Arial"/>
                <w:sz w:val="13"/>
                <w:szCs w:val="13"/>
                <w:b w:val="1"/>
                <w:bCs w:val="1"/>
                <w:color w:val="auto"/>
              </w:rPr>
              <w:t>ASSETS</w:t>
            </w:r>
          </w:p>
        </w:tc>
        <w:tc>
          <w:tcPr>
            <w:tcW w:w="15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53"/>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Cash and due from banks</w:t>
            </w:r>
          </w:p>
        </w:tc>
        <w:tc>
          <w:tcPr>
            <w:tcW w:w="1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Non-interest bearing</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4,895,726</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5,458,040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5,780,728</w:t>
            </w:r>
          </w:p>
        </w:tc>
        <w:tc>
          <w:tcPr>
            <w:tcW w:w="880" w:type="dxa"/>
            <w:vAlign w:val="bottom"/>
          </w:tcPr>
          <w:p>
            <w:pPr>
              <w:jc w:val="center"/>
              <w:spacing w:after="0"/>
              <w:rPr>
                <w:sz w:val="20"/>
                <w:szCs w:val="20"/>
                <w:color w:val="auto"/>
              </w:rPr>
            </w:pPr>
            <w:r>
              <w:rPr>
                <w:rFonts w:ascii="Arial" w:cs="Arial" w:eastAsia="Arial" w:hAnsi="Arial"/>
                <w:sz w:val="13"/>
                <w:szCs w:val="13"/>
                <w:color w:val="auto"/>
              </w:rPr>
              <w:t>5.9%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18.1%</w:t>
            </w:r>
          </w:p>
        </w:tc>
      </w:tr>
      <w:tr>
        <w:trPr>
          <w:trHeight w:val="149"/>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bearing</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30,481,516</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28,265,953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25,594,929</w:t>
            </w:r>
          </w:p>
        </w:tc>
        <w:tc>
          <w:tcPr>
            <w:tcW w:w="880" w:type="dxa"/>
            <w:vAlign w:val="bottom"/>
          </w:tcPr>
          <w:p>
            <w:pPr>
              <w:jc w:val="center"/>
              <w:spacing w:after="0"/>
              <w:rPr>
                <w:sz w:val="20"/>
                <w:szCs w:val="20"/>
                <w:color w:val="auto"/>
              </w:rPr>
            </w:pPr>
            <w:r>
              <w:rPr>
                <w:rFonts w:ascii="Arial" w:cs="Arial" w:eastAsia="Arial" w:hAnsi="Arial"/>
                <w:sz w:val="13"/>
                <w:szCs w:val="13"/>
                <w:color w:val="auto"/>
              </w:rPr>
              <w:t>-9.4%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-16.0%</w:t>
            </w:r>
          </w:p>
        </w:tc>
      </w:tr>
      <w:tr>
        <w:trPr>
          <w:trHeight w:val="185"/>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Total cash and due from banks</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35,377,242</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33,723,993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31,375,657</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-7.0%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-11.3%</w:t>
            </w:r>
          </w:p>
        </w:tc>
      </w:tr>
      <w:tr>
        <w:trPr>
          <w:trHeight w:val="302"/>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Cash collateral, reverse repurchase agreements and securities borrowing</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344,460</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308,959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244,017</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-21.0%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-29.2%</w:t>
            </w:r>
          </w:p>
        </w:tc>
      </w:tr>
      <w:tr>
        <w:trPr>
          <w:trHeight w:val="268"/>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Fair value through profit or loss investments</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1,261,896</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307,513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1,011</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-99.7%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-99.9%</w:t>
            </w:r>
          </w:p>
        </w:tc>
      </w:tr>
      <w:tr>
        <w:trPr>
          <w:trHeight w:val="151"/>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Fair value through other comprehensive income investments</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19,339,377</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18,277,389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15,260,159</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-16.5%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-21.1%</w:t>
            </w:r>
          </w:p>
        </w:tc>
      </w:tr>
      <w:tr>
        <w:trPr>
          <w:trHeight w:val="185"/>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Amortized cost investments</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7,677,804</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7,500,013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9,831,983</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31.1%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28.1%</w:t>
            </w:r>
          </w:p>
        </w:tc>
      </w:tr>
      <w:tr>
        <w:trPr>
          <w:trHeight w:val="270"/>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Loans</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134,734,202</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138,419,933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136,046,442</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-1.7%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1.0%</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Current</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129,311,792</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132,426,874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130,396,010</w:t>
            </w:r>
          </w:p>
        </w:tc>
        <w:tc>
          <w:tcPr>
            <w:tcW w:w="880" w:type="dxa"/>
            <w:vAlign w:val="bottom"/>
          </w:tcPr>
          <w:p>
            <w:pPr>
              <w:jc w:val="center"/>
              <w:spacing w:after="0"/>
              <w:rPr>
                <w:sz w:val="20"/>
                <w:szCs w:val="20"/>
                <w:color w:val="auto"/>
              </w:rPr>
            </w:pPr>
            <w:r>
              <w:rPr>
                <w:rFonts w:ascii="Arial" w:cs="Arial" w:eastAsia="Arial" w:hAnsi="Arial"/>
                <w:sz w:val="13"/>
                <w:szCs w:val="13"/>
                <w:color w:val="auto"/>
              </w:rPr>
              <w:t>-1.5%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0.8%</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Internal overdue loans</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5,422,410</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5,993,059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5,650,432</w:t>
            </w:r>
          </w:p>
        </w:tc>
        <w:tc>
          <w:tcPr>
            <w:tcW w:w="880" w:type="dxa"/>
            <w:vAlign w:val="bottom"/>
          </w:tcPr>
          <w:p>
            <w:pPr>
              <w:jc w:val="center"/>
              <w:spacing w:after="0"/>
              <w:rPr>
                <w:sz w:val="20"/>
                <w:szCs w:val="20"/>
                <w:color w:val="auto"/>
              </w:rPr>
            </w:pPr>
            <w:r>
              <w:rPr>
                <w:rFonts w:ascii="Arial" w:cs="Arial" w:eastAsia="Arial" w:hAnsi="Arial"/>
                <w:sz w:val="13"/>
                <w:szCs w:val="13"/>
                <w:color w:val="auto"/>
              </w:rPr>
              <w:t>-5.7%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4.2%</w:t>
            </w:r>
          </w:p>
        </w:tc>
      </w:tr>
      <w:tr>
        <w:trPr>
          <w:trHeight w:val="149"/>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Less - allowance for loan losses</w:t>
            </w:r>
          </w:p>
        </w:tc>
        <w:tc>
          <w:tcPr>
            <w:tcW w:w="1560" w:type="dxa"/>
            <w:vAlign w:val="bottom"/>
          </w:tcPr>
          <w:p>
            <w:pPr>
              <w:jc w:val="right"/>
              <w:ind w:right="153"/>
              <w:spacing w:after="0"/>
              <w:rPr>
                <w:sz w:val="20"/>
                <w:szCs w:val="20"/>
                <w:color w:val="auto"/>
              </w:rPr>
            </w:pPr>
            <w:r>
              <w:rPr>
                <w:rFonts w:ascii="Arial" w:cs="Arial" w:eastAsia="Arial" w:hAnsi="Arial"/>
                <w:sz w:val="13"/>
                <w:szCs w:val="13"/>
                <w:color w:val="auto"/>
              </w:rPr>
              <w:t>(7,937,985)</w:t>
            </w:r>
          </w:p>
        </w:tc>
        <w:tc>
          <w:tcPr>
            <w:tcW w:w="1360" w:type="dxa"/>
            <w:vAlign w:val="bottom"/>
          </w:tcPr>
          <w:p>
            <w:pPr>
              <w:jc w:val="right"/>
              <w:ind w:right="173"/>
              <w:spacing w:after="0"/>
              <w:rPr>
                <w:sz w:val="20"/>
                <w:szCs w:val="20"/>
                <w:color w:val="auto"/>
              </w:rPr>
            </w:pPr>
            <w:r>
              <w:rPr>
                <w:rFonts w:ascii="Arial" w:cs="Arial" w:eastAsia="Arial" w:hAnsi="Arial"/>
                <w:sz w:val="13"/>
                <w:szCs w:val="13"/>
                <w:color w:val="auto"/>
              </w:rPr>
              <w:t>(7,541,660)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(7,408,223)</w:t>
            </w:r>
          </w:p>
        </w:tc>
        <w:tc>
          <w:tcPr>
            <w:tcW w:w="880" w:type="dxa"/>
            <w:vAlign w:val="bottom"/>
          </w:tcPr>
          <w:p>
            <w:pPr>
              <w:jc w:val="center"/>
              <w:spacing w:after="0"/>
              <w:rPr>
                <w:sz w:val="20"/>
                <w:szCs w:val="20"/>
                <w:color w:val="auto"/>
              </w:rPr>
            </w:pPr>
            <w:r>
              <w:rPr>
                <w:rFonts w:ascii="Arial" w:cs="Arial" w:eastAsia="Arial" w:hAnsi="Arial"/>
                <w:sz w:val="13"/>
                <w:szCs w:val="13"/>
                <w:color w:val="auto"/>
              </w:rPr>
              <w:t>-1.8%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-6.7%</w:t>
            </w:r>
          </w:p>
        </w:tc>
      </w:tr>
      <w:tr>
        <w:trPr>
          <w:trHeight w:val="185"/>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Loans, net</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126,796,217</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130,878,273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128,638,219</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-1.7%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1.5%</w:t>
            </w:r>
          </w:p>
        </w:tc>
      </w:tr>
      <w:tr>
        <w:trPr>
          <w:trHeight w:val="268"/>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Property, furniture and equipment, net </w:t>
            </w:r>
            <w:r>
              <w:rPr>
                <w:rFonts w:ascii="Arial" w:cs="Arial" w:eastAsia="Arial" w:hAnsi="Arial"/>
                <w:sz w:val="22"/>
                <w:szCs w:val="22"/>
                <w:color w:val="auto"/>
                <w:vertAlign w:val="superscript"/>
              </w:rPr>
              <w:t>(1)</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1,628,645</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1,500,806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1,536,875</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2.4%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-5.6%</w:t>
            </w:r>
          </w:p>
        </w:tc>
      </w:tr>
      <w:tr>
        <w:trPr>
          <w:trHeight w:val="151"/>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Due from customers on acceptances</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532,404</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697,119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699,678</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0.4%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31.4%</w:t>
            </w:r>
          </w:p>
        </w:tc>
      </w:tr>
      <w:tr>
        <w:trPr>
          <w:trHeight w:val="137"/>
        </w:trPr>
        <w:tc>
          <w:tcPr>
            <w:tcW w:w="542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Investments in associates</w:t>
            </w:r>
          </w:p>
        </w:tc>
        <w:tc>
          <w:tcPr>
            <w:tcW w:w="1560" w:type="dxa"/>
            <w:vAlign w:val="bottom"/>
          </w:tcPr>
          <w:p>
            <w:pPr>
              <w:jc w:val="right"/>
              <w:ind w:right="193"/>
              <w:spacing w:after="0" w:line="138" w:lineRule="exact"/>
              <w:rPr>
                <w:sz w:val="20"/>
                <w:szCs w:val="20"/>
                <w:color w:val="auto"/>
              </w:rPr>
            </w:pPr>
            <w:r>
              <w:rPr>
                <w:rFonts w:ascii="Arial" w:cs="Arial" w:eastAsia="Arial" w:hAnsi="Arial"/>
                <w:sz w:val="13"/>
                <w:szCs w:val="13"/>
                <w:b w:val="1"/>
                <w:bCs w:val="1"/>
                <w:color w:val="auto"/>
              </w:rPr>
              <w:t>27,928</w:t>
            </w:r>
          </w:p>
        </w:tc>
        <w:tc>
          <w:tcPr>
            <w:tcW w:w="1360" w:type="dxa"/>
            <w:vAlign w:val="bottom"/>
          </w:tcPr>
          <w:p>
            <w:pPr>
              <w:jc w:val="right"/>
              <w:ind w:right="213"/>
              <w:spacing w:after="0" w:line="138" w:lineRule="exact"/>
              <w:rPr>
                <w:sz w:val="20"/>
                <w:szCs w:val="20"/>
                <w:color w:val="auto"/>
              </w:rPr>
            </w:pPr>
            <w:r>
              <w:rPr>
                <w:rFonts w:ascii="Arial" w:cs="Arial" w:eastAsia="Arial" w:hAnsi="Arial"/>
                <w:sz w:val="13"/>
                <w:szCs w:val="13"/>
                <w:b w:val="1"/>
                <w:bCs w:val="1"/>
                <w:color w:val="auto"/>
              </w:rPr>
              <w:t>29,953</w:t>
            </w:r>
          </w:p>
        </w:tc>
        <w:tc>
          <w:tcPr>
            <w:tcW w:w="1120" w:type="dxa"/>
            <w:vAlign w:val="bottom"/>
            <w:tcBorders>
              <w:right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28,578</w:t>
            </w: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-4.6%</w:t>
            </w:r>
          </w:p>
        </w:tc>
        <w:tc>
          <w:tcPr>
            <w:tcW w:w="9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2.3%</w:t>
            </w:r>
          </w:p>
        </w:tc>
      </w:tr>
      <w:tr>
        <w:trPr>
          <w:trHeight w:val="299"/>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Other assets </w:t>
            </w:r>
            <w:r>
              <w:rPr>
                <w:rFonts w:ascii="Arial" w:cs="Arial" w:eastAsia="Arial" w:hAnsi="Arial"/>
                <w:sz w:val="22"/>
                <w:szCs w:val="22"/>
                <w:color w:val="auto"/>
                <w:vertAlign w:val="superscript"/>
              </w:rPr>
              <w:t>(2)</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6,321,863</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6,645,503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5,662,055</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-14.8%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-10.4%</w:t>
            </w:r>
          </w:p>
        </w:tc>
      </w:tr>
      <w:tr>
        <w:trPr>
          <w:trHeight w:val="202"/>
        </w:trPr>
        <w:tc>
          <w:tcPr>
            <w:tcW w:w="5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Assets</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199,307,836</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199,869,521</w:t>
            </w:r>
          </w:p>
        </w:tc>
        <w:tc>
          <w:tcPr>
            <w:tcW w:w="11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193,278,232</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-3.3%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-3.0%</w:t>
            </w:r>
          </w:p>
        </w:tc>
      </w:tr>
      <w:tr>
        <w:trPr>
          <w:trHeight w:val="268"/>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15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120" w:type="dxa"/>
            <w:vAlign w:val="bottom"/>
            <w:tcBorders>
              <w:right w:val="single" w:sz="8" w:color="auto"/>
            </w:tcBorders>
          </w:tcPr>
          <w:p>
            <w:pPr>
              <w:spacing w:after="0"/>
              <w:rPr>
                <w:sz w:val="23"/>
                <w:szCs w:val="23"/>
                <w:color w:val="auto"/>
              </w:rPr>
            </w:pPr>
          </w:p>
        </w:tc>
        <w:tc>
          <w:tcPr>
            <w:tcW w:w="880" w:type="dxa"/>
            <w:vAlign w:val="bottom"/>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r>
      <w:tr>
        <w:trPr>
          <w:trHeight w:val="137"/>
        </w:trPr>
        <w:tc>
          <w:tcPr>
            <w:tcW w:w="542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Deposits and obligations</w:t>
            </w:r>
          </w:p>
        </w:tc>
        <w:tc>
          <w:tcPr>
            <w:tcW w:w="15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51"/>
        </w:trPr>
        <w:tc>
          <w:tcPr>
            <w:tcW w:w="5420" w:type="dxa"/>
            <w:vAlign w:val="bottom"/>
            <w:tcBorders>
              <w:left w:val="single" w:sz="8" w:color="auto"/>
              <w:right w:val="single" w:sz="8" w:color="auto"/>
            </w:tcBorders>
          </w:tcPr>
          <w:p>
            <w:pPr>
              <w:ind w:left="160"/>
              <w:spacing w:after="0" w:line="151" w:lineRule="exact"/>
              <w:rPr>
                <w:sz w:val="20"/>
                <w:szCs w:val="20"/>
                <w:color w:val="auto"/>
              </w:rPr>
            </w:pPr>
            <w:r>
              <w:rPr>
                <w:rFonts w:ascii="Arial" w:cs="Arial" w:eastAsia="Arial" w:hAnsi="Arial"/>
                <w:sz w:val="11"/>
                <w:szCs w:val="11"/>
                <w:color w:val="auto"/>
              </w:rPr>
              <w:t xml:space="preserve">Non-interest bearing </w:t>
            </w:r>
            <w:r>
              <w:rPr>
                <w:rFonts w:ascii="Arial" w:cs="Arial" w:eastAsia="Arial" w:hAnsi="Arial"/>
                <w:sz w:val="17"/>
                <w:szCs w:val="17"/>
                <w:color w:val="auto"/>
                <w:vertAlign w:val="superscript"/>
              </w:rPr>
              <w:t>(1)</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44,598,038</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42,200,017</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39,399,007</w:t>
            </w:r>
          </w:p>
        </w:tc>
        <w:tc>
          <w:tcPr>
            <w:tcW w:w="880" w:type="dxa"/>
            <w:vAlign w:val="bottom"/>
          </w:tcPr>
          <w:p>
            <w:pPr>
              <w:jc w:val="center"/>
              <w:spacing w:after="0"/>
              <w:rPr>
                <w:sz w:val="20"/>
                <w:szCs w:val="20"/>
                <w:color w:val="auto"/>
              </w:rPr>
            </w:pPr>
            <w:r>
              <w:rPr>
                <w:rFonts w:ascii="Arial" w:cs="Arial" w:eastAsia="Arial" w:hAnsi="Arial"/>
                <w:sz w:val="13"/>
                <w:szCs w:val="13"/>
                <w:color w:val="auto"/>
              </w:rPr>
              <w:t>-6.6%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-11.7%</w:t>
            </w:r>
          </w:p>
        </w:tc>
      </w:tr>
      <w:tr>
        <w:trPr>
          <w:trHeight w:val="164"/>
        </w:trPr>
        <w:tc>
          <w:tcPr>
            <w:tcW w:w="5420" w:type="dxa"/>
            <w:vAlign w:val="bottom"/>
            <w:tcBorders>
              <w:left w:val="single" w:sz="8" w:color="auto"/>
              <w:right w:val="single" w:sz="8" w:color="auto"/>
            </w:tcBorders>
          </w:tcPr>
          <w:p>
            <w:pPr>
              <w:ind w:left="160"/>
              <w:spacing w:after="0" w:line="164" w:lineRule="exact"/>
              <w:rPr>
                <w:sz w:val="20"/>
                <w:szCs w:val="20"/>
                <w:color w:val="auto"/>
              </w:rPr>
            </w:pPr>
            <w:r>
              <w:rPr>
                <w:rFonts w:ascii="Arial" w:cs="Arial" w:eastAsia="Arial" w:hAnsi="Arial"/>
                <w:sz w:val="12"/>
                <w:szCs w:val="12"/>
                <w:color w:val="auto"/>
              </w:rPr>
              <w:t xml:space="preserve">Interest bearing </w:t>
            </w:r>
            <w:r>
              <w:rPr>
                <w:rFonts w:ascii="Arial" w:cs="Arial" w:eastAsia="Arial" w:hAnsi="Arial"/>
                <w:sz w:val="19"/>
                <w:szCs w:val="19"/>
                <w:color w:val="auto"/>
                <w:vertAlign w:val="superscript"/>
              </w:rPr>
              <w:t>(1)</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87,552,576</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91,406,523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90,420,659</w:t>
            </w:r>
          </w:p>
        </w:tc>
        <w:tc>
          <w:tcPr>
            <w:tcW w:w="880" w:type="dxa"/>
            <w:vAlign w:val="bottom"/>
          </w:tcPr>
          <w:p>
            <w:pPr>
              <w:jc w:val="center"/>
              <w:spacing w:after="0"/>
              <w:rPr>
                <w:sz w:val="20"/>
                <w:szCs w:val="20"/>
                <w:color w:val="auto"/>
              </w:rPr>
            </w:pPr>
            <w:r>
              <w:rPr>
                <w:rFonts w:ascii="Arial" w:cs="Arial" w:eastAsia="Arial" w:hAnsi="Arial"/>
                <w:sz w:val="13"/>
                <w:szCs w:val="13"/>
                <w:color w:val="auto"/>
              </w:rPr>
              <w:t>-1.1%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3.3%</w:t>
            </w:r>
          </w:p>
        </w:tc>
      </w:tr>
      <w:tr>
        <w:trPr>
          <w:trHeight w:val="185"/>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Total deposits and obligations</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132,150,614</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133,606,540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129,819,666</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-2.8%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-1.8%</w:t>
            </w:r>
          </w:p>
        </w:tc>
      </w:tr>
      <w:tr>
        <w:trPr>
          <w:trHeight w:val="270"/>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Payables from repurchase agreements and securities lending</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20,250,739</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15,001,393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11,843,594</w:t>
            </w:r>
          </w:p>
        </w:tc>
        <w:tc>
          <w:tcPr>
            <w:tcW w:w="880" w:type="dxa"/>
            <w:vAlign w:val="bottom"/>
          </w:tcPr>
          <w:p>
            <w:pPr>
              <w:jc w:val="center"/>
              <w:spacing w:after="0"/>
              <w:rPr>
                <w:sz w:val="20"/>
                <w:szCs w:val="20"/>
                <w:color w:val="auto"/>
              </w:rPr>
            </w:pPr>
            <w:r>
              <w:rPr>
                <w:rFonts w:ascii="Arial" w:cs="Arial" w:eastAsia="Arial" w:hAnsi="Arial"/>
                <w:sz w:val="13"/>
                <w:szCs w:val="13"/>
                <w:color w:val="auto"/>
              </w:rPr>
              <w:t>-21.1%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-41.5%</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BCRP instruments</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19,692,474</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14,449,597</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11,297,659</w:t>
            </w:r>
          </w:p>
        </w:tc>
        <w:tc>
          <w:tcPr>
            <w:tcW w:w="880" w:type="dxa"/>
            <w:vAlign w:val="bottom"/>
          </w:tcPr>
          <w:p>
            <w:pPr>
              <w:jc w:val="center"/>
              <w:spacing w:after="0"/>
              <w:rPr>
                <w:sz w:val="20"/>
                <w:szCs w:val="20"/>
                <w:color w:val="auto"/>
              </w:rPr>
            </w:pPr>
            <w:r>
              <w:rPr>
                <w:rFonts w:ascii="Arial" w:cs="Arial" w:eastAsia="Arial" w:hAnsi="Arial"/>
                <w:sz w:val="13"/>
                <w:szCs w:val="13"/>
                <w:color w:val="auto"/>
              </w:rPr>
              <w:t>-21.8%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-42.6%</w:t>
            </w:r>
          </w:p>
        </w:tc>
      </w:tr>
      <w:tr>
        <w:trPr>
          <w:trHeight w:val="149"/>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Repurchase agreements with third parties</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558,265</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551,796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545,935</w:t>
            </w:r>
          </w:p>
        </w:tc>
        <w:tc>
          <w:tcPr>
            <w:tcW w:w="880" w:type="dxa"/>
            <w:vAlign w:val="bottom"/>
          </w:tcPr>
          <w:p>
            <w:pPr>
              <w:jc w:val="center"/>
              <w:spacing w:after="0"/>
              <w:rPr>
                <w:sz w:val="20"/>
                <w:szCs w:val="20"/>
                <w:color w:val="auto"/>
              </w:rPr>
            </w:pPr>
            <w:r>
              <w:rPr>
                <w:rFonts w:ascii="Arial" w:cs="Arial" w:eastAsia="Arial" w:hAnsi="Arial"/>
                <w:sz w:val="13"/>
                <w:szCs w:val="13"/>
                <w:color w:val="auto"/>
              </w:rPr>
              <w:t>-1.1%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-2.2%</w:t>
            </w:r>
          </w:p>
        </w:tc>
      </w:tr>
      <w:tr>
        <w:trPr>
          <w:trHeight w:val="151"/>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Due to banks and correspondents</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6,684,191</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8,563,079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8,539,195</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-0.3%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27.8%</w:t>
            </w:r>
          </w:p>
        </w:tc>
      </w:tr>
      <w:tr>
        <w:trPr>
          <w:trHeight w:val="151"/>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Bonds and notes issued</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14,482,984</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14,518,870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13,840,114</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-4.7%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-4.4%</w:t>
            </w:r>
          </w:p>
        </w:tc>
      </w:tr>
      <w:tr>
        <w:trPr>
          <w:trHeight w:val="151"/>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Banker’s acceptances outstanding</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532,404</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697,119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699,678</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0.4%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31.4%</w:t>
            </w:r>
          </w:p>
        </w:tc>
      </w:tr>
      <w:tr>
        <w:trPr>
          <w:trHeight w:val="151"/>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Financial liabilities at fair value through profit or loss</w:t>
            </w:r>
          </w:p>
        </w:tc>
        <w:tc>
          <w:tcPr>
            <w:tcW w:w="1560" w:type="dxa"/>
            <w:vAlign w:val="bottom"/>
          </w:tcPr>
          <w:p>
            <w:pPr>
              <w:jc w:val="right"/>
              <w:ind w:right="233"/>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140,146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7,669</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-94.5%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n.a</w:t>
            </w:r>
          </w:p>
        </w:tc>
      </w:tr>
      <w:tr>
        <w:trPr>
          <w:trHeight w:val="151"/>
        </w:trPr>
        <w:tc>
          <w:tcPr>
            <w:tcW w:w="5420" w:type="dxa"/>
            <w:vAlign w:val="bottom"/>
            <w:tcBorders>
              <w:left w:val="single" w:sz="8" w:color="auto"/>
              <w:right w:val="single" w:sz="8" w:color="auto"/>
            </w:tcBorders>
          </w:tcPr>
          <w:p>
            <w:pPr>
              <w:spacing w:after="0"/>
              <w:rPr>
                <w:sz w:val="13"/>
                <w:szCs w:val="13"/>
                <w:color w:val="auto"/>
              </w:rPr>
            </w:pP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4,444,071</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5,102,548</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5,256,079</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3.0%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18.3%</w:t>
            </w:r>
          </w:p>
        </w:tc>
      </w:tr>
      <w:tr>
        <w:trPr>
          <w:trHeight w:val="185"/>
        </w:trPr>
        <w:tc>
          <w:tcPr>
            <w:tcW w:w="5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Liabilities</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178,545,003</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177,629,695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170,005,995</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-4.3%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-4.8%</w:t>
            </w:r>
          </w:p>
        </w:tc>
      </w:tr>
      <w:tr>
        <w:trPr>
          <w:trHeight w:val="270"/>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equity</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20,633,464</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22,091,980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23,121,902</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4.7%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12.1%</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Capital stock</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11,024,006</w:t>
            </w:r>
          </w:p>
        </w:tc>
        <w:tc>
          <w:tcPr>
            <w:tcW w:w="1360" w:type="dxa"/>
            <w:vAlign w:val="bottom"/>
          </w:tcPr>
          <w:p>
            <w:pPr>
              <w:jc w:val="right"/>
              <w:ind w:right="253"/>
              <w:spacing w:after="0"/>
              <w:rPr>
                <w:sz w:val="20"/>
                <w:szCs w:val="20"/>
                <w:color w:val="auto"/>
              </w:rPr>
            </w:pPr>
            <w:r>
              <w:rPr>
                <w:rFonts w:ascii="Arial" w:cs="Arial" w:eastAsia="Arial" w:hAnsi="Arial"/>
                <w:sz w:val="13"/>
                <w:szCs w:val="13"/>
                <w:color w:val="auto"/>
              </w:rPr>
              <w:t>11,882,984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11,882,984</w:t>
            </w:r>
          </w:p>
        </w:tc>
        <w:tc>
          <w:tcPr>
            <w:tcW w:w="880" w:type="dxa"/>
            <w:vAlign w:val="bottom"/>
          </w:tcPr>
          <w:p>
            <w:pPr>
              <w:jc w:val="center"/>
              <w:spacing w:after="0"/>
              <w:rPr>
                <w:sz w:val="20"/>
                <w:szCs w:val="20"/>
                <w:color w:val="auto"/>
              </w:rPr>
            </w:pPr>
            <w:r>
              <w:rPr>
                <w:rFonts w:ascii="Arial" w:cs="Arial" w:eastAsia="Arial" w:hAnsi="Arial"/>
                <w:sz w:val="13"/>
                <w:szCs w:val="13"/>
                <w:color w:val="auto"/>
              </w:rPr>
              <w:t>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7.8%</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Reserves</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6,488,969</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7,298,035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6,540,665</w:t>
            </w:r>
          </w:p>
        </w:tc>
        <w:tc>
          <w:tcPr>
            <w:tcW w:w="880" w:type="dxa"/>
            <w:vAlign w:val="bottom"/>
          </w:tcPr>
          <w:p>
            <w:pPr>
              <w:jc w:val="center"/>
              <w:spacing w:after="0"/>
              <w:rPr>
                <w:sz w:val="20"/>
                <w:szCs w:val="20"/>
                <w:color w:val="auto"/>
              </w:rPr>
            </w:pPr>
            <w:r>
              <w:rPr>
                <w:rFonts w:ascii="Arial" w:cs="Arial" w:eastAsia="Arial" w:hAnsi="Arial"/>
                <w:sz w:val="13"/>
                <w:szCs w:val="13"/>
                <w:color w:val="auto"/>
              </w:rPr>
              <w:t>-10.4%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0.8%</w:t>
            </w:r>
          </w:p>
        </w:tc>
      </w:tr>
      <w:tr>
        <w:trPr>
          <w:trHeight w:val="151"/>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Unrealized gains and losses</w:t>
            </w:r>
          </w:p>
        </w:tc>
        <w:tc>
          <w:tcPr>
            <w:tcW w:w="1560" w:type="dxa"/>
            <w:vAlign w:val="bottom"/>
          </w:tcPr>
          <w:p>
            <w:pPr>
              <w:jc w:val="right"/>
              <w:ind w:right="153"/>
              <w:spacing w:after="0"/>
              <w:rPr>
                <w:sz w:val="20"/>
                <w:szCs w:val="20"/>
                <w:color w:val="auto"/>
              </w:rPr>
            </w:pPr>
            <w:r>
              <w:rPr>
                <w:rFonts w:ascii="Arial" w:cs="Arial" w:eastAsia="Arial" w:hAnsi="Arial"/>
                <w:sz w:val="13"/>
                <w:szCs w:val="13"/>
                <w:color w:val="auto"/>
              </w:rPr>
              <w:t>(495,371)</w:t>
            </w:r>
          </w:p>
        </w:tc>
        <w:tc>
          <w:tcPr>
            <w:tcW w:w="1360" w:type="dxa"/>
            <w:vAlign w:val="bottom"/>
          </w:tcPr>
          <w:p>
            <w:pPr>
              <w:jc w:val="right"/>
              <w:ind w:right="173"/>
              <w:spacing w:after="0"/>
              <w:rPr>
                <w:sz w:val="20"/>
                <w:szCs w:val="20"/>
                <w:color w:val="auto"/>
              </w:rPr>
            </w:pPr>
            <w:r>
              <w:rPr>
                <w:rFonts w:ascii="Arial" w:cs="Arial" w:eastAsia="Arial" w:hAnsi="Arial"/>
                <w:sz w:val="13"/>
                <w:szCs w:val="13"/>
                <w:color w:val="auto"/>
              </w:rPr>
              <w:t>(1,274,918)</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(549,319)</w:t>
            </w:r>
          </w:p>
        </w:tc>
        <w:tc>
          <w:tcPr>
            <w:tcW w:w="880" w:type="dxa"/>
            <w:vAlign w:val="bottom"/>
          </w:tcPr>
          <w:p>
            <w:pPr>
              <w:jc w:val="center"/>
              <w:spacing w:after="0"/>
              <w:rPr>
                <w:sz w:val="20"/>
                <w:szCs w:val="20"/>
                <w:color w:val="auto"/>
              </w:rPr>
            </w:pPr>
            <w:r>
              <w:rPr>
                <w:rFonts w:ascii="Arial" w:cs="Arial" w:eastAsia="Arial" w:hAnsi="Arial"/>
                <w:sz w:val="13"/>
                <w:szCs w:val="13"/>
                <w:color w:val="auto"/>
              </w:rPr>
              <w:t>-56.9%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10.9%</w:t>
            </w:r>
          </w:p>
        </w:tc>
      </w:tr>
      <w:tr>
        <w:trPr>
          <w:trHeight w:val="175"/>
        </w:trPr>
        <w:tc>
          <w:tcPr>
            <w:tcW w:w="54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Retained earnings</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3,615,860</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4,185,879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5,247,572</w:t>
            </w:r>
          </w:p>
        </w:tc>
        <w:tc>
          <w:tcPr>
            <w:tcW w:w="880" w:type="dxa"/>
            <w:vAlign w:val="bottom"/>
          </w:tcPr>
          <w:p>
            <w:pPr>
              <w:jc w:val="center"/>
              <w:spacing w:after="0"/>
              <w:rPr>
                <w:sz w:val="20"/>
                <w:szCs w:val="20"/>
                <w:color w:val="auto"/>
              </w:rPr>
            </w:pPr>
            <w:r>
              <w:rPr>
                <w:rFonts w:ascii="Arial" w:cs="Arial" w:eastAsia="Arial" w:hAnsi="Arial"/>
                <w:sz w:val="13"/>
                <w:szCs w:val="13"/>
                <w:color w:val="auto"/>
              </w:rPr>
              <w:t>25.4%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45.1%</w:t>
            </w:r>
          </w:p>
        </w:tc>
      </w:tr>
      <w:tr>
        <w:trPr>
          <w:trHeight w:val="302"/>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129,369</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147,846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150,335</w:t>
            </w:r>
          </w:p>
        </w:tc>
        <w:tc>
          <w:tcPr>
            <w:tcW w:w="880" w:type="dxa"/>
            <w:vAlign w:val="bottom"/>
          </w:tcPr>
          <w:p>
            <w:pPr>
              <w:jc w:val="center"/>
              <w:spacing w:after="0"/>
              <w:rPr>
                <w:sz w:val="20"/>
                <w:szCs w:val="20"/>
                <w:color w:val="auto"/>
              </w:rPr>
            </w:pPr>
            <w:r>
              <w:rPr>
                <w:rFonts w:ascii="Arial" w:cs="Arial" w:eastAsia="Arial" w:hAnsi="Arial"/>
                <w:sz w:val="13"/>
                <w:szCs w:val="13"/>
                <w:color w:val="auto"/>
              </w:rPr>
              <w:t>1.7%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16.2%</w:t>
            </w:r>
          </w:p>
        </w:tc>
      </w:tr>
      <w:tr>
        <w:trPr>
          <w:trHeight w:val="310"/>
        </w:trPr>
        <w:tc>
          <w:tcPr>
            <w:tcW w:w="5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Net Equity</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20,762,833</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22,239,826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23,272,237</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4.6%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12.1%</w:t>
            </w:r>
          </w:p>
        </w:tc>
      </w:tr>
      <w:tr>
        <w:trPr>
          <w:trHeight w:val="302"/>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199,307,836</w:t>
            </w:r>
          </w:p>
        </w:tc>
        <w:tc>
          <w:tcPr>
            <w:tcW w:w="1360" w:type="dxa"/>
            <w:vAlign w:val="bottom"/>
          </w:tcPr>
          <w:p>
            <w:pPr>
              <w:jc w:val="right"/>
              <w:ind w:right="213"/>
              <w:spacing w:after="0"/>
              <w:rPr>
                <w:sz w:val="20"/>
                <w:szCs w:val="20"/>
                <w:color w:val="auto"/>
              </w:rPr>
            </w:pPr>
            <w:r>
              <w:rPr>
                <w:rFonts w:ascii="Arial" w:cs="Arial" w:eastAsia="Arial" w:hAnsi="Arial"/>
                <w:sz w:val="13"/>
                <w:szCs w:val="13"/>
                <w:b w:val="1"/>
                <w:bCs w:val="1"/>
                <w:color w:val="auto"/>
              </w:rPr>
              <w:t>199,869,521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193,278,232</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-3.3%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-3.0%</w:t>
            </w:r>
          </w:p>
        </w:tc>
      </w:tr>
      <w:tr>
        <w:trPr>
          <w:trHeight w:val="270"/>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Off-balance sheet</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136,495,830</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139,052,767</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137,999,722</w:t>
            </w:r>
          </w:p>
        </w:tc>
        <w:tc>
          <w:tcPr>
            <w:tcW w:w="880" w:type="dxa"/>
            <w:vAlign w:val="bottom"/>
          </w:tcPr>
          <w:p>
            <w:pPr>
              <w:jc w:val="center"/>
              <w:spacing w:after="0"/>
              <w:rPr>
                <w:sz w:val="20"/>
                <w:szCs w:val="20"/>
                <w:color w:val="auto"/>
              </w:rPr>
            </w:pPr>
            <w:r>
              <w:rPr>
                <w:rFonts w:ascii="Arial" w:cs="Arial" w:eastAsia="Arial" w:hAnsi="Arial"/>
                <w:sz w:val="13"/>
                <w:szCs w:val="13"/>
                <w:color w:val="auto"/>
              </w:rPr>
              <w:t>-0.8%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w:t>
            </w:r>
          </w:p>
        </w:tc>
      </w:tr>
      <w:tr>
        <w:trPr>
          <w:trHeight w:val="151"/>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Total performance bonds, stand-by and L/Cs.</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21,203,561</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20,443,858</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19,737,892</w:t>
            </w:r>
          </w:p>
        </w:tc>
        <w:tc>
          <w:tcPr>
            <w:tcW w:w="880" w:type="dxa"/>
            <w:vAlign w:val="bottom"/>
          </w:tcPr>
          <w:p>
            <w:pPr>
              <w:jc w:val="center"/>
              <w:spacing w:after="0"/>
              <w:rPr>
                <w:sz w:val="20"/>
                <w:szCs w:val="20"/>
                <w:color w:val="auto"/>
              </w:rPr>
            </w:pPr>
            <w:r>
              <w:rPr>
                <w:rFonts w:ascii="Arial" w:cs="Arial" w:eastAsia="Arial" w:hAnsi="Arial"/>
                <w:sz w:val="13"/>
                <w:szCs w:val="13"/>
                <w:color w:val="auto"/>
              </w:rPr>
              <w:t>-3.5%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-6.9%</w:t>
            </w:r>
          </w:p>
        </w:tc>
      </w:tr>
      <w:tr>
        <w:trPr>
          <w:trHeight w:val="151"/>
        </w:trPr>
        <w:tc>
          <w:tcPr>
            <w:tcW w:w="5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Undrawn credit lines, advised but not committed</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75,333,998</w:t>
            </w:r>
          </w:p>
        </w:tc>
        <w:tc>
          <w:tcPr>
            <w:tcW w:w="1360" w:type="dxa"/>
            <w:vAlign w:val="bottom"/>
          </w:tcPr>
          <w:p>
            <w:pPr>
              <w:jc w:val="right"/>
              <w:ind w:right="213"/>
              <w:spacing w:after="0"/>
              <w:rPr>
                <w:sz w:val="20"/>
                <w:szCs w:val="20"/>
                <w:color w:val="auto"/>
              </w:rPr>
            </w:pPr>
            <w:r>
              <w:rPr>
                <w:rFonts w:ascii="Arial" w:cs="Arial" w:eastAsia="Arial" w:hAnsi="Arial"/>
                <w:sz w:val="13"/>
                <w:szCs w:val="13"/>
                <w:color w:val="auto"/>
              </w:rPr>
              <w:t>76,051,652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75,276,664</w:t>
            </w:r>
          </w:p>
        </w:tc>
        <w:tc>
          <w:tcPr>
            <w:tcW w:w="880" w:type="dxa"/>
            <w:vAlign w:val="bottom"/>
          </w:tcPr>
          <w:p>
            <w:pPr>
              <w:jc w:val="center"/>
              <w:spacing w:after="0"/>
              <w:rPr>
                <w:sz w:val="20"/>
                <w:szCs w:val="20"/>
                <w:color w:val="auto"/>
              </w:rPr>
            </w:pPr>
            <w:r>
              <w:rPr>
                <w:rFonts w:ascii="Arial" w:cs="Arial" w:eastAsia="Arial" w:hAnsi="Arial"/>
                <w:sz w:val="13"/>
                <w:szCs w:val="13"/>
                <w:color w:val="auto"/>
              </w:rPr>
              <w:t>-1.0%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-0.1%</w:t>
            </w:r>
          </w:p>
        </w:tc>
      </w:tr>
      <w:tr>
        <w:trPr>
          <w:trHeight w:val="159"/>
        </w:trPr>
        <w:tc>
          <w:tcPr>
            <w:tcW w:w="5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Total derivatives (notional) and others</w:t>
            </w: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39,958,271</w:t>
            </w: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42,557,257</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42,985,166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7.6%</w:t>
            </w:r>
          </w:p>
        </w:tc>
      </w:tr>
    </w:tbl>
    <w:p>
      <w:pPr>
        <w:spacing w:after="0" w:line="209" w:lineRule="exact"/>
        <w:rPr>
          <w:sz w:val="20"/>
          <w:szCs w:val="20"/>
          <w:color w:val="auto"/>
        </w:rPr>
      </w:pPr>
    </w:p>
    <w:p>
      <w:pPr>
        <w:ind w:left="180" w:hanging="179"/>
        <w:spacing w:after="0"/>
        <w:tabs>
          <w:tab w:leader="none" w:pos="1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Right of use asset of lease contracts is included by application of IFRS 16.</w:t>
      </w:r>
    </w:p>
    <w:p>
      <w:pPr>
        <w:ind w:left="180" w:hanging="179"/>
        <w:spacing w:after="0" w:line="218" w:lineRule="auto"/>
        <w:tabs>
          <w:tab w:leader="none" w:pos="1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Mainly includes intangible assets, other receivable accounts and tax credit.</w:t>
      </w:r>
    </w:p>
    <w:p>
      <w:pPr>
        <w:ind w:left="180" w:hanging="179"/>
        <w:spacing w:after="0"/>
        <w:tabs>
          <w:tab w:leader="none" w:pos="1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Mainly includes other payable accounts.</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61" w:name="page62"/>
    <w:bookmarkEnd w:id="61"/>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216535</wp:posOffset>
            </wp:positionV>
            <wp:extent cx="7141845" cy="535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BANCO DE CREDITO DEL PERU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S/ thousands, IFRS)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3820" w:type="dxa"/>
            <w:vAlign w:val="bottom"/>
            <w:tcBorders>
              <w:right w:val="single" w:sz="8" w:color="auto"/>
            </w:tcBorders>
          </w:tcPr>
          <w:p>
            <w:pPr>
              <w:spacing w:after="0"/>
              <w:rPr>
                <w:sz w:val="13"/>
                <w:szCs w:val="13"/>
                <w:color w:val="auto"/>
              </w:rPr>
            </w:pPr>
          </w:p>
        </w:tc>
        <w:tc>
          <w:tcPr>
            <w:tcW w:w="1260" w:type="dxa"/>
            <w:vAlign w:val="bottom"/>
            <w:tcBorders>
              <w:top w:val="single" w:sz="8" w:color="auto"/>
            </w:tcBorders>
            <w:shd w:val="clear" w:color="auto" w:fill="2AD2C9"/>
          </w:tcPr>
          <w:p>
            <w:pPr>
              <w:spacing w:after="0"/>
              <w:rPr>
                <w:sz w:val="13"/>
                <w:szCs w:val="13"/>
                <w:color w:val="auto"/>
              </w:rPr>
            </w:pPr>
          </w:p>
        </w:tc>
        <w:tc>
          <w:tcPr>
            <w:tcW w:w="1160" w:type="dxa"/>
            <w:vAlign w:val="bottom"/>
            <w:tcBorders>
              <w:top w:val="single" w:sz="8" w:color="auto"/>
            </w:tcBorders>
            <w:shd w:val="clear" w:color="auto" w:fill="2AD2C9"/>
          </w:tcPr>
          <w:p>
            <w:pPr>
              <w:jc w:val="right"/>
              <w:ind w:right="453"/>
              <w:spacing w:after="0"/>
              <w:rPr>
                <w:sz w:val="20"/>
                <w:szCs w:val="20"/>
                <w:color w:val="auto"/>
              </w:rPr>
            </w:pPr>
            <w:r>
              <w:rPr>
                <w:rFonts w:ascii="Arial" w:cs="Arial" w:eastAsia="Arial" w:hAnsi="Arial"/>
                <w:sz w:val="13"/>
                <w:szCs w:val="13"/>
                <w:b w:val="1"/>
                <w:bCs w:val="1"/>
                <w:color w:val="FFFFFF"/>
              </w:rPr>
              <w:t>Quarter</w:t>
            </w:r>
          </w:p>
        </w:tc>
        <w:tc>
          <w:tcPr>
            <w:tcW w:w="940" w:type="dxa"/>
            <w:vAlign w:val="bottom"/>
            <w:tcBorders>
              <w:top w:val="single" w:sz="8" w:color="auto"/>
              <w:right w:val="single" w:sz="8" w:color="auto"/>
            </w:tcBorders>
            <w:shd w:val="clear" w:color="auto" w:fill="2AD2C9"/>
          </w:tcPr>
          <w:p>
            <w:pPr>
              <w:spacing w:after="0"/>
              <w:rPr>
                <w:sz w:val="13"/>
                <w:szCs w:val="13"/>
                <w:color w:val="auto"/>
              </w:rPr>
            </w:pPr>
          </w:p>
        </w:tc>
        <w:tc>
          <w:tcPr>
            <w:tcW w:w="1340" w:type="dxa"/>
            <w:vAlign w:val="bottom"/>
            <w:tcBorders>
              <w:top w:val="single" w:sz="8" w:color="auto"/>
              <w:right w:val="single" w:sz="8" w:color="auto"/>
            </w:tcBorders>
            <w:gridSpan w:val="2"/>
            <w:shd w:val="clear" w:color="auto" w:fill="2AD2C9"/>
          </w:tcPr>
          <w:p>
            <w:pPr>
              <w:ind w:left="340"/>
              <w:spacing w:after="0"/>
              <w:rPr>
                <w:sz w:val="20"/>
                <w:szCs w:val="20"/>
                <w:color w:val="auto"/>
              </w:rPr>
            </w:pPr>
            <w:r>
              <w:rPr>
                <w:rFonts w:ascii="Arial" w:cs="Arial" w:eastAsia="Arial" w:hAnsi="Arial"/>
                <w:sz w:val="13"/>
                <w:szCs w:val="13"/>
                <w:b w:val="1"/>
                <w:bCs w:val="1"/>
                <w:color w:val="FFFFFF"/>
              </w:rPr>
              <w:t>% change</w:t>
            </w:r>
          </w:p>
        </w:tc>
        <w:tc>
          <w:tcPr>
            <w:tcW w:w="118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Year</w:t>
            </w:r>
          </w:p>
        </w:tc>
        <w:tc>
          <w:tcPr>
            <w:tcW w:w="820" w:type="dxa"/>
            <w:vAlign w:val="bottom"/>
            <w:tcBorders>
              <w:top w:val="single" w:sz="8" w:color="auto"/>
              <w:right w:val="single" w:sz="8" w:color="auto"/>
            </w:tcBorders>
            <w:shd w:val="clear" w:color="auto" w:fill="2AD2C9"/>
          </w:tcPr>
          <w:p>
            <w:pPr>
              <w:spacing w:after="0"/>
              <w:rPr>
                <w:sz w:val="13"/>
                <w:szCs w:val="13"/>
                <w:color w:val="auto"/>
              </w:rPr>
            </w:pPr>
          </w:p>
        </w:tc>
        <w:tc>
          <w:tcPr>
            <w:tcW w:w="740" w:type="dxa"/>
            <w:vAlign w:val="bottom"/>
            <w:tcBorders>
              <w:top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3"/>
                <w:szCs w:val="13"/>
                <w:b w:val="1"/>
                <w:bCs w:val="1"/>
                <w:color w:val="FFFFFF"/>
              </w:rPr>
              <w:t>% change</w:t>
            </w:r>
          </w:p>
        </w:tc>
      </w:tr>
      <w:tr>
        <w:trPr>
          <w:trHeight w:val="161"/>
        </w:trPr>
        <w:tc>
          <w:tcPr>
            <w:tcW w:w="382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tcBorders>
            <w:shd w:val="clear" w:color="auto" w:fill="2AD2C9"/>
          </w:tcPr>
          <w:p>
            <w:pPr>
              <w:jc w:val="right"/>
              <w:ind w:right="473"/>
              <w:spacing w:after="0"/>
              <w:rPr>
                <w:sz w:val="20"/>
                <w:szCs w:val="20"/>
                <w:color w:val="auto"/>
              </w:rPr>
            </w:pPr>
            <w:r>
              <w:rPr>
                <w:rFonts w:ascii="Arial" w:cs="Arial" w:eastAsia="Arial" w:hAnsi="Arial"/>
                <w:sz w:val="13"/>
                <w:szCs w:val="13"/>
                <w:b w:val="1"/>
                <w:bCs w:val="1"/>
                <w:color w:val="FFFFFF"/>
              </w:rPr>
              <w:t>4Q21</w:t>
            </w:r>
          </w:p>
        </w:tc>
        <w:tc>
          <w:tcPr>
            <w:tcW w:w="1160" w:type="dxa"/>
            <w:vAlign w:val="bottom"/>
            <w:tcBorders>
              <w:bottom w:val="single" w:sz="8" w:color="auto"/>
            </w:tcBorders>
            <w:shd w:val="clear" w:color="auto" w:fill="2AD2C9"/>
          </w:tcPr>
          <w:p>
            <w:pPr>
              <w:jc w:val="right"/>
              <w:ind w:right="533"/>
              <w:spacing w:after="0"/>
              <w:rPr>
                <w:sz w:val="20"/>
                <w:szCs w:val="20"/>
                <w:color w:val="auto"/>
              </w:rPr>
            </w:pPr>
            <w:r>
              <w:rPr>
                <w:rFonts w:ascii="Arial" w:cs="Arial" w:eastAsia="Arial" w:hAnsi="Arial"/>
                <w:sz w:val="13"/>
                <w:szCs w:val="13"/>
                <w:b w:val="1"/>
                <w:bCs w:val="1"/>
                <w:color w:val="FFFFFF"/>
              </w:rPr>
              <w:t>3Q22</w:t>
            </w:r>
          </w:p>
        </w:tc>
        <w:tc>
          <w:tcPr>
            <w:tcW w:w="940" w:type="dxa"/>
            <w:vAlign w:val="bottom"/>
            <w:tcBorders>
              <w:bottom w:val="single" w:sz="8" w:color="auto"/>
              <w:right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4Q22</w:t>
            </w:r>
          </w:p>
        </w:tc>
        <w:tc>
          <w:tcPr>
            <w:tcW w:w="64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3"/>
                <w:szCs w:val="13"/>
                <w:b w:val="1"/>
                <w:bCs w:val="1"/>
                <w:color w:val="FFFFFF"/>
              </w:rPr>
              <w:t>QoQ</w:t>
            </w:r>
          </w:p>
        </w:tc>
        <w:tc>
          <w:tcPr>
            <w:tcW w:w="700" w:type="dxa"/>
            <w:vAlign w:val="bottom"/>
            <w:tcBorders>
              <w:bottom w:val="single" w:sz="8" w:color="auto"/>
              <w:right w:val="single" w:sz="8" w:color="auto"/>
            </w:tcBorders>
            <w:shd w:val="clear" w:color="auto" w:fill="2AD2C9"/>
          </w:tcPr>
          <w:p>
            <w:pPr>
              <w:ind w:left="220"/>
              <w:spacing w:after="0"/>
              <w:rPr>
                <w:sz w:val="20"/>
                <w:szCs w:val="20"/>
                <w:color w:val="auto"/>
              </w:rPr>
            </w:pPr>
            <w:r>
              <w:rPr>
                <w:rFonts w:ascii="Arial" w:cs="Arial" w:eastAsia="Arial" w:hAnsi="Arial"/>
                <w:sz w:val="13"/>
                <w:szCs w:val="13"/>
                <w:b w:val="1"/>
                <w:bCs w:val="1"/>
                <w:color w:val="FFFFFF"/>
              </w:rPr>
              <w:t>YoY</w:t>
            </w:r>
          </w:p>
        </w:tc>
        <w:tc>
          <w:tcPr>
            <w:tcW w:w="1180" w:type="dxa"/>
            <w:vAlign w:val="bottom"/>
            <w:tcBorders>
              <w:bottom w:val="single" w:sz="8" w:color="auto"/>
            </w:tcBorders>
            <w:shd w:val="clear" w:color="auto" w:fill="2AD2C9"/>
          </w:tcPr>
          <w:p>
            <w:pPr>
              <w:jc w:val="right"/>
              <w:ind w:right="433"/>
              <w:spacing w:after="0"/>
              <w:rPr>
                <w:sz w:val="20"/>
                <w:szCs w:val="20"/>
                <w:color w:val="auto"/>
              </w:rPr>
            </w:pPr>
            <w:r>
              <w:rPr>
                <w:rFonts w:ascii="Arial" w:cs="Arial" w:eastAsia="Arial" w:hAnsi="Arial"/>
                <w:sz w:val="13"/>
                <w:szCs w:val="13"/>
                <w:b w:val="1"/>
                <w:bCs w:val="1"/>
                <w:color w:val="FFFFFF"/>
              </w:rPr>
              <w:t>2021</w:t>
            </w:r>
          </w:p>
        </w:tc>
        <w:tc>
          <w:tcPr>
            <w:tcW w:w="820" w:type="dxa"/>
            <w:vAlign w:val="bottom"/>
            <w:tcBorders>
              <w:bottom w:val="single" w:sz="8" w:color="auto"/>
              <w:right w:val="single" w:sz="8" w:color="auto"/>
            </w:tcBorders>
            <w:shd w:val="clear" w:color="auto" w:fill="2AD2C9"/>
          </w:tcPr>
          <w:p>
            <w:pPr>
              <w:jc w:val="right"/>
              <w:ind w:right="253"/>
              <w:spacing w:after="0"/>
              <w:rPr>
                <w:sz w:val="20"/>
                <w:szCs w:val="20"/>
                <w:color w:val="auto"/>
              </w:rPr>
            </w:pPr>
            <w:r>
              <w:rPr>
                <w:rFonts w:ascii="Arial" w:cs="Arial" w:eastAsia="Arial" w:hAnsi="Arial"/>
                <w:sz w:val="13"/>
                <w:szCs w:val="13"/>
                <w:b w:val="1"/>
                <w:bCs w:val="1"/>
                <w:color w:val="FFFFFF"/>
              </w:rPr>
              <w:t>2022</w:t>
            </w:r>
          </w:p>
        </w:tc>
        <w:tc>
          <w:tcPr>
            <w:tcW w:w="7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36"/>
        </w:trPr>
        <w:tc>
          <w:tcPr>
            <w:tcW w:w="382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Interest income and expense</w:t>
            </w:r>
          </w:p>
        </w:tc>
        <w:tc>
          <w:tcPr>
            <w:tcW w:w="1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r>
      <w:tr>
        <w:trPr>
          <w:trHeight w:val="151"/>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and dividend income</w:t>
            </w:r>
          </w:p>
        </w:tc>
        <w:tc>
          <w:tcPr>
            <w:tcW w:w="1260" w:type="dxa"/>
            <w:vAlign w:val="bottom"/>
          </w:tcPr>
          <w:p>
            <w:pPr>
              <w:jc w:val="right"/>
              <w:ind w:right="133"/>
              <w:spacing w:after="0"/>
              <w:rPr>
                <w:sz w:val="20"/>
                <w:szCs w:val="20"/>
                <w:color w:val="auto"/>
              </w:rPr>
            </w:pPr>
            <w:r>
              <w:rPr>
                <w:rFonts w:ascii="Arial" w:cs="Arial" w:eastAsia="Arial" w:hAnsi="Arial"/>
                <w:sz w:val="13"/>
                <w:szCs w:val="13"/>
                <w:color w:val="auto"/>
              </w:rPr>
              <w:t>2,626,005</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3,462,081</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3,821,770</w:t>
            </w:r>
          </w:p>
        </w:tc>
        <w:tc>
          <w:tcPr>
            <w:tcW w:w="640" w:type="dxa"/>
            <w:vAlign w:val="bottom"/>
          </w:tcPr>
          <w:p>
            <w:pPr>
              <w:jc w:val="center"/>
              <w:spacing w:after="0"/>
              <w:rPr>
                <w:sz w:val="20"/>
                <w:szCs w:val="20"/>
                <w:color w:val="auto"/>
              </w:rPr>
            </w:pPr>
            <w:r>
              <w:rPr>
                <w:rFonts w:ascii="Arial" w:cs="Arial" w:eastAsia="Arial" w:hAnsi="Arial"/>
                <w:sz w:val="13"/>
                <w:szCs w:val="13"/>
                <w:color w:val="auto"/>
              </w:rPr>
              <w:t>10.4%</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45.5%</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10,022,744</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12,985,696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29.6%</w:t>
            </w:r>
          </w:p>
        </w:tc>
      </w:tr>
      <w:tr>
        <w:trPr>
          <w:trHeight w:val="149"/>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expense</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(459,334)</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(799,839)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(913,761)</w:t>
            </w:r>
          </w:p>
        </w:tc>
        <w:tc>
          <w:tcPr>
            <w:tcW w:w="640" w:type="dxa"/>
            <w:vAlign w:val="bottom"/>
          </w:tcPr>
          <w:p>
            <w:pPr>
              <w:jc w:val="center"/>
              <w:spacing w:after="0"/>
              <w:rPr>
                <w:sz w:val="20"/>
                <w:szCs w:val="20"/>
                <w:color w:val="auto"/>
              </w:rPr>
            </w:pPr>
            <w:r>
              <w:rPr>
                <w:rFonts w:ascii="Arial" w:cs="Arial" w:eastAsia="Arial" w:hAnsi="Arial"/>
                <w:sz w:val="13"/>
                <w:szCs w:val="13"/>
                <w:color w:val="auto"/>
              </w:rPr>
              <w:t>14.2%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98.9%</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(1,896,683)</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(2,798,234)</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47.5%</w:t>
            </w:r>
          </w:p>
        </w:tc>
      </w:tr>
      <w:tr>
        <w:trPr>
          <w:trHeight w:val="185"/>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Net interest income</w:t>
            </w:r>
          </w:p>
        </w:tc>
        <w:tc>
          <w:tcPr>
            <w:tcW w:w="1260" w:type="dxa"/>
            <w:vAlign w:val="bottom"/>
          </w:tcPr>
          <w:p>
            <w:pPr>
              <w:jc w:val="right"/>
              <w:ind w:right="133"/>
              <w:spacing w:after="0"/>
              <w:rPr>
                <w:sz w:val="20"/>
                <w:szCs w:val="20"/>
                <w:color w:val="auto"/>
              </w:rPr>
            </w:pPr>
            <w:r>
              <w:rPr>
                <w:rFonts w:ascii="Arial" w:cs="Arial" w:eastAsia="Arial" w:hAnsi="Arial"/>
                <w:sz w:val="13"/>
                <w:szCs w:val="13"/>
                <w:color w:val="auto"/>
              </w:rPr>
              <w:t>2,166,671</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2,662,242</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2,908,009</w:t>
            </w:r>
          </w:p>
        </w:tc>
        <w:tc>
          <w:tcPr>
            <w:tcW w:w="640" w:type="dxa"/>
            <w:vAlign w:val="bottom"/>
          </w:tcPr>
          <w:p>
            <w:pPr>
              <w:jc w:val="center"/>
              <w:spacing w:after="0"/>
              <w:rPr>
                <w:sz w:val="20"/>
                <w:szCs w:val="20"/>
                <w:color w:val="auto"/>
              </w:rPr>
            </w:pPr>
            <w:r>
              <w:rPr>
                <w:rFonts w:ascii="Arial" w:cs="Arial" w:eastAsia="Arial" w:hAnsi="Arial"/>
                <w:sz w:val="13"/>
                <w:szCs w:val="13"/>
                <w:color w:val="auto"/>
              </w:rPr>
              <w:t>9.2%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34.2%</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8,126,061</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10,187,462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25.4%</w:t>
            </w:r>
          </w:p>
        </w:tc>
      </w:tr>
      <w:tr>
        <w:trPr>
          <w:trHeight w:val="270"/>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Provision for credit losses on loan portfolio</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(224,506)</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(522,071)</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(783,402)</w:t>
            </w:r>
          </w:p>
        </w:tc>
        <w:tc>
          <w:tcPr>
            <w:tcW w:w="640" w:type="dxa"/>
            <w:vAlign w:val="bottom"/>
          </w:tcPr>
          <w:p>
            <w:pPr>
              <w:jc w:val="center"/>
              <w:spacing w:after="0"/>
              <w:rPr>
                <w:sz w:val="20"/>
                <w:szCs w:val="20"/>
                <w:color w:val="auto"/>
              </w:rPr>
            </w:pPr>
            <w:r>
              <w:rPr>
                <w:rFonts w:ascii="Arial" w:cs="Arial" w:eastAsia="Arial" w:hAnsi="Arial"/>
                <w:sz w:val="13"/>
                <w:szCs w:val="13"/>
                <w:color w:val="auto"/>
              </w:rPr>
              <w:t>50.1%</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248.9%</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(1,539,152)</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(2,045,832)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32.9%</w:t>
            </w:r>
          </w:p>
        </w:tc>
      </w:tr>
      <w:tr>
        <w:trPr>
          <w:trHeight w:val="149"/>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Recoveries of written-off loans</w:t>
            </w:r>
          </w:p>
        </w:tc>
        <w:tc>
          <w:tcPr>
            <w:tcW w:w="1260" w:type="dxa"/>
            <w:vAlign w:val="bottom"/>
          </w:tcPr>
          <w:p>
            <w:pPr>
              <w:jc w:val="right"/>
              <w:ind w:right="133"/>
              <w:spacing w:after="0"/>
              <w:rPr>
                <w:sz w:val="20"/>
                <w:szCs w:val="20"/>
                <w:color w:val="auto"/>
              </w:rPr>
            </w:pPr>
            <w:r>
              <w:rPr>
                <w:rFonts w:ascii="Arial" w:cs="Arial" w:eastAsia="Arial" w:hAnsi="Arial"/>
                <w:sz w:val="13"/>
                <w:szCs w:val="13"/>
                <w:color w:val="auto"/>
              </w:rPr>
              <w:t>95,748</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78,403</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79,076</w:t>
            </w:r>
          </w:p>
        </w:tc>
        <w:tc>
          <w:tcPr>
            <w:tcW w:w="640" w:type="dxa"/>
            <w:vAlign w:val="bottom"/>
          </w:tcPr>
          <w:p>
            <w:pPr>
              <w:jc w:val="center"/>
              <w:spacing w:after="0"/>
              <w:rPr>
                <w:sz w:val="20"/>
                <w:szCs w:val="20"/>
                <w:color w:val="auto"/>
              </w:rPr>
            </w:pPr>
            <w:r>
              <w:rPr>
                <w:rFonts w:ascii="Arial" w:cs="Arial" w:eastAsia="Arial" w:hAnsi="Arial"/>
                <w:sz w:val="13"/>
                <w:szCs w:val="13"/>
                <w:color w:val="auto"/>
              </w:rPr>
              <w:t>0.9%</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-17.4%</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323,538</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321,151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-0.7%</w:t>
            </w:r>
          </w:p>
        </w:tc>
      </w:tr>
      <w:tr>
        <w:trPr>
          <w:trHeight w:val="151"/>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Provision for credit losses on loan portfolio, net of</w:t>
            </w: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r>
      <w:tr>
        <w:trPr>
          <w:trHeight w:val="185"/>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recoveries</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(128,758)</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(443,668)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(704,326)</w:t>
            </w:r>
          </w:p>
        </w:tc>
        <w:tc>
          <w:tcPr>
            <w:tcW w:w="640" w:type="dxa"/>
            <w:vAlign w:val="bottom"/>
          </w:tcPr>
          <w:p>
            <w:pPr>
              <w:jc w:val="center"/>
              <w:spacing w:after="0"/>
              <w:rPr>
                <w:sz w:val="20"/>
                <w:szCs w:val="20"/>
                <w:color w:val="auto"/>
              </w:rPr>
            </w:pPr>
            <w:r>
              <w:rPr>
                <w:rFonts w:ascii="Arial" w:cs="Arial" w:eastAsia="Arial" w:hAnsi="Arial"/>
                <w:sz w:val="13"/>
                <w:szCs w:val="13"/>
                <w:color w:val="auto"/>
              </w:rPr>
              <w:t>58.8%</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447.0%</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(1,215,614)</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(1,724,681)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41.9%</w:t>
            </w:r>
          </w:p>
        </w:tc>
      </w:tr>
      <w:tr>
        <w:trPr>
          <w:trHeight w:val="302"/>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Risk-adjusted net interest income</w:t>
            </w:r>
          </w:p>
        </w:tc>
        <w:tc>
          <w:tcPr>
            <w:tcW w:w="1260" w:type="dxa"/>
            <w:vAlign w:val="bottom"/>
          </w:tcPr>
          <w:p>
            <w:pPr>
              <w:jc w:val="right"/>
              <w:ind w:right="133"/>
              <w:spacing w:after="0"/>
              <w:rPr>
                <w:sz w:val="20"/>
                <w:szCs w:val="20"/>
                <w:color w:val="auto"/>
              </w:rPr>
            </w:pPr>
            <w:r>
              <w:rPr>
                <w:rFonts w:ascii="Arial" w:cs="Arial" w:eastAsia="Arial" w:hAnsi="Arial"/>
                <w:sz w:val="13"/>
                <w:szCs w:val="13"/>
                <w:color w:val="auto"/>
              </w:rPr>
              <w:t>2,037,913</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2,218,574</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2,203,683</w:t>
            </w:r>
          </w:p>
        </w:tc>
        <w:tc>
          <w:tcPr>
            <w:tcW w:w="640" w:type="dxa"/>
            <w:vAlign w:val="bottom"/>
          </w:tcPr>
          <w:p>
            <w:pPr>
              <w:jc w:val="center"/>
              <w:spacing w:after="0"/>
              <w:rPr>
                <w:sz w:val="20"/>
                <w:szCs w:val="20"/>
                <w:color w:val="auto"/>
              </w:rPr>
            </w:pPr>
            <w:r>
              <w:rPr>
                <w:rFonts w:ascii="Arial" w:cs="Arial" w:eastAsia="Arial" w:hAnsi="Arial"/>
                <w:sz w:val="13"/>
                <w:szCs w:val="13"/>
                <w:color w:val="auto"/>
              </w:rPr>
              <w:t>-0.7%</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8.1%</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6,910,447</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8,462,781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22.5%</w:t>
            </w:r>
          </w:p>
        </w:tc>
      </w:tr>
      <w:tr>
        <w:trPr>
          <w:trHeight w:val="270"/>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Non-financial income</w:t>
            </w:r>
          </w:p>
        </w:tc>
        <w:tc>
          <w:tcPr>
            <w:tcW w:w="1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r>
      <w:tr>
        <w:trPr>
          <w:trHeight w:val="151"/>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Fee income</w:t>
            </w:r>
          </w:p>
        </w:tc>
        <w:tc>
          <w:tcPr>
            <w:tcW w:w="1260" w:type="dxa"/>
            <w:vAlign w:val="bottom"/>
          </w:tcPr>
          <w:p>
            <w:pPr>
              <w:jc w:val="right"/>
              <w:ind w:right="133"/>
              <w:spacing w:after="0"/>
              <w:rPr>
                <w:sz w:val="20"/>
                <w:szCs w:val="20"/>
                <w:color w:val="auto"/>
              </w:rPr>
            </w:pPr>
            <w:r>
              <w:rPr>
                <w:rFonts w:ascii="Arial" w:cs="Arial" w:eastAsia="Arial" w:hAnsi="Arial"/>
                <w:sz w:val="13"/>
                <w:szCs w:val="13"/>
                <w:color w:val="auto"/>
              </w:rPr>
              <w:t>749,416</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784,132</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766,960</w:t>
            </w:r>
          </w:p>
        </w:tc>
        <w:tc>
          <w:tcPr>
            <w:tcW w:w="640" w:type="dxa"/>
            <w:vAlign w:val="bottom"/>
          </w:tcPr>
          <w:p>
            <w:pPr>
              <w:jc w:val="center"/>
              <w:spacing w:after="0"/>
              <w:rPr>
                <w:sz w:val="20"/>
                <w:szCs w:val="20"/>
                <w:color w:val="auto"/>
              </w:rPr>
            </w:pPr>
            <w:r>
              <w:rPr>
                <w:rFonts w:ascii="Arial" w:cs="Arial" w:eastAsia="Arial" w:hAnsi="Arial"/>
                <w:sz w:val="13"/>
                <w:szCs w:val="13"/>
                <w:color w:val="auto"/>
              </w:rPr>
              <w:t>-2.2%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2.3%</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2,718,531</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3,036,631</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11.7%</w:t>
            </w:r>
          </w:p>
        </w:tc>
      </w:tr>
      <w:tr>
        <w:trPr>
          <w:trHeight w:val="151"/>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on foreign exchange transactions</w:t>
            </w:r>
          </w:p>
        </w:tc>
        <w:tc>
          <w:tcPr>
            <w:tcW w:w="1260" w:type="dxa"/>
            <w:vAlign w:val="bottom"/>
          </w:tcPr>
          <w:p>
            <w:pPr>
              <w:jc w:val="right"/>
              <w:ind w:right="133"/>
              <w:spacing w:after="0"/>
              <w:rPr>
                <w:sz w:val="20"/>
                <w:szCs w:val="20"/>
                <w:color w:val="auto"/>
              </w:rPr>
            </w:pPr>
            <w:r>
              <w:rPr>
                <w:rFonts w:ascii="Arial" w:cs="Arial" w:eastAsia="Arial" w:hAnsi="Arial"/>
                <w:sz w:val="13"/>
                <w:szCs w:val="13"/>
                <w:color w:val="auto"/>
              </w:rPr>
              <w:t>239,930</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246,518</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271,267</w:t>
            </w:r>
          </w:p>
        </w:tc>
        <w:tc>
          <w:tcPr>
            <w:tcW w:w="640" w:type="dxa"/>
            <w:vAlign w:val="bottom"/>
          </w:tcPr>
          <w:p>
            <w:pPr>
              <w:jc w:val="center"/>
              <w:spacing w:after="0"/>
              <w:rPr>
                <w:sz w:val="20"/>
                <w:szCs w:val="20"/>
                <w:color w:val="auto"/>
              </w:rPr>
            </w:pPr>
            <w:r>
              <w:rPr>
                <w:rFonts w:ascii="Arial" w:cs="Arial" w:eastAsia="Arial" w:hAnsi="Arial"/>
                <w:sz w:val="13"/>
                <w:szCs w:val="13"/>
                <w:color w:val="auto"/>
              </w:rPr>
              <w:t>10.0%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13.1%</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888,261</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1,003,855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13.0%</w:t>
            </w:r>
          </w:p>
        </w:tc>
      </w:tr>
      <w:tr>
        <w:trPr>
          <w:trHeight w:val="151"/>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(loss) on securities</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(7,511)</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(5,587)</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(9,162)</w:t>
            </w:r>
          </w:p>
        </w:tc>
        <w:tc>
          <w:tcPr>
            <w:tcW w:w="640" w:type="dxa"/>
            <w:vAlign w:val="bottom"/>
          </w:tcPr>
          <w:p>
            <w:pPr>
              <w:jc w:val="center"/>
              <w:spacing w:after="0"/>
              <w:rPr>
                <w:sz w:val="20"/>
                <w:szCs w:val="20"/>
                <w:color w:val="auto"/>
              </w:rPr>
            </w:pPr>
            <w:r>
              <w:rPr>
                <w:rFonts w:ascii="Arial" w:cs="Arial" w:eastAsia="Arial" w:hAnsi="Arial"/>
                <w:sz w:val="13"/>
                <w:szCs w:val="13"/>
                <w:color w:val="auto"/>
              </w:rPr>
              <w:t>64.0%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22.0%</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(125,890)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(19,258)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-84.7%</w:t>
            </w:r>
          </w:p>
        </w:tc>
      </w:tr>
      <w:tr>
        <w:trPr>
          <w:trHeight w:val="151"/>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(loss) on derivatives held for trading</w:t>
            </w:r>
          </w:p>
        </w:tc>
        <w:tc>
          <w:tcPr>
            <w:tcW w:w="1260" w:type="dxa"/>
            <w:vAlign w:val="bottom"/>
          </w:tcPr>
          <w:p>
            <w:pPr>
              <w:jc w:val="right"/>
              <w:ind w:right="133"/>
              <w:spacing w:after="0"/>
              <w:rPr>
                <w:sz w:val="20"/>
                <w:szCs w:val="20"/>
                <w:color w:val="auto"/>
              </w:rPr>
            </w:pPr>
            <w:r>
              <w:rPr>
                <w:rFonts w:ascii="Arial" w:cs="Arial" w:eastAsia="Arial" w:hAnsi="Arial"/>
                <w:sz w:val="13"/>
                <w:szCs w:val="13"/>
                <w:color w:val="auto"/>
              </w:rPr>
              <w:t>27,477</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17,037</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17,756</w:t>
            </w:r>
          </w:p>
        </w:tc>
        <w:tc>
          <w:tcPr>
            <w:tcW w:w="640" w:type="dxa"/>
            <w:vAlign w:val="bottom"/>
          </w:tcPr>
          <w:p>
            <w:pPr>
              <w:jc w:val="center"/>
              <w:spacing w:after="0"/>
              <w:rPr>
                <w:sz w:val="20"/>
                <w:szCs w:val="20"/>
                <w:color w:val="auto"/>
              </w:rPr>
            </w:pPr>
            <w:r>
              <w:rPr>
                <w:rFonts w:ascii="Arial" w:cs="Arial" w:eastAsia="Arial" w:hAnsi="Arial"/>
                <w:sz w:val="13"/>
                <w:szCs w:val="13"/>
                <w:color w:val="auto"/>
              </w:rPr>
              <w:t>4.2%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-35.4%</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72,103</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4,778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-93.4%</w:t>
            </w:r>
          </w:p>
        </w:tc>
      </w:tr>
      <w:tr>
        <w:trPr>
          <w:trHeight w:val="151"/>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(loss) from exchange differences</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(4,593)</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10,962</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3,265</w:t>
            </w:r>
          </w:p>
        </w:tc>
        <w:tc>
          <w:tcPr>
            <w:tcW w:w="640" w:type="dxa"/>
            <w:vAlign w:val="bottom"/>
          </w:tcPr>
          <w:p>
            <w:pPr>
              <w:jc w:val="center"/>
              <w:spacing w:after="0"/>
              <w:rPr>
                <w:sz w:val="20"/>
                <w:szCs w:val="20"/>
                <w:color w:val="auto"/>
              </w:rPr>
            </w:pPr>
            <w:r>
              <w:rPr>
                <w:rFonts w:ascii="Arial" w:cs="Arial" w:eastAsia="Arial" w:hAnsi="Arial"/>
                <w:sz w:val="13"/>
                <w:szCs w:val="13"/>
                <w:color w:val="auto"/>
              </w:rPr>
              <w:t>-70.2%</w:t>
            </w:r>
          </w:p>
        </w:tc>
        <w:tc>
          <w:tcPr>
            <w:tcW w:w="70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n.a.</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60,439</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6,219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-89.7%</w:t>
            </w:r>
          </w:p>
        </w:tc>
      </w:tr>
      <w:tr>
        <w:trPr>
          <w:trHeight w:val="149"/>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Others</w:t>
            </w:r>
          </w:p>
        </w:tc>
        <w:tc>
          <w:tcPr>
            <w:tcW w:w="1260" w:type="dxa"/>
            <w:vAlign w:val="bottom"/>
          </w:tcPr>
          <w:p>
            <w:pPr>
              <w:jc w:val="right"/>
              <w:ind w:right="133"/>
              <w:spacing w:after="0"/>
              <w:rPr>
                <w:sz w:val="20"/>
                <w:szCs w:val="20"/>
                <w:color w:val="auto"/>
              </w:rPr>
            </w:pPr>
            <w:r>
              <w:rPr>
                <w:rFonts w:ascii="Arial" w:cs="Arial" w:eastAsia="Arial" w:hAnsi="Arial"/>
                <w:sz w:val="13"/>
                <w:szCs w:val="13"/>
                <w:color w:val="auto"/>
              </w:rPr>
              <w:t>33,562</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36,947</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8,862</w:t>
            </w:r>
          </w:p>
        </w:tc>
        <w:tc>
          <w:tcPr>
            <w:tcW w:w="640" w:type="dxa"/>
            <w:vAlign w:val="bottom"/>
          </w:tcPr>
          <w:p>
            <w:pPr>
              <w:jc w:val="center"/>
              <w:spacing w:after="0"/>
              <w:rPr>
                <w:sz w:val="20"/>
                <w:szCs w:val="20"/>
                <w:color w:val="auto"/>
              </w:rPr>
            </w:pPr>
            <w:r>
              <w:rPr>
                <w:rFonts w:ascii="Arial" w:cs="Arial" w:eastAsia="Arial" w:hAnsi="Arial"/>
                <w:sz w:val="13"/>
                <w:szCs w:val="13"/>
                <w:color w:val="auto"/>
              </w:rPr>
              <w:t>-76.0%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-73.6%</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165,125</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212,490</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28.7%</w:t>
            </w:r>
          </w:p>
        </w:tc>
      </w:tr>
      <w:tr>
        <w:trPr>
          <w:trHeight w:val="185"/>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Total other income</w:t>
            </w:r>
          </w:p>
        </w:tc>
        <w:tc>
          <w:tcPr>
            <w:tcW w:w="1260" w:type="dxa"/>
            <w:vAlign w:val="bottom"/>
          </w:tcPr>
          <w:p>
            <w:pPr>
              <w:jc w:val="right"/>
              <w:ind w:right="133"/>
              <w:spacing w:after="0"/>
              <w:rPr>
                <w:sz w:val="20"/>
                <w:szCs w:val="20"/>
                <w:color w:val="auto"/>
              </w:rPr>
            </w:pPr>
            <w:r>
              <w:rPr>
                <w:rFonts w:ascii="Arial" w:cs="Arial" w:eastAsia="Arial" w:hAnsi="Arial"/>
                <w:sz w:val="13"/>
                <w:szCs w:val="13"/>
                <w:color w:val="auto"/>
              </w:rPr>
              <w:t>1,038,281</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1,090,009</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1,058,948</w:t>
            </w:r>
          </w:p>
        </w:tc>
        <w:tc>
          <w:tcPr>
            <w:tcW w:w="640" w:type="dxa"/>
            <w:vAlign w:val="bottom"/>
          </w:tcPr>
          <w:p>
            <w:pPr>
              <w:jc w:val="center"/>
              <w:spacing w:after="0"/>
              <w:rPr>
                <w:sz w:val="20"/>
                <w:szCs w:val="20"/>
                <w:color w:val="auto"/>
              </w:rPr>
            </w:pPr>
            <w:r>
              <w:rPr>
                <w:rFonts w:ascii="Arial" w:cs="Arial" w:eastAsia="Arial" w:hAnsi="Arial"/>
                <w:sz w:val="13"/>
                <w:szCs w:val="13"/>
                <w:color w:val="auto"/>
              </w:rPr>
              <w:t>-2.8%</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3,778,569</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4,244,715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12.3%</w:t>
            </w:r>
          </w:p>
        </w:tc>
      </w:tr>
      <w:tr>
        <w:trPr>
          <w:trHeight w:val="270"/>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expenses</w:t>
            </w:r>
          </w:p>
        </w:tc>
        <w:tc>
          <w:tcPr>
            <w:tcW w:w="1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r>
      <w:tr>
        <w:trPr>
          <w:trHeight w:val="151"/>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Salaries and employee benefits</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(715,877)</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(732,377)</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(768,578)</w:t>
            </w:r>
          </w:p>
        </w:tc>
        <w:tc>
          <w:tcPr>
            <w:tcW w:w="640" w:type="dxa"/>
            <w:vAlign w:val="bottom"/>
          </w:tcPr>
          <w:p>
            <w:pPr>
              <w:jc w:val="center"/>
              <w:spacing w:after="0"/>
              <w:rPr>
                <w:sz w:val="20"/>
                <w:szCs w:val="20"/>
                <w:color w:val="auto"/>
              </w:rPr>
            </w:pPr>
            <w:r>
              <w:rPr>
                <w:rFonts w:ascii="Arial" w:cs="Arial" w:eastAsia="Arial" w:hAnsi="Arial"/>
                <w:sz w:val="13"/>
                <w:szCs w:val="13"/>
                <w:color w:val="auto"/>
              </w:rPr>
              <w:t>4.9%</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7.4%</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(2,581,498)</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(2,883,985)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11.7%</w:t>
            </w:r>
          </w:p>
        </w:tc>
      </w:tr>
      <w:tr>
        <w:trPr>
          <w:trHeight w:val="151"/>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Administrative expenses</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(694,702)</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(641,330)</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(810,501)</w:t>
            </w:r>
          </w:p>
        </w:tc>
        <w:tc>
          <w:tcPr>
            <w:tcW w:w="640" w:type="dxa"/>
            <w:vAlign w:val="bottom"/>
          </w:tcPr>
          <w:p>
            <w:pPr>
              <w:jc w:val="center"/>
              <w:spacing w:after="0"/>
              <w:rPr>
                <w:sz w:val="20"/>
                <w:szCs w:val="20"/>
                <w:color w:val="auto"/>
              </w:rPr>
            </w:pPr>
            <w:r>
              <w:rPr>
                <w:rFonts w:ascii="Arial" w:cs="Arial" w:eastAsia="Arial" w:hAnsi="Arial"/>
                <w:sz w:val="13"/>
                <w:szCs w:val="13"/>
                <w:color w:val="auto"/>
              </w:rPr>
              <w:t>26.4%</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16.7%</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(2,279,368)</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(2,622,756)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15.1%</w:t>
            </w:r>
          </w:p>
        </w:tc>
      </w:tr>
      <w:tr>
        <w:trPr>
          <w:trHeight w:val="151"/>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Depreciation and amortization</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(137,757)</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(133,638)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(139,688)</w:t>
            </w:r>
          </w:p>
        </w:tc>
        <w:tc>
          <w:tcPr>
            <w:tcW w:w="640" w:type="dxa"/>
            <w:vAlign w:val="bottom"/>
          </w:tcPr>
          <w:p>
            <w:pPr>
              <w:jc w:val="center"/>
              <w:spacing w:after="0"/>
              <w:rPr>
                <w:sz w:val="20"/>
                <w:szCs w:val="20"/>
                <w:color w:val="auto"/>
              </w:rPr>
            </w:pPr>
            <w:r>
              <w:rPr>
                <w:rFonts w:ascii="Arial" w:cs="Arial" w:eastAsia="Arial" w:hAnsi="Arial"/>
                <w:sz w:val="13"/>
                <w:szCs w:val="13"/>
                <w:color w:val="auto"/>
              </w:rPr>
              <w:t>4.5%</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(522,347)</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(530,005)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w:t>
            </w:r>
          </w:p>
        </w:tc>
      </w:tr>
      <w:tr>
        <w:trPr>
          <w:trHeight w:val="149"/>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 expenses</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(65,712)</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(48,213)</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(76,515)</w:t>
            </w:r>
          </w:p>
        </w:tc>
        <w:tc>
          <w:tcPr>
            <w:tcW w:w="640" w:type="dxa"/>
            <w:vAlign w:val="bottom"/>
          </w:tcPr>
          <w:p>
            <w:pPr>
              <w:jc w:val="center"/>
              <w:spacing w:after="0"/>
              <w:rPr>
                <w:sz w:val="20"/>
                <w:szCs w:val="20"/>
                <w:color w:val="auto"/>
              </w:rPr>
            </w:pPr>
            <w:r>
              <w:rPr>
                <w:rFonts w:ascii="Arial" w:cs="Arial" w:eastAsia="Arial" w:hAnsi="Arial"/>
                <w:sz w:val="13"/>
                <w:szCs w:val="13"/>
                <w:color w:val="auto"/>
              </w:rPr>
              <w:t>58.7%</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16.4%</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(224,875)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(226,318)</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0.6%</w:t>
            </w:r>
          </w:p>
        </w:tc>
      </w:tr>
      <w:tr>
        <w:trPr>
          <w:trHeight w:val="185"/>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Total expenses</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(1,614,048)</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(1,555,558)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(1,795,282)</w:t>
            </w:r>
          </w:p>
        </w:tc>
        <w:tc>
          <w:tcPr>
            <w:tcW w:w="640" w:type="dxa"/>
            <w:vAlign w:val="bottom"/>
          </w:tcPr>
          <w:p>
            <w:pPr>
              <w:jc w:val="center"/>
              <w:spacing w:after="0"/>
              <w:rPr>
                <w:sz w:val="20"/>
                <w:szCs w:val="20"/>
                <w:color w:val="auto"/>
              </w:rPr>
            </w:pPr>
            <w:r>
              <w:rPr>
                <w:rFonts w:ascii="Arial" w:cs="Arial" w:eastAsia="Arial" w:hAnsi="Arial"/>
                <w:sz w:val="13"/>
                <w:szCs w:val="13"/>
                <w:color w:val="auto"/>
              </w:rPr>
              <w:t>15.4%</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11.2%</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(5,608,088)</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(6,263,064)</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11.7%</w:t>
            </w:r>
          </w:p>
        </w:tc>
      </w:tr>
      <w:tr>
        <w:trPr>
          <w:trHeight w:val="302"/>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Profit before income tax</w:t>
            </w:r>
          </w:p>
        </w:tc>
        <w:tc>
          <w:tcPr>
            <w:tcW w:w="1260" w:type="dxa"/>
            <w:vAlign w:val="bottom"/>
          </w:tcPr>
          <w:p>
            <w:pPr>
              <w:jc w:val="right"/>
              <w:ind w:right="133"/>
              <w:spacing w:after="0"/>
              <w:rPr>
                <w:sz w:val="20"/>
                <w:szCs w:val="20"/>
                <w:color w:val="auto"/>
              </w:rPr>
            </w:pPr>
            <w:r>
              <w:rPr>
                <w:rFonts w:ascii="Arial" w:cs="Arial" w:eastAsia="Arial" w:hAnsi="Arial"/>
                <w:sz w:val="13"/>
                <w:szCs w:val="13"/>
                <w:color w:val="auto"/>
              </w:rPr>
              <w:t>1,462,146</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1,753,025</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1,467,349</w:t>
            </w:r>
          </w:p>
        </w:tc>
        <w:tc>
          <w:tcPr>
            <w:tcW w:w="640" w:type="dxa"/>
            <w:vAlign w:val="bottom"/>
          </w:tcPr>
          <w:p>
            <w:pPr>
              <w:jc w:val="center"/>
              <w:spacing w:after="0"/>
              <w:rPr>
                <w:sz w:val="20"/>
                <w:szCs w:val="20"/>
                <w:color w:val="auto"/>
              </w:rPr>
            </w:pPr>
            <w:r>
              <w:rPr>
                <w:rFonts w:ascii="Arial" w:cs="Arial" w:eastAsia="Arial" w:hAnsi="Arial"/>
                <w:sz w:val="13"/>
                <w:szCs w:val="13"/>
                <w:color w:val="auto"/>
              </w:rPr>
              <w:t>-16.3%</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0.4%</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5,080,928</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6,444,432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26.8%</w:t>
            </w:r>
          </w:p>
        </w:tc>
      </w:tr>
      <w:tr>
        <w:trPr>
          <w:trHeight w:val="294"/>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Income tax</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(416,361)</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(455,802)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(403,338)</w:t>
            </w: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-11.5%</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-3.1%</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(1,418,736)</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(1,760,657)</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24.1%</w:t>
            </w:r>
          </w:p>
        </w:tc>
      </w:tr>
      <w:tr>
        <w:trPr>
          <w:trHeight w:val="278"/>
        </w:trPr>
        <w:tc>
          <w:tcPr>
            <w:tcW w:w="38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profit</w:t>
            </w:r>
          </w:p>
        </w:tc>
        <w:tc>
          <w:tcPr>
            <w:tcW w:w="1260" w:type="dxa"/>
            <w:vAlign w:val="bottom"/>
          </w:tcPr>
          <w:p>
            <w:pPr>
              <w:jc w:val="right"/>
              <w:ind w:right="133"/>
              <w:spacing w:after="0"/>
              <w:rPr>
                <w:sz w:val="20"/>
                <w:szCs w:val="20"/>
                <w:color w:val="auto"/>
              </w:rPr>
            </w:pPr>
            <w:r>
              <w:rPr>
                <w:rFonts w:ascii="Arial" w:cs="Arial" w:eastAsia="Arial" w:hAnsi="Arial"/>
                <w:sz w:val="13"/>
                <w:szCs w:val="13"/>
                <w:color w:val="auto"/>
              </w:rPr>
              <w:t>1,045,785</w:t>
            </w:r>
          </w:p>
        </w:tc>
        <w:tc>
          <w:tcPr>
            <w:tcW w:w="1160" w:type="dxa"/>
            <w:vAlign w:val="bottom"/>
          </w:tcPr>
          <w:p>
            <w:pPr>
              <w:jc w:val="right"/>
              <w:ind w:right="173"/>
              <w:spacing w:after="0"/>
              <w:rPr>
                <w:sz w:val="20"/>
                <w:szCs w:val="20"/>
                <w:color w:val="auto"/>
              </w:rPr>
            </w:pPr>
            <w:r>
              <w:rPr>
                <w:rFonts w:ascii="Arial" w:cs="Arial" w:eastAsia="Arial" w:hAnsi="Arial"/>
                <w:sz w:val="13"/>
                <w:szCs w:val="13"/>
                <w:color w:val="auto"/>
              </w:rPr>
              <w:t>1,297,223</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1,064,011</w:t>
            </w:r>
          </w:p>
        </w:tc>
        <w:tc>
          <w:tcPr>
            <w:tcW w:w="640" w:type="dxa"/>
            <w:vAlign w:val="bottom"/>
          </w:tcPr>
          <w:p>
            <w:pPr>
              <w:jc w:val="center"/>
              <w:spacing w:after="0"/>
              <w:rPr>
                <w:sz w:val="20"/>
                <w:szCs w:val="20"/>
                <w:color w:val="auto"/>
              </w:rPr>
            </w:pPr>
            <w:r>
              <w:rPr>
                <w:rFonts w:ascii="Arial" w:cs="Arial" w:eastAsia="Arial" w:hAnsi="Arial"/>
                <w:sz w:val="13"/>
                <w:szCs w:val="13"/>
                <w:color w:val="auto"/>
              </w:rPr>
              <w:t>-18.0%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3,662,192</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4,683,775</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27.9%</w:t>
            </w:r>
          </w:p>
        </w:tc>
      </w:tr>
      <w:tr>
        <w:trPr>
          <w:trHeight w:val="149"/>
        </w:trPr>
        <w:tc>
          <w:tcPr>
            <w:tcW w:w="3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Non-controlling interest</w:t>
            </w:r>
          </w:p>
        </w:tc>
        <w:tc>
          <w:tcPr>
            <w:tcW w:w="1260" w:type="dxa"/>
            <w:vAlign w:val="bottom"/>
          </w:tcPr>
          <w:p>
            <w:pPr>
              <w:jc w:val="right"/>
              <w:ind w:right="93"/>
              <w:spacing w:after="0"/>
              <w:rPr>
                <w:sz w:val="20"/>
                <w:szCs w:val="20"/>
                <w:color w:val="auto"/>
              </w:rPr>
            </w:pPr>
            <w:r>
              <w:rPr>
                <w:rFonts w:ascii="Arial" w:cs="Arial" w:eastAsia="Arial" w:hAnsi="Arial"/>
                <w:sz w:val="13"/>
                <w:szCs w:val="13"/>
                <w:color w:val="auto"/>
              </w:rPr>
              <w:t>(5,979)</w:t>
            </w:r>
          </w:p>
        </w:tc>
        <w:tc>
          <w:tcPr>
            <w:tcW w:w="1160" w:type="dxa"/>
            <w:vAlign w:val="bottom"/>
          </w:tcPr>
          <w:p>
            <w:pPr>
              <w:jc w:val="right"/>
              <w:ind w:right="133"/>
              <w:spacing w:after="0"/>
              <w:rPr>
                <w:sz w:val="20"/>
                <w:szCs w:val="20"/>
                <w:color w:val="auto"/>
              </w:rPr>
            </w:pPr>
            <w:r>
              <w:rPr>
                <w:rFonts w:ascii="Arial" w:cs="Arial" w:eastAsia="Arial" w:hAnsi="Arial"/>
                <w:sz w:val="13"/>
                <w:szCs w:val="13"/>
                <w:color w:val="auto"/>
              </w:rPr>
              <w:t>(7,385)</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(2,318)</w:t>
            </w:r>
          </w:p>
        </w:tc>
        <w:tc>
          <w:tcPr>
            <w:tcW w:w="640" w:type="dxa"/>
            <w:vAlign w:val="bottom"/>
          </w:tcPr>
          <w:p>
            <w:pPr>
              <w:jc w:val="center"/>
              <w:spacing w:after="0"/>
              <w:rPr>
                <w:sz w:val="20"/>
                <w:szCs w:val="20"/>
                <w:color w:val="auto"/>
              </w:rPr>
            </w:pPr>
            <w:r>
              <w:rPr>
                <w:rFonts w:ascii="Arial" w:cs="Arial" w:eastAsia="Arial" w:hAnsi="Arial"/>
                <w:sz w:val="13"/>
                <w:szCs w:val="13"/>
                <w:color w:val="auto"/>
              </w:rPr>
              <w:t>-68.6%</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-61.2%</w:t>
            </w:r>
          </w:p>
        </w:tc>
        <w:tc>
          <w:tcPr>
            <w:tcW w:w="1180" w:type="dxa"/>
            <w:vAlign w:val="bottom"/>
          </w:tcPr>
          <w:p>
            <w:pPr>
              <w:jc w:val="right"/>
              <w:ind w:right="13"/>
              <w:spacing w:after="0"/>
              <w:rPr>
                <w:sz w:val="20"/>
                <w:szCs w:val="20"/>
                <w:color w:val="auto"/>
              </w:rPr>
            </w:pPr>
            <w:r>
              <w:rPr>
                <w:rFonts w:ascii="Arial" w:cs="Arial" w:eastAsia="Arial" w:hAnsi="Arial"/>
                <w:sz w:val="13"/>
                <w:szCs w:val="13"/>
                <w:color w:val="auto"/>
              </w:rPr>
              <w:t>(13,139)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(21,286)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62.0%</w:t>
            </w:r>
          </w:p>
        </w:tc>
      </w:tr>
      <w:tr>
        <w:trPr>
          <w:trHeight w:val="161"/>
        </w:trPr>
        <w:tc>
          <w:tcPr>
            <w:tcW w:w="3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profit attributable to BCP Consolidated</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1,039,806</w:t>
            </w: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1,289,838</w:t>
            </w:r>
          </w:p>
        </w:tc>
        <w:tc>
          <w:tcPr>
            <w:tcW w:w="9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1,061,693</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-17.7%</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2.1%</w:t>
            </w: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3,649,053</w:t>
            </w:r>
          </w:p>
        </w:tc>
        <w:tc>
          <w:tcPr>
            <w:tcW w:w="8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4,662,489</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27.8%</w:t>
            </w: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BANCO DE CREDITO DEL PERU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FINANCIAL INDICATORS</w:t>
      </w:r>
    </w:p>
    <w:p>
      <w:pPr>
        <w:spacing w:after="0" w:line="171" w:lineRule="exact"/>
        <w:rPr>
          <w:sz w:val="20"/>
          <w:szCs w:val="20"/>
          <w:color w:val="auto"/>
        </w:rPr>
      </w:pPr>
    </w:p>
    <w:tbl>
      <w:tblPr>
        <w:tblLayout w:type="fixed"/>
        <w:tblInd w:w="1150" w:type="dxa"/>
        <w:tblCellMar>
          <w:top w:w="0" w:type="dxa"/>
          <w:left w:w="0" w:type="dxa"/>
          <w:bottom w:w="0" w:type="dxa"/>
          <w:right w:w="0" w:type="dxa"/>
        </w:tblCellMar>
      </w:tblPr>
      <w:tr>
        <w:trPr>
          <w:trHeight w:val="154"/>
        </w:trPr>
        <w:tc>
          <w:tcPr>
            <w:tcW w:w="4180" w:type="dxa"/>
            <w:vAlign w:val="bottom"/>
            <w:tcBorders>
              <w:right w:val="single" w:sz="8" w:color="auto"/>
            </w:tcBorders>
          </w:tcPr>
          <w:p>
            <w:pPr>
              <w:spacing w:after="0"/>
              <w:rPr>
                <w:sz w:val="13"/>
                <w:szCs w:val="13"/>
                <w:color w:val="auto"/>
              </w:rPr>
            </w:pPr>
          </w:p>
        </w:tc>
        <w:tc>
          <w:tcPr>
            <w:tcW w:w="860" w:type="dxa"/>
            <w:vAlign w:val="bottom"/>
            <w:tcBorders>
              <w:top w:val="single" w:sz="8" w:color="auto"/>
            </w:tcBorders>
            <w:shd w:val="clear" w:color="auto" w:fill="2AD2C9"/>
          </w:tcPr>
          <w:p>
            <w:pPr>
              <w:spacing w:after="0"/>
              <w:rPr>
                <w:sz w:val="13"/>
                <w:szCs w:val="13"/>
                <w:color w:val="auto"/>
              </w:rPr>
            </w:pPr>
          </w:p>
        </w:tc>
        <w:tc>
          <w:tcPr>
            <w:tcW w:w="860" w:type="dxa"/>
            <w:vAlign w:val="bottom"/>
            <w:tcBorders>
              <w:top w:val="single" w:sz="8" w:color="auto"/>
            </w:tcBorders>
            <w:shd w:val="clear" w:color="auto" w:fill="2AD2C9"/>
          </w:tcPr>
          <w:p>
            <w:pPr>
              <w:ind w:left="180"/>
              <w:spacing w:after="0"/>
              <w:rPr>
                <w:sz w:val="20"/>
                <w:szCs w:val="20"/>
                <w:color w:val="auto"/>
              </w:rPr>
            </w:pPr>
            <w:r>
              <w:rPr>
                <w:rFonts w:ascii="Arial" w:cs="Arial" w:eastAsia="Arial" w:hAnsi="Arial"/>
                <w:sz w:val="13"/>
                <w:szCs w:val="13"/>
                <w:b w:val="1"/>
                <w:bCs w:val="1"/>
                <w:color w:val="FFFFFF"/>
              </w:rPr>
              <w:t>Quarter</w:t>
            </w:r>
          </w:p>
        </w:tc>
        <w:tc>
          <w:tcPr>
            <w:tcW w:w="900" w:type="dxa"/>
            <w:vAlign w:val="bottom"/>
            <w:tcBorders>
              <w:top w:val="single" w:sz="8" w:color="auto"/>
              <w:right w:val="single" w:sz="8" w:color="auto"/>
            </w:tcBorders>
            <w:shd w:val="clear" w:color="auto" w:fill="2AD2C9"/>
          </w:tcPr>
          <w:p>
            <w:pPr>
              <w:spacing w:after="0"/>
              <w:rPr>
                <w:sz w:val="13"/>
                <w:szCs w:val="13"/>
                <w:color w:val="auto"/>
              </w:rPr>
            </w:pPr>
          </w:p>
        </w:tc>
        <w:tc>
          <w:tcPr>
            <w:tcW w:w="820" w:type="dxa"/>
            <w:vAlign w:val="bottom"/>
            <w:tcBorders>
              <w:top w:val="single" w:sz="8" w:color="auto"/>
            </w:tcBorders>
            <w:shd w:val="clear" w:color="auto" w:fill="2AD2C9"/>
          </w:tcPr>
          <w:p>
            <w:pPr>
              <w:spacing w:after="0"/>
              <w:rPr>
                <w:sz w:val="13"/>
                <w:szCs w:val="13"/>
                <w:color w:val="auto"/>
              </w:rPr>
            </w:pPr>
          </w:p>
        </w:tc>
        <w:tc>
          <w:tcPr>
            <w:tcW w:w="1380" w:type="dxa"/>
            <w:vAlign w:val="bottom"/>
            <w:tcBorders>
              <w:top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3"/>
                <w:szCs w:val="13"/>
                <w:b w:val="1"/>
                <w:bCs w:val="1"/>
                <w:color w:val="FFFFFF"/>
              </w:rPr>
              <w:t>As of</w:t>
            </w:r>
          </w:p>
        </w:tc>
      </w:tr>
      <w:tr>
        <w:trPr>
          <w:trHeight w:val="161"/>
        </w:trPr>
        <w:tc>
          <w:tcPr>
            <w:tcW w:w="4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4Q21</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3Q22</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4Q22</w:t>
            </w:r>
          </w:p>
        </w:tc>
        <w:tc>
          <w:tcPr>
            <w:tcW w:w="820" w:type="dxa"/>
            <w:vAlign w:val="bottom"/>
            <w:tcBorders>
              <w:bottom w:val="single" w:sz="8" w:color="auto"/>
            </w:tcBorders>
            <w:shd w:val="clear" w:color="auto" w:fill="2AD2C9"/>
          </w:tcPr>
          <w:p>
            <w:pPr>
              <w:jc w:val="center"/>
              <w:ind w:left="153"/>
              <w:spacing w:after="0"/>
              <w:rPr>
                <w:sz w:val="20"/>
                <w:szCs w:val="20"/>
                <w:color w:val="auto"/>
              </w:rPr>
            </w:pPr>
            <w:r>
              <w:rPr>
                <w:rFonts w:ascii="Arial" w:cs="Arial" w:eastAsia="Arial" w:hAnsi="Arial"/>
                <w:sz w:val="13"/>
                <w:szCs w:val="13"/>
                <w:b w:val="1"/>
                <w:bCs w:val="1"/>
                <w:color w:val="FFFFFF"/>
              </w:rPr>
              <w:t>Dec 21</w:t>
            </w:r>
          </w:p>
        </w:tc>
        <w:tc>
          <w:tcPr>
            <w:tcW w:w="1380" w:type="dxa"/>
            <w:vAlign w:val="bottom"/>
            <w:tcBorders>
              <w:bottom w:val="single" w:sz="8" w:color="auto"/>
              <w:right w:val="single" w:sz="8" w:color="auto"/>
            </w:tcBorders>
            <w:shd w:val="clear" w:color="auto" w:fill="2AD2C9"/>
          </w:tcPr>
          <w:p>
            <w:pPr>
              <w:jc w:val="center"/>
              <w:ind w:left="153"/>
              <w:spacing w:after="0"/>
              <w:rPr>
                <w:sz w:val="20"/>
                <w:szCs w:val="20"/>
                <w:color w:val="auto"/>
              </w:rPr>
            </w:pPr>
            <w:r>
              <w:rPr>
                <w:rFonts w:ascii="Arial" w:cs="Arial" w:eastAsia="Arial" w:hAnsi="Arial"/>
                <w:sz w:val="13"/>
                <w:szCs w:val="13"/>
                <w:b w:val="1"/>
                <w:bCs w:val="1"/>
                <w:color w:val="FFFFFF"/>
              </w:rPr>
              <w:t>Dec 22</w:t>
            </w:r>
          </w:p>
        </w:tc>
      </w:tr>
      <w:tr>
        <w:trPr>
          <w:trHeight w:val="121"/>
        </w:trPr>
        <w:tc>
          <w:tcPr>
            <w:tcW w:w="4180" w:type="dxa"/>
            <w:vAlign w:val="bottom"/>
            <w:tcBorders>
              <w:left w:val="single" w:sz="8" w:color="auto"/>
              <w:right w:val="single" w:sz="8" w:color="auto"/>
            </w:tcBorders>
          </w:tcPr>
          <w:p>
            <w:pPr>
              <w:spacing w:after="0" w:line="121" w:lineRule="exact"/>
              <w:rPr>
                <w:sz w:val="20"/>
                <w:szCs w:val="20"/>
                <w:color w:val="auto"/>
              </w:rPr>
            </w:pPr>
            <w:r>
              <w:rPr>
                <w:rFonts w:ascii="Arial" w:cs="Arial" w:eastAsia="Arial" w:hAnsi="Arial"/>
                <w:sz w:val="13"/>
                <w:szCs w:val="13"/>
                <w:b w:val="1"/>
                <w:bCs w:val="1"/>
                <w:color w:val="auto"/>
              </w:rPr>
              <w:t>Profitability</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r>
      <w:tr>
        <w:trPr>
          <w:trHeight w:val="151"/>
        </w:trPr>
        <w:tc>
          <w:tcPr>
            <w:tcW w:w="4180" w:type="dxa"/>
            <w:vAlign w:val="bottom"/>
            <w:tcBorders>
              <w:left w:val="single" w:sz="8" w:color="auto"/>
              <w:right w:val="single" w:sz="8" w:color="auto"/>
            </w:tcBorders>
          </w:tcPr>
          <w:p>
            <w:pPr>
              <w:spacing w:after="0" w:line="151" w:lineRule="exact"/>
              <w:rPr>
                <w:sz w:val="20"/>
                <w:szCs w:val="20"/>
                <w:color w:val="auto"/>
              </w:rPr>
            </w:pPr>
            <w:r>
              <w:rPr>
                <w:rFonts w:ascii="Arial" w:cs="Arial" w:eastAsia="Arial" w:hAnsi="Arial"/>
                <w:sz w:val="11"/>
                <w:szCs w:val="11"/>
                <w:color w:val="auto"/>
              </w:rPr>
              <w:t xml:space="preserve">Earnings per share </w:t>
            </w:r>
            <w:r>
              <w:rPr>
                <w:rFonts w:ascii="Arial" w:cs="Arial" w:eastAsia="Arial" w:hAnsi="Arial"/>
                <w:sz w:val="17"/>
                <w:szCs w:val="17"/>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3"/>
                <w:szCs w:val="13"/>
                <w:color w:val="auto"/>
              </w:rPr>
              <w:t>0.085</w:t>
            </w:r>
          </w:p>
        </w:tc>
        <w:tc>
          <w:tcPr>
            <w:tcW w:w="860" w:type="dxa"/>
            <w:vAlign w:val="bottom"/>
          </w:tcPr>
          <w:p>
            <w:pPr>
              <w:jc w:val="center"/>
              <w:spacing w:after="0"/>
              <w:rPr>
                <w:sz w:val="20"/>
                <w:szCs w:val="20"/>
                <w:color w:val="auto"/>
              </w:rPr>
            </w:pPr>
            <w:r>
              <w:rPr>
                <w:rFonts w:ascii="Arial" w:cs="Arial" w:eastAsia="Arial" w:hAnsi="Arial"/>
                <w:sz w:val="13"/>
                <w:szCs w:val="13"/>
                <w:color w:val="auto"/>
              </w:rPr>
              <w:t>0.106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0.087</w:t>
            </w:r>
          </w:p>
        </w:tc>
        <w:tc>
          <w:tcPr>
            <w:tcW w:w="820" w:type="dxa"/>
            <w:vAlign w:val="bottom"/>
          </w:tcPr>
          <w:p>
            <w:pPr>
              <w:jc w:val="center"/>
              <w:ind w:left="153"/>
              <w:spacing w:after="0"/>
              <w:rPr>
                <w:sz w:val="20"/>
                <w:szCs w:val="20"/>
                <w:color w:val="auto"/>
              </w:rPr>
            </w:pPr>
            <w:r>
              <w:rPr>
                <w:rFonts w:ascii="Arial" w:cs="Arial" w:eastAsia="Arial" w:hAnsi="Arial"/>
                <w:sz w:val="13"/>
                <w:szCs w:val="13"/>
                <w:color w:val="auto"/>
                <w:w w:val="98"/>
              </w:rPr>
              <w:t>0.300</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0.383</w:t>
            </w:r>
          </w:p>
        </w:tc>
      </w:tr>
      <w:tr>
        <w:trPr>
          <w:trHeight w:val="151"/>
        </w:trPr>
        <w:tc>
          <w:tcPr>
            <w:tcW w:w="4180" w:type="dxa"/>
            <w:vAlign w:val="bottom"/>
            <w:tcBorders>
              <w:left w:val="single" w:sz="8" w:color="auto"/>
              <w:right w:val="single" w:sz="8" w:color="auto"/>
            </w:tcBorders>
          </w:tcPr>
          <w:p>
            <w:pPr>
              <w:spacing w:after="0" w:line="151" w:lineRule="exact"/>
              <w:rPr>
                <w:sz w:val="20"/>
                <w:szCs w:val="20"/>
                <w:color w:val="auto"/>
              </w:rPr>
            </w:pPr>
            <w:r>
              <w:rPr>
                <w:rFonts w:ascii="Arial" w:cs="Arial" w:eastAsia="Arial" w:hAnsi="Arial"/>
                <w:sz w:val="17"/>
                <w:szCs w:val="17"/>
                <w:color w:val="auto"/>
                <w:vertAlign w:val="subscript"/>
              </w:rPr>
              <w:t>ROAA</w:t>
            </w:r>
            <w:r>
              <w:rPr>
                <w:rFonts w:ascii="Arial" w:cs="Arial" w:eastAsia="Arial" w:hAnsi="Arial"/>
                <w:sz w:val="9"/>
                <w:szCs w:val="9"/>
                <w:color w:val="auto"/>
              </w:rPr>
              <w:t xml:space="preserve"> (2)(3)</w:t>
            </w:r>
          </w:p>
        </w:tc>
        <w:tc>
          <w:tcPr>
            <w:tcW w:w="860" w:type="dxa"/>
            <w:vAlign w:val="bottom"/>
          </w:tcPr>
          <w:p>
            <w:pPr>
              <w:jc w:val="center"/>
              <w:spacing w:after="0"/>
              <w:rPr>
                <w:sz w:val="20"/>
                <w:szCs w:val="20"/>
                <w:color w:val="auto"/>
              </w:rPr>
            </w:pPr>
            <w:r>
              <w:rPr>
                <w:rFonts w:ascii="Arial" w:cs="Arial" w:eastAsia="Arial" w:hAnsi="Arial"/>
                <w:sz w:val="13"/>
                <w:szCs w:val="13"/>
                <w:color w:val="auto"/>
              </w:rPr>
              <w:t>2.1%</w:t>
            </w:r>
          </w:p>
        </w:tc>
        <w:tc>
          <w:tcPr>
            <w:tcW w:w="860" w:type="dxa"/>
            <w:vAlign w:val="bottom"/>
          </w:tcPr>
          <w:p>
            <w:pPr>
              <w:jc w:val="center"/>
              <w:spacing w:after="0"/>
              <w:rPr>
                <w:sz w:val="20"/>
                <w:szCs w:val="20"/>
                <w:color w:val="auto"/>
              </w:rPr>
            </w:pPr>
            <w:r>
              <w:rPr>
                <w:rFonts w:ascii="Arial" w:cs="Arial" w:eastAsia="Arial" w:hAnsi="Arial"/>
                <w:sz w:val="13"/>
                <w:szCs w:val="13"/>
                <w:color w:val="auto"/>
              </w:rPr>
              <w:t>2.6%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2.2%</w:t>
            </w:r>
          </w:p>
        </w:tc>
        <w:tc>
          <w:tcPr>
            <w:tcW w:w="820" w:type="dxa"/>
            <w:vAlign w:val="bottom"/>
          </w:tcPr>
          <w:p>
            <w:pPr>
              <w:jc w:val="center"/>
              <w:ind w:left="153"/>
              <w:spacing w:after="0"/>
              <w:rPr>
                <w:sz w:val="20"/>
                <w:szCs w:val="20"/>
                <w:color w:val="auto"/>
              </w:rPr>
            </w:pPr>
            <w:r>
              <w:rPr>
                <w:rFonts w:ascii="Arial" w:cs="Arial" w:eastAsia="Arial" w:hAnsi="Arial"/>
                <w:sz w:val="13"/>
                <w:szCs w:val="13"/>
                <w:color w:val="auto"/>
              </w:rPr>
              <w:t>1.8%</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2.4%</w:t>
            </w:r>
          </w:p>
        </w:tc>
      </w:tr>
      <w:tr>
        <w:trPr>
          <w:trHeight w:val="151"/>
        </w:trPr>
        <w:tc>
          <w:tcPr>
            <w:tcW w:w="4180" w:type="dxa"/>
            <w:vAlign w:val="bottom"/>
            <w:tcBorders>
              <w:left w:val="single" w:sz="8" w:color="auto"/>
              <w:right w:val="single" w:sz="8" w:color="auto"/>
            </w:tcBorders>
          </w:tcPr>
          <w:p>
            <w:pPr>
              <w:spacing w:after="0" w:line="151" w:lineRule="exact"/>
              <w:rPr>
                <w:sz w:val="20"/>
                <w:szCs w:val="20"/>
                <w:color w:val="auto"/>
              </w:rPr>
            </w:pPr>
            <w:r>
              <w:rPr>
                <w:rFonts w:ascii="Arial" w:cs="Arial" w:eastAsia="Arial" w:hAnsi="Arial"/>
                <w:sz w:val="17"/>
                <w:szCs w:val="17"/>
                <w:color w:val="auto"/>
                <w:vertAlign w:val="subscript"/>
              </w:rPr>
              <w:t>ROAE</w:t>
            </w:r>
            <w:r>
              <w:rPr>
                <w:rFonts w:ascii="Arial" w:cs="Arial" w:eastAsia="Arial" w:hAnsi="Arial"/>
                <w:sz w:val="9"/>
                <w:szCs w:val="9"/>
                <w:color w:val="auto"/>
              </w:rPr>
              <w:t xml:space="preserve"> (2)(3)</w:t>
            </w:r>
          </w:p>
        </w:tc>
        <w:tc>
          <w:tcPr>
            <w:tcW w:w="860" w:type="dxa"/>
            <w:vAlign w:val="bottom"/>
          </w:tcPr>
          <w:p>
            <w:pPr>
              <w:jc w:val="center"/>
              <w:spacing w:after="0"/>
              <w:rPr>
                <w:sz w:val="20"/>
                <w:szCs w:val="20"/>
                <w:color w:val="auto"/>
              </w:rPr>
            </w:pPr>
            <w:r>
              <w:rPr>
                <w:rFonts w:ascii="Arial" w:cs="Arial" w:eastAsia="Arial" w:hAnsi="Arial"/>
                <w:sz w:val="13"/>
                <w:szCs w:val="13"/>
                <w:color w:val="auto"/>
              </w:rPr>
              <w:t>20.7%</w:t>
            </w:r>
          </w:p>
        </w:tc>
        <w:tc>
          <w:tcPr>
            <w:tcW w:w="860" w:type="dxa"/>
            <w:vAlign w:val="bottom"/>
          </w:tcPr>
          <w:p>
            <w:pPr>
              <w:jc w:val="center"/>
              <w:spacing w:after="0"/>
              <w:rPr>
                <w:sz w:val="20"/>
                <w:szCs w:val="20"/>
                <w:color w:val="auto"/>
              </w:rPr>
            </w:pPr>
            <w:r>
              <w:rPr>
                <w:rFonts w:ascii="Arial" w:cs="Arial" w:eastAsia="Arial" w:hAnsi="Arial"/>
                <w:sz w:val="13"/>
                <w:szCs w:val="13"/>
                <w:color w:val="auto"/>
              </w:rPr>
              <w:t>24.0%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18.8%</w:t>
            </w:r>
          </w:p>
        </w:tc>
        <w:tc>
          <w:tcPr>
            <w:tcW w:w="820" w:type="dxa"/>
            <w:vAlign w:val="bottom"/>
          </w:tcPr>
          <w:p>
            <w:pPr>
              <w:jc w:val="center"/>
              <w:ind w:left="173"/>
              <w:spacing w:after="0"/>
              <w:rPr>
                <w:sz w:val="20"/>
                <w:szCs w:val="20"/>
                <w:color w:val="auto"/>
              </w:rPr>
            </w:pPr>
            <w:r>
              <w:rPr>
                <w:rFonts w:ascii="Arial" w:cs="Arial" w:eastAsia="Arial" w:hAnsi="Arial"/>
                <w:sz w:val="13"/>
                <w:szCs w:val="13"/>
                <w:color w:val="auto"/>
              </w:rPr>
              <w:t>18.8%</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21.3%</w:t>
            </w:r>
          </w:p>
        </w:tc>
      </w:tr>
      <w:tr>
        <w:trPr>
          <w:trHeight w:val="151"/>
        </w:trPr>
        <w:tc>
          <w:tcPr>
            <w:tcW w:w="4180" w:type="dxa"/>
            <w:vAlign w:val="bottom"/>
            <w:tcBorders>
              <w:left w:val="single" w:sz="8" w:color="auto"/>
              <w:right w:val="single" w:sz="8" w:color="auto"/>
            </w:tcBorders>
          </w:tcPr>
          <w:p>
            <w:pPr>
              <w:spacing w:after="0" w:line="151"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7"/>
                <w:szCs w:val="17"/>
                <w:color w:val="auto"/>
                <w:vertAlign w:val="superscript"/>
              </w:rPr>
              <w:t>(2)(3)</w:t>
            </w:r>
          </w:p>
        </w:tc>
        <w:tc>
          <w:tcPr>
            <w:tcW w:w="860" w:type="dxa"/>
            <w:vAlign w:val="bottom"/>
          </w:tcPr>
          <w:p>
            <w:pPr>
              <w:jc w:val="center"/>
              <w:spacing w:after="0"/>
              <w:rPr>
                <w:sz w:val="20"/>
                <w:szCs w:val="20"/>
                <w:color w:val="auto"/>
              </w:rPr>
            </w:pPr>
            <w:r>
              <w:rPr>
                <w:rFonts w:ascii="Arial" w:cs="Arial" w:eastAsia="Arial" w:hAnsi="Arial"/>
                <w:sz w:val="13"/>
                <w:szCs w:val="13"/>
                <w:color w:val="auto"/>
              </w:rPr>
              <w:t>4.45%</w:t>
            </w:r>
          </w:p>
        </w:tc>
        <w:tc>
          <w:tcPr>
            <w:tcW w:w="860" w:type="dxa"/>
            <w:vAlign w:val="bottom"/>
          </w:tcPr>
          <w:p>
            <w:pPr>
              <w:jc w:val="center"/>
              <w:spacing w:after="0"/>
              <w:rPr>
                <w:sz w:val="20"/>
                <w:szCs w:val="20"/>
                <w:color w:val="auto"/>
              </w:rPr>
            </w:pPr>
            <w:r>
              <w:rPr>
                <w:rFonts w:ascii="Arial" w:cs="Arial" w:eastAsia="Arial" w:hAnsi="Arial"/>
                <w:sz w:val="13"/>
                <w:szCs w:val="13"/>
                <w:color w:val="auto"/>
              </w:rPr>
              <w:t>5.61%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6.12%</w:t>
            </w:r>
          </w:p>
        </w:tc>
        <w:tc>
          <w:tcPr>
            <w:tcW w:w="820" w:type="dxa"/>
            <w:vAlign w:val="bottom"/>
          </w:tcPr>
          <w:p>
            <w:pPr>
              <w:jc w:val="center"/>
              <w:ind w:left="173"/>
              <w:spacing w:after="0"/>
              <w:rPr>
                <w:sz w:val="20"/>
                <w:szCs w:val="20"/>
                <w:color w:val="auto"/>
              </w:rPr>
            </w:pPr>
            <w:r>
              <w:rPr>
                <w:rFonts w:ascii="Arial" w:cs="Arial" w:eastAsia="Arial" w:hAnsi="Arial"/>
                <w:sz w:val="13"/>
                <w:szCs w:val="13"/>
                <w:color w:val="auto"/>
              </w:rPr>
              <w:t>4.22%</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5.35%</w:t>
            </w:r>
          </w:p>
        </w:tc>
      </w:tr>
      <w:tr>
        <w:trPr>
          <w:trHeight w:val="151"/>
        </w:trPr>
        <w:tc>
          <w:tcPr>
            <w:tcW w:w="4180" w:type="dxa"/>
            <w:vAlign w:val="bottom"/>
            <w:tcBorders>
              <w:left w:val="single" w:sz="8" w:color="auto"/>
              <w:right w:val="single" w:sz="8" w:color="auto"/>
            </w:tcBorders>
          </w:tcPr>
          <w:p>
            <w:pPr>
              <w:spacing w:after="0" w:line="151" w:lineRule="exact"/>
              <w:rPr>
                <w:sz w:val="20"/>
                <w:szCs w:val="20"/>
                <w:color w:val="auto"/>
              </w:rPr>
            </w:pPr>
            <w:r>
              <w:rPr>
                <w:rFonts w:ascii="Arial" w:cs="Arial" w:eastAsia="Arial" w:hAnsi="Arial"/>
                <w:sz w:val="11"/>
                <w:szCs w:val="11"/>
                <w:color w:val="auto"/>
              </w:rPr>
              <w:t xml:space="preserve">Risk adjusted NIM </w:t>
            </w:r>
            <w:r>
              <w:rPr>
                <w:rFonts w:ascii="Arial" w:cs="Arial" w:eastAsia="Arial" w:hAnsi="Arial"/>
                <w:sz w:val="17"/>
                <w:szCs w:val="17"/>
                <w:color w:val="auto"/>
                <w:vertAlign w:val="superscript"/>
              </w:rPr>
              <w:t>(2)(3)</w:t>
            </w:r>
          </w:p>
        </w:tc>
        <w:tc>
          <w:tcPr>
            <w:tcW w:w="860" w:type="dxa"/>
            <w:vAlign w:val="bottom"/>
          </w:tcPr>
          <w:p>
            <w:pPr>
              <w:jc w:val="center"/>
              <w:spacing w:after="0"/>
              <w:rPr>
                <w:sz w:val="20"/>
                <w:szCs w:val="20"/>
                <w:color w:val="auto"/>
              </w:rPr>
            </w:pPr>
            <w:r>
              <w:rPr>
                <w:rFonts w:ascii="Arial" w:cs="Arial" w:eastAsia="Arial" w:hAnsi="Arial"/>
                <w:sz w:val="13"/>
                <w:szCs w:val="13"/>
                <w:color w:val="auto"/>
              </w:rPr>
              <w:t>4.19%</w:t>
            </w:r>
          </w:p>
        </w:tc>
        <w:tc>
          <w:tcPr>
            <w:tcW w:w="860" w:type="dxa"/>
            <w:vAlign w:val="bottom"/>
          </w:tcPr>
          <w:p>
            <w:pPr>
              <w:jc w:val="center"/>
              <w:spacing w:after="0"/>
              <w:rPr>
                <w:sz w:val="20"/>
                <w:szCs w:val="20"/>
                <w:color w:val="auto"/>
              </w:rPr>
            </w:pPr>
            <w:r>
              <w:rPr>
                <w:rFonts w:ascii="Arial" w:cs="Arial" w:eastAsia="Arial" w:hAnsi="Arial"/>
                <w:sz w:val="13"/>
                <w:szCs w:val="13"/>
                <w:color w:val="auto"/>
              </w:rPr>
              <w:t>4.67%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4.64%</w:t>
            </w:r>
          </w:p>
        </w:tc>
        <w:tc>
          <w:tcPr>
            <w:tcW w:w="820" w:type="dxa"/>
            <w:vAlign w:val="bottom"/>
          </w:tcPr>
          <w:p>
            <w:pPr>
              <w:jc w:val="center"/>
              <w:ind w:left="173"/>
              <w:spacing w:after="0"/>
              <w:rPr>
                <w:sz w:val="20"/>
                <w:szCs w:val="20"/>
                <w:color w:val="auto"/>
              </w:rPr>
            </w:pPr>
            <w:r>
              <w:rPr>
                <w:rFonts w:ascii="Arial" w:cs="Arial" w:eastAsia="Arial" w:hAnsi="Arial"/>
                <w:sz w:val="13"/>
                <w:szCs w:val="13"/>
                <w:color w:val="auto"/>
              </w:rPr>
              <w:t>3.59%</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4.44%</w:t>
            </w:r>
          </w:p>
        </w:tc>
      </w:tr>
      <w:tr>
        <w:trPr>
          <w:trHeight w:val="299"/>
        </w:trPr>
        <w:tc>
          <w:tcPr>
            <w:tcW w:w="4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 xml:space="preserve">Funding Cost </w:t>
            </w:r>
            <w:r>
              <w:rPr>
                <w:rFonts w:ascii="Arial" w:cs="Arial" w:eastAsia="Arial" w:hAnsi="Arial"/>
                <w:sz w:val="22"/>
                <w:szCs w:val="22"/>
                <w:color w:val="auto"/>
                <w:vertAlign w:val="superscript"/>
              </w:rPr>
              <w:t>(2)(3)(4)</w:t>
            </w:r>
          </w:p>
        </w:tc>
        <w:tc>
          <w:tcPr>
            <w:tcW w:w="860" w:type="dxa"/>
            <w:vAlign w:val="bottom"/>
          </w:tcPr>
          <w:p>
            <w:pPr>
              <w:jc w:val="center"/>
              <w:spacing w:after="0"/>
              <w:rPr>
                <w:sz w:val="20"/>
                <w:szCs w:val="20"/>
                <w:color w:val="auto"/>
              </w:rPr>
            </w:pPr>
            <w:r>
              <w:rPr>
                <w:rFonts w:ascii="Arial" w:cs="Arial" w:eastAsia="Arial" w:hAnsi="Arial"/>
                <w:sz w:val="13"/>
                <w:szCs w:val="13"/>
                <w:color w:val="auto"/>
              </w:rPr>
              <w:t>1.05%</w:t>
            </w:r>
          </w:p>
        </w:tc>
        <w:tc>
          <w:tcPr>
            <w:tcW w:w="860" w:type="dxa"/>
            <w:vAlign w:val="bottom"/>
          </w:tcPr>
          <w:p>
            <w:pPr>
              <w:jc w:val="center"/>
              <w:spacing w:after="0"/>
              <w:rPr>
                <w:sz w:val="20"/>
                <w:szCs w:val="20"/>
                <w:color w:val="auto"/>
              </w:rPr>
            </w:pPr>
            <w:r>
              <w:rPr>
                <w:rFonts w:ascii="Arial" w:cs="Arial" w:eastAsia="Arial" w:hAnsi="Arial"/>
                <w:sz w:val="13"/>
                <w:szCs w:val="13"/>
                <w:color w:val="auto"/>
              </w:rPr>
              <w:t>1.90%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2.18%</w:t>
            </w:r>
          </w:p>
        </w:tc>
        <w:tc>
          <w:tcPr>
            <w:tcW w:w="820" w:type="dxa"/>
            <w:vAlign w:val="bottom"/>
          </w:tcPr>
          <w:p>
            <w:pPr>
              <w:jc w:val="center"/>
              <w:ind w:left="173"/>
              <w:spacing w:after="0"/>
              <w:rPr>
                <w:sz w:val="20"/>
                <w:szCs w:val="20"/>
                <w:color w:val="auto"/>
              </w:rPr>
            </w:pPr>
            <w:r>
              <w:rPr>
                <w:rFonts w:ascii="Arial" w:cs="Arial" w:eastAsia="Arial" w:hAnsi="Arial"/>
                <w:sz w:val="13"/>
                <w:szCs w:val="13"/>
                <w:color w:val="auto"/>
              </w:rPr>
              <w:t>1.09%</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1.66%</w:t>
            </w:r>
          </w:p>
        </w:tc>
      </w:tr>
      <w:tr>
        <w:trPr>
          <w:trHeight w:val="170"/>
        </w:trPr>
        <w:tc>
          <w:tcPr>
            <w:tcW w:w="4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Quality of loan portfolio</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r>
      <w:tr>
        <w:trPr>
          <w:trHeight w:val="151"/>
        </w:trPr>
        <w:tc>
          <w:tcPr>
            <w:tcW w:w="4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IOL ratio</w:t>
            </w:r>
          </w:p>
        </w:tc>
        <w:tc>
          <w:tcPr>
            <w:tcW w:w="860" w:type="dxa"/>
            <w:vAlign w:val="bottom"/>
          </w:tcPr>
          <w:p>
            <w:pPr>
              <w:jc w:val="center"/>
              <w:spacing w:after="0"/>
              <w:rPr>
                <w:sz w:val="20"/>
                <w:szCs w:val="20"/>
                <w:color w:val="auto"/>
              </w:rPr>
            </w:pPr>
            <w:r>
              <w:rPr>
                <w:rFonts w:ascii="Arial" w:cs="Arial" w:eastAsia="Arial" w:hAnsi="Arial"/>
                <w:sz w:val="13"/>
                <w:szCs w:val="13"/>
                <w:color w:val="auto"/>
              </w:rPr>
              <w:t>4.02%</w:t>
            </w:r>
          </w:p>
        </w:tc>
        <w:tc>
          <w:tcPr>
            <w:tcW w:w="860" w:type="dxa"/>
            <w:vAlign w:val="bottom"/>
          </w:tcPr>
          <w:p>
            <w:pPr>
              <w:jc w:val="center"/>
              <w:spacing w:after="0"/>
              <w:rPr>
                <w:sz w:val="20"/>
                <w:szCs w:val="20"/>
                <w:color w:val="auto"/>
              </w:rPr>
            </w:pPr>
            <w:r>
              <w:rPr>
                <w:rFonts w:ascii="Arial" w:cs="Arial" w:eastAsia="Arial" w:hAnsi="Arial"/>
                <w:sz w:val="13"/>
                <w:szCs w:val="13"/>
                <w:color w:val="auto"/>
              </w:rPr>
              <w:t>4.33%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4.15%</w:t>
            </w:r>
          </w:p>
        </w:tc>
        <w:tc>
          <w:tcPr>
            <w:tcW w:w="820" w:type="dxa"/>
            <w:vAlign w:val="bottom"/>
          </w:tcPr>
          <w:p>
            <w:pPr>
              <w:jc w:val="center"/>
              <w:ind w:left="173"/>
              <w:spacing w:after="0"/>
              <w:rPr>
                <w:sz w:val="20"/>
                <w:szCs w:val="20"/>
                <w:color w:val="auto"/>
              </w:rPr>
            </w:pPr>
            <w:r>
              <w:rPr>
                <w:rFonts w:ascii="Arial" w:cs="Arial" w:eastAsia="Arial" w:hAnsi="Arial"/>
                <w:sz w:val="13"/>
                <w:szCs w:val="13"/>
                <w:color w:val="auto"/>
              </w:rPr>
              <w:t>4.02%</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4.15%</w:t>
            </w:r>
          </w:p>
        </w:tc>
      </w:tr>
      <w:tr>
        <w:trPr>
          <w:trHeight w:val="151"/>
        </w:trPr>
        <w:tc>
          <w:tcPr>
            <w:tcW w:w="4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NPL ratio</w:t>
            </w:r>
          </w:p>
        </w:tc>
        <w:tc>
          <w:tcPr>
            <w:tcW w:w="860" w:type="dxa"/>
            <w:vAlign w:val="bottom"/>
          </w:tcPr>
          <w:p>
            <w:pPr>
              <w:jc w:val="center"/>
              <w:spacing w:after="0"/>
              <w:rPr>
                <w:sz w:val="20"/>
                <w:szCs w:val="20"/>
                <w:color w:val="auto"/>
              </w:rPr>
            </w:pPr>
            <w:r>
              <w:rPr>
                <w:rFonts w:ascii="Arial" w:cs="Arial" w:eastAsia="Arial" w:hAnsi="Arial"/>
                <w:sz w:val="13"/>
                <w:szCs w:val="13"/>
                <w:color w:val="auto"/>
              </w:rPr>
              <w:t>5.33%</w:t>
            </w:r>
          </w:p>
        </w:tc>
        <w:tc>
          <w:tcPr>
            <w:tcW w:w="860" w:type="dxa"/>
            <w:vAlign w:val="bottom"/>
          </w:tcPr>
          <w:p>
            <w:pPr>
              <w:jc w:val="center"/>
              <w:spacing w:after="0"/>
              <w:rPr>
                <w:sz w:val="20"/>
                <w:szCs w:val="20"/>
                <w:color w:val="auto"/>
              </w:rPr>
            </w:pPr>
            <w:r>
              <w:rPr>
                <w:rFonts w:ascii="Arial" w:cs="Arial" w:eastAsia="Arial" w:hAnsi="Arial"/>
                <w:sz w:val="13"/>
                <w:szCs w:val="13"/>
                <w:color w:val="auto"/>
              </w:rPr>
              <w:t>5.61%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5.67%</w:t>
            </w:r>
          </w:p>
        </w:tc>
        <w:tc>
          <w:tcPr>
            <w:tcW w:w="820" w:type="dxa"/>
            <w:vAlign w:val="bottom"/>
          </w:tcPr>
          <w:p>
            <w:pPr>
              <w:jc w:val="center"/>
              <w:ind w:left="173"/>
              <w:spacing w:after="0"/>
              <w:rPr>
                <w:sz w:val="20"/>
                <w:szCs w:val="20"/>
                <w:color w:val="auto"/>
              </w:rPr>
            </w:pPr>
            <w:r>
              <w:rPr>
                <w:rFonts w:ascii="Arial" w:cs="Arial" w:eastAsia="Arial" w:hAnsi="Arial"/>
                <w:sz w:val="13"/>
                <w:szCs w:val="13"/>
                <w:color w:val="auto"/>
              </w:rPr>
              <w:t>5.33%</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5.67%</w:t>
            </w:r>
          </w:p>
        </w:tc>
      </w:tr>
      <w:tr>
        <w:trPr>
          <w:trHeight w:val="151"/>
        </w:trPr>
        <w:tc>
          <w:tcPr>
            <w:tcW w:w="4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Coverage of IOLs</w:t>
            </w:r>
          </w:p>
        </w:tc>
        <w:tc>
          <w:tcPr>
            <w:tcW w:w="860" w:type="dxa"/>
            <w:vAlign w:val="bottom"/>
          </w:tcPr>
          <w:p>
            <w:pPr>
              <w:jc w:val="center"/>
              <w:spacing w:after="0"/>
              <w:rPr>
                <w:sz w:val="20"/>
                <w:szCs w:val="20"/>
                <w:color w:val="auto"/>
              </w:rPr>
            </w:pPr>
            <w:r>
              <w:rPr>
                <w:rFonts w:ascii="Arial" w:cs="Arial" w:eastAsia="Arial" w:hAnsi="Arial"/>
                <w:sz w:val="13"/>
                <w:szCs w:val="13"/>
                <w:color w:val="auto"/>
              </w:rPr>
              <w:t>146.4%</w:t>
            </w:r>
          </w:p>
        </w:tc>
        <w:tc>
          <w:tcPr>
            <w:tcW w:w="860" w:type="dxa"/>
            <w:vAlign w:val="bottom"/>
          </w:tcPr>
          <w:p>
            <w:pPr>
              <w:jc w:val="center"/>
              <w:spacing w:after="0"/>
              <w:rPr>
                <w:sz w:val="20"/>
                <w:szCs w:val="20"/>
                <w:color w:val="auto"/>
              </w:rPr>
            </w:pPr>
            <w:r>
              <w:rPr>
                <w:rFonts w:ascii="Arial" w:cs="Arial" w:eastAsia="Arial" w:hAnsi="Arial"/>
                <w:sz w:val="13"/>
                <w:szCs w:val="13"/>
                <w:color w:val="auto"/>
              </w:rPr>
              <w:t>125.8%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131.1%</w:t>
            </w:r>
          </w:p>
        </w:tc>
        <w:tc>
          <w:tcPr>
            <w:tcW w:w="820" w:type="dxa"/>
            <w:vAlign w:val="bottom"/>
          </w:tcPr>
          <w:p>
            <w:pPr>
              <w:jc w:val="center"/>
              <w:ind w:left="153"/>
              <w:spacing w:after="0"/>
              <w:rPr>
                <w:sz w:val="20"/>
                <w:szCs w:val="20"/>
                <w:color w:val="auto"/>
              </w:rPr>
            </w:pPr>
            <w:r>
              <w:rPr>
                <w:rFonts w:ascii="Arial" w:cs="Arial" w:eastAsia="Arial" w:hAnsi="Arial"/>
                <w:sz w:val="13"/>
                <w:szCs w:val="13"/>
                <w:color w:val="auto"/>
                <w:w w:val="99"/>
              </w:rPr>
              <w:t>146.4%</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131.1%</w:t>
            </w:r>
          </w:p>
        </w:tc>
      </w:tr>
      <w:tr>
        <w:trPr>
          <w:trHeight w:val="135"/>
        </w:trPr>
        <w:tc>
          <w:tcPr>
            <w:tcW w:w="4180" w:type="dxa"/>
            <w:vAlign w:val="bottom"/>
            <w:tcBorders>
              <w:left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Coverage of NPLs</w:t>
            </w:r>
          </w:p>
        </w:tc>
        <w:tc>
          <w:tcPr>
            <w:tcW w:w="860" w:type="dxa"/>
            <w:vAlign w:val="bottom"/>
          </w:tcPr>
          <w:p>
            <w:pPr>
              <w:jc w:val="center"/>
              <w:spacing w:after="0" w:line="136" w:lineRule="exact"/>
              <w:rPr>
                <w:sz w:val="20"/>
                <w:szCs w:val="20"/>
                <w:color w:val="auto"/>
              </w:rPr>
            </w:pPr>
            <w:r>
              <w:rPr>
                <w:rFonts w:ascii="Arial" w:cs="Arial" w:eastAsia="Arial" w:hAnsi="Arial"/>
                <w:sz w:val="13"/>
                <w:szCs w:val="13"/>
                <w:color w:val="auto"/>
                <w:w w:val="99"/>
              </w:rPr>
              <w:t>110.6%</w:t>
            </w:r>
          </w:p>
        </w:tc>
        <w:tc>
          <w:tcPr>
            <w:tcW w:w="860" w:type="dxa"/>
            <w:vAlign w:val="bottom"/>
          </w:tcPr>
          <w:p>
            <w:pPr>
              <w:jc w:val="center"/>
              <w:spacing w:after="0" w:line="136" w:lineRule="exact"/>
              <w:rPr>
                <w:sz w:val="20"/>
                <w:szCs w:val="20"/>
                <w:color w:val="auto"/>
              </w:rPr>
            </w:pPr>
            <w:r>
              <w:rPr>
                <w:rFonts w:ascii="Arial" w:cs="Arial" w:eastAsia="Arial" w:hAnsi="Arial"/>
                <w:sz w:val="13"/>
                <w:szCs w:val="13"/>
                <w:color w:val="auto"/>
              </w:rPr>
              <w:t>97.2%</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96.0%</w:t>
            </w:r>
          </w:p>
        </w:tc>
        <w:tc>
          <w:tcPr>
            <w:tcW w:w="820" w:type="dxa"/>
            <w:vAlign w:val="bottom"/>
          </w:tcPr>
          <w:p>
            <w:pPr>
              <w:jc w:val="center"/>
              <w:ind w:left="153"/>
              <w:spacing w:after="0" w:line="136" w:lineRule="exact"/>
              <w:rPr>
                <w:sz w:val="20"/>
                <w:szCs w:val="20"/>
                <w:color w:val="auto"/>
              </w:rPr>
            </w:pPr>
            <w:r>
              <w:rPr>
                <w:rFonts w:ascii="Arial" w:cs="Arial" w:eastAsia="Arial" w:hAnsi="Arial"/>
                <w:sz w:val="13"/>
                <w:szCs w:val="13"/>
                <w:color w:val="auto"/>
                <w:w w:val="99"/>
              </w:rPr>
              <w:t>110.6%</w:t>
            </w:r>
          </w:p>
        </w:tc>
        <w:tc>
          <w:tcPr>
            <w:tcW w:w="1380" w:type="dxa"/>
            <w:vAlign w:val="bottom"/>
            <w:tcBorders>
              <w:right w:val="single" w:sz="8" w:color="auto"/>
            </w:tcBorders>
          </w:tcPr>
          <w:p>
            <w:pPr>
              <w:jc w:val="center"/>
              <w:ind w:left="133"/>
              <w:spacing w:after="0" w:line="136" w:lineRule="exact"/>
              <w:rPr>
                <w:sz w:val="20"/>
                <w:szCs w:val="20"/>
                <w:color w:val="auto"/>
              </w:rPr>
            </w:pPr>
            <w:r>
              <w:rPr>
                <w:rFonts w:ascii="Arial" w:cs="Arial" w:eastAsia="Arial" w:hAnsi="Arial"/>
                <w:sz w:val="13"/>
                <w:szCs w:val="13"/>
                <w:color w:val="auto"/>
              </w:rPr>
              <w:t>96.0%</w:t>
            </w:r>
          </w:p>
        </w:tc>
      </w:tr>
      <w:tr>
        <w:trPr>
          <w:trHeight w:val="299"/>
        </w:trPr>
        <w:tc>
          <w:tcPr>
            <w:tcW w:w="4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 xml:space="preserve">Cost of risk </w:t>
            </w:r>
            <w:r>
              <w:rPr>
                <w:rFonts w:ascii="Arial" w:cs="Arial" w:eastAsia="Arial" w:hAnsi="Arial"/>
                <w:sz w:val="22"/>
                <w:szCs w:val="22"/>
                <w:color w:val="auto"/>
                <w:vertAlign w:val="superscript"/>
              </w:rPr>
              <w:t>(5)</w:t>
            </w:r>
          </w:p>
        </w:tc>
        <w:tc>
          <w:tcPr>
            <w:tcW w:w="860" w:type="dxa"/>
            <w:vAlign w:val="bottom"/>
          </w:tcPr>
          <w:p>
            <w:pPr>
              <w:jc w:val="center"/>
              <w:spacing w:after="0"/>
              <w:rPr>
                <w:sz w:val="20"/>
                <w:szCs w:val="20"/>
                <w:color w:val="auto"/>
              </w:rPr>
            </w:pPr>
            <w:r>
              <w:rPr>
                <w:rFonts w:ascii="Arial" w:cs="Arial" w:eastAsia="Arial" w:hAnsi="Arial"/>
                <w:sz w:val="13"/>
                <w:szCs w:val="13"/>
                <w:color w:val="auto"/>
              </w:rPr>
              <w:t>0.38%</w:t>
            </w:r>
          </w:p>
        </w:tc>
        <w:tc>
          <w:tcPr>
            <w:tcW w:w="860" w:type="dxa"/>
            <w:vAlign w:val="bottom"/>
          </w:tcPr>
          <w:p>
            <w:pPr>
              <w:jc w:val="center"/>
              <w:spacing w:after="0"/>
              <w:rPr>
                <w:sz w:val="20"/>
                <w:szCs w:val="20"/>
                <w:color w:val="auto"/>
              </w:rPr>
            </w:pPr>
            <w:r>
              <w:rPr>
                <w:rFonts w:ascii="Arial" w:cs="Arial" w:eastAsia="Arial" w:hAnsi="Arial"/>
                <w:sz w:val="13"/>
                <w:szCs w:val="13"/>
                <w:color w:val="auto"/>
              </w:rPr>
              <w:t>1.28%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2.07%</w:t>
            </w:r>
          </w:p>
        </w:tc>
        <w:tc>
          <w:tcPr>
            <w:tcW w:w="820" w:type="dxa"/>
            <w:vAlign w:val="bottom"/>
          </w:tcPr>
          <w:p>
            <w:pPr>
              <w:jc w:val="center"/>
              <w:ind w:left="173"/>
              <w:spacing w:after="0"/>
              <w:rPr>
                <w:sz w:val="20"/>
                <w:szCs w:val="20"/>
                <w:color w:val="auto"/>
              </w:rPr>
            </w:pPr>
            <w:r>
              <w:rPr>
                <w:rFonts w:ascii="Arial" w:cs="Arial" w:eastAsia="Arial" w:hAnsi="Arial"/>
                <w:sz w:val="13"/>
                <w:szCs w:val="13"/>
                <w:color w:val="auto"/>
              </w:rPr>
              <w:t>0.90%</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1.27%</w:t>
            </w:r>
          </w:p>
        </w:tc>
      </w:tr>
      <w:tr>
        <w:trPr>
          <w:trHeight w:val="154"/>
        </w:trPr>
        <w:tc>
          <w:tcPr>
            <w:tcW w:w="4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Operating efficiency</w:t>
            </w: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151"/>
        </w:trPr>
        <w:tc>
          <w:tcPr>
            <w:tcW w:w="4180" w:type="dxa"/>
            <w:vAlign w:val="bottom"/>
            <w:tcBorders>
              <w:left w:val="single" w:sz="8" w:color="auto"/>
              <w:right w:val="single" w:sz="8" w:color="auto"/>
            </w:tcBorders>
          </w:tcPr>
          <w:p>
            <w:pPr>
              <w:spacing w:after="0" w:line="151" w:lineRule="exact"/>
              <w:rPr>
                <w:sz w:val="20"/>
                <w:szCs w:val="20"/>
                <w:color w:val="auto"/>
              </w:rPr>
            </w:pPr>
            <w:r>
              <w:rPr>
                <w:rFonts w:ascii="Arial" w:cs="Arial" w:eastAsia="Arial" w:hAnsi="Arial"/>
                <w:sz w:val="11"/>
                <w:szCs w:val="11"/>
                <w:color w:val="auto"/>
              </w:rPr>
              <w:t xml:space="preserve">Oper. expenses as a percent. of total income - reported </w:t>
            </w:r>
            <w:r>
              <w:rPr>
                <w:rFonts w:ascii="Arial" w:cs="Arial" w:eastAsia="Arial" w:hAnsi="Arial"/>
                <w:sz w:val="17"/>
                <w:szCs w:val="17"/>
                <w:color w:val="auto"/>
                <w:vertAlign w:val="superscript"/>
              </w:rPr>
              <w:t>(6)</w:t>
            </w:r>
          </w:p>
        </w:tc>
        <w:tc>
          <w:tcPr>
            <w:tcW w:w="860" w:type="dxa"/>
            <w:vAlign w:val="bottom"/>
          </w:tcPr>
          <w:p>
            <w:pPr>
              <w:jc w:val="center"/>
              <w:spacing w:after="0"/>
              <w:rPr>
                <w:sz w:val="20"/>
                <w:szCs w:val="20"/>
                <w:color w:val="auto"/>
              </w:rPr>
            </w:pPr>
            <w:r>
              <w:rPr>
                <w:rFonts w:ascii="Arial" w:cs="Arial" w:eastAsia="Arial" w:hAnsi="Arial"/>
                <w:sz w:val="13"/>
                <w:szCs w:val="13"/>
                <w:color w:val="auto"/>
              </w:rPr>
              <w:t>48.7%</w:t>
            </w:r>
          </w:p>
        </w:tc>
        <w:tc>
          <w:tcPr>
            <w:tcW w:w="860" w:type="dxa"/>
            <w:vAlign w:val="bottom"/>
          </w:tcPr>
          <w:p>
            <w:pPr>
              <w:jc w:val="center"/>
              <w:spacing w:after="0"/>
              <w:rPr>
                <w:sz w:val="20"/>
                <w:szCs w:val="20"/>
                <w:color w:val="auto"/>
              </w:rPr>
            </w:pPr>
            <w:r>
              <w:rPr>
                <w:rFonts w:ascii="Arial" w:cs="Arial" w:eastAsia="Arial" w:hAnsi="Arial"/>
                <w:sz w:val="13"/>
                <w:szCs w:val="13"/>
                <w:color w:val="auto"/>
              </w:rPr>
              <w:t>40.5%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43.3%</w:t>
            </w:r>
          </w:p>
        </w:tc>
        <w:tc>
          <w:tcPr>
            <w:tcW w:w="820" w:type="dxa"/>
            <w:vAlign w:val="bottom"/>
          </w:tcPr>
          <w:p>
            <w:pPr>
              <w:jc w:val="center"/>
              <w:ind w:left="173"/>
              <w:spacing w:after="0"/>
              <w:rPr>
                <w:sz w:val="20"/>
                <w:szCs w:val="20"/>
                <w:color w:val="auto"/>
              </w:rPr>
            </w:pPr>
            <w:r>
              <w:rPr>
                <w:rFonts w:ascii="Arial" w:cs="Arial" w:eastAsia="Arial" w:hAnsi="Arial"/>
                <w:sz w:val="13"/>
                <w:szCs w:val="13"/>
                <w:color w:val="auto"/>
              </w:rPr>
              <w:t>45.4%</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42.4%</w:t>
            </w:r>
          </w:p>
        </w:tc>
      </w:tr>
      <w:tr>
        <w:trPr>
          <w:trHeight w:val="299"/>
        </w:trPr>
        <w:tc>
          <w:tcPr>
            <w:tcW w:w="4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 xml:space="preserve">Oper. expenses as a percent. of av. tot. assets </w:t>
            </w:r>
            <w:r>
              <w:rPr>
                <w:rFonts w:ascii="Arial" w:cs="Arial" w:eastAsia="Arial" w:hAnsi="Arial"/>
                <w:sz w:val="22"/>
                <w:szCs w:val="22"/>
                <w:color w:val="auto"/>
                <w:vertAlign w:val="superscript"/>
              </w:rPr>
              <w:t>(2)(3)(6)</w:t>
            </w:r>
          </w:p>
        </w:tc>
        <w:tc>
          <w:tcPr>
            <w:tcW w:w="860" w:type="dxa"/>
            <w:vAlign w:val="bottom"/>
          </w:tcPr>
          <w:p>
            <w:pPr>
              <w:jc w:val="center"/>
              <w:spacing w:after="0"/>
              <w:rPr>
                <w:sz w:val="20"/>
                <w:szCs w:val="20"/>
                <w:color w:val="auto"/>
              </w:rPr>
            </w:pPr>
            <w:r>
              <w:rPr>
                <w:rFonts w:ascii="Arial" w:cs="Arial" w:eastAsia="Arial" w:hAnsi="Arial"/>
                <w:sz w:val="13"/>
                <w:szCs w:val="13"/>
                <w:color w:val="auto"/>
              </w:rPr>
              <w:t>3.08%</w:t>
            </w:r>
          </w:p>
        </w:tc>
        <w:tc>
          <w:tcPr>
            <w:tcW w:w="860" w:type="dxa"/>
            <w:vAlign w:val="bottom"/>
          </w:tcPr>
          <w:p>
            <w:pPr>
              <w:jc w:val="center"/>
              <w:spacing w:after="0"/>
              <w:rPr>
                <w:sz w:val="20"/>
                <w:szCs w:val="20"/>
                <w:color w:val="auto"/>
              </w:rPr>
            </w:pPr>
            <w:r>
              <w:rPr>
                <w:rFonts w:ascii="Arial" w:cs="Arial" w:eastAsia="Arial" w:hAnsi="Arial"/>
                <w:sz w:val="13"/>
                <w:szCs w:val="13"/>
                <w:color w:val="auto"/>
              </w:rPr>
              <w:t>3.07%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3.50%</w:t>
            </w:r>
          </w:p>
        </w:tc>
        <w:tc>
          <w:tcPr>
            <w:tcW w:w="820" w:type="dxa"/>
            <w:vAlign w:val="bottom"/>
          </w:tcPr>
          <w:p>
            <w:pPr>
              <w:jc w:val="center"/>
              <w:ind w:left="153"/>
              <w:spacing w:after="0"/>
              <w:rPr>
                <w:sz w:val="20"/>
                <w:szCs w:val="20"/>
                <w:color w:val="auto"/>
              </w:rPr>
            </w:pPr>
            <w:r>
              <w:rPr>
                <w:rFonts w:ascii="Arial" w:cs="Arial" w:eastAsia="Arial" w:hAnsi="Arial"/>
                <w:sz w:val="13"/>
                <w:szCs w:val="13"/>
                <w:color w:val="auto"/>
              </w:rPr>
              <w:t>2.7%</w:t>
            </w:r>
          </w:p>
        </w:tc>
        <w:tc>
          <w:tcPr>
            <w:tcW w:w="1380" w:type="dxa"/>
            <w:vAlign w:val="bottom"/>
            <w:tcBorders>
              <w:right w:val="single" w:sz="8" w:color="auto"/>
            </w:tcBorders>
          </w:tcPr>
          <w:p>
            <w:pPr>
              <w:jc w:val="center"/>
              <w:ind w:left="133"/>
              <w:spacing w:after="0"/>
              <w:rPr>
                <w:sz w:val="20"/>
                <w:szCs w:val="20"/>
                <w:color w:val="auto"/>
              </w:rPr>
            </w:pPr>
            <w:r>
              <w:rPr>
                <w:rFonts w:ascii="Arial" w:cs="Arial" w:eastAsia="Arial" w:hAnsi="Arial"/>
                <w:sz w:val="13"/>
                <w:szCs w:val="13"/>
                <w:color w:val="auto"/>
              </w:rPr>
              <w:t>3.1%</w:t>
            </w:r>
          </w:p>
        </w:tc>
      </w:tr>
      <w:tr>
        <w:trPr>
          <w:trHeight w:val="170"/>
        </w:trPr>
        <w:tc>
          <w:tcPr>
            <w:tcW w:w="41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Share Information</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r>
      <w:tr>
        <w:trPr>
          <w:trHeight w:val="159"/>
        </w:trPr>
        <w:tc>
          <w:tcPr>
            <w:tcW w:w="41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N° of outstanding shares (Million)</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12,176</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12,176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12,176</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12,176</w:t>
            </w:r>
          </w:p>
        </w:tc>
        <w:tc>
          <w:tcPr>
            <w:tcW w:w="1380" w:type="dxa"/>
            <w:vAlign w:val="bottom"/>
            <w:tcBorders>
              <w:bottom w:val="single" w:sz="8" w:color="auto"/>
              <w:right w:val="single" w:sz="8" w:color="auto"/>
            </w:tcBorders>
          </w:tcPr>
          <w:p>
            <w:pPr>
              <w:jc w:val="right"/>
              <w:ind w:right="293"/>
              <w:spacing w:after="0"/>
              <w:rPr>
                <w:sz w:val="20"/>
                <w:szCs w:val="20"/>
                <w:color w:val="auto"/>
              </w:rPr>
            </w:pPr>
            <w:r>
              <w:rPr>
                <w:rFonts w:ascii="Arial" w:cs="Arial" w:eastAsia="Arial" w:hAnsi="Arial"/>
                <w:sz w:val="13"/>
                <w:szCs w:val="13"/>
                <w:color w:val="auto"/>
              </w:rPr>
              <w:t>12,176</w:t>
            </w:r>
          </w:p>
        </w:tc>
      </w:tr>
    </w:tbl>
    <w:p>
      <w:pPr>
        <w:spacing w:after="0" w:line="70" w:lineRule="exact"/>
        <w:rPr>
          <w:sz w:val="20"/>
          <w:szCs w:val="20"/>
          <w:color w:val="auto"/>
        </w:rPr>
      </w:pPr>
    </w:p>
    <w:p>
      <w:pPr>
        <w:ind w:left="480" w:hanging="177"/>
        <w:spacing w:after="0"/>
        <w:tabs>
          <w:tab w:leader="none" w:pos="4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Shares outstanding of 12,176 million is used for all periods since shares have been issued only for capitalization of profits.</w:t>
      </w:r>
    </w:p>
    <w:p>
      <w:pPr>
        <w:ind w:left="480" w:hanging="177"/>
        <w:spacing w:after="0" w:line="218" w:lineRule="auto"/>
        <w:tabs>
          <w:tab w:leader="none" w:pos="4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Ratios are annualized.</w:t>
      </w:r>
    </w:p>
    <w:p>
      <w:pPr>
        <w:ind w:left="480" w:hanging="177"/>
        <w:spacing w:after="0" w:line="218" w:lineRule="auto"/>
        <w:tabs>
          <w:tab w:leader="none" w:pos="4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Averages are determined as the average of period-beginning and period-ending balances.</w:t>
      </w:r>
    </w:p>
    <w:p>
      <w:pPr>
        <w:ind w:left="300" w:right="400" w:firstLine="3"/>
        <w:spacing w:after="0" w:line="218" w:lineRule="auto"/>
        <w:tabs>
          <w:tab w:leader="none" w:pos="476"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ind w:left="480" w:hanging="177"/>
        <w:spacing w:after="0" w:line="218" w:lineRule="auto"/>
        <w:tabs>
          <w:tab w:leader="none" w:pos="4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Cost of risk: Annualized provision for loan losses / Total loans.</w:t>
      </w:r>
    </w:p>
    <w:p>
      <w:pPr>
        <w:ind w:left="300" w:right="100" w:firstLine="3"/>
        <w:spacing w:after="0" w:line="234" w:lineRule="auto"/>
        <w:tabs>
          <w:tab w:leader="none" w:pos="476" w:val="left"/>
        </w:tabs>
        <w:numPr>
          <w:ilvl w:val="0"/>
          <w:numId w:val="47"/>
        </w:numPr>
        <w:rPr>
          <w:rFonts w:ascii="Arial" w:cs="Arial" w:eastAsia="Arial" w:hAnsi="Arial"/>
          <w:sz w:val="12"/>
          <w:szCs w:val="12"/>
          <w:color w:val="auto"/>
        </w:rPr>
      </w:pPr>
      <w:r>
        <w:rPr>
          <w:rFonts w:ascii="Arial" w:cs="Arial" w:eastAsia="Arial" w:hAnsi="Arial"/>
          <w:sz w:val="12"/>
          <w:szCs w:val="12"/>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62" w:name="page63"/>
    <w:bookmarkEnd w:id="62"/>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216535</wp:posOffset>
            </wp:positionV>
            <wp:extent cx="7141845" cy="535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12.5.4. BCP Stand-alone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BANCO DE CREDITO DEL PERU</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STATEMENT OF FINANCIAL POSITION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 thousands, IFRS)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4960" w:type="dxa"/>
            <w:vAlign w:val="bottom"/>
            <w:tcBorders>
              <w:right w:val="single" w:sz="8" w:color="auto"/>
            </w:tcBorders>
          </w:tcPr>
          <w:p>
            <w:pPr>
              <w:spacing w:after="0"/>
              <w:rPr>
                <w:sz w:val="13"/>
                <w:szCs w:val="13"/>
                <w:color w:val="auto"/>
              </w:rPr>
            </w:pPr>
          </w:p>
        </w:tc>
        <w:tc>
          <w:tcPr>
            <w:tcW w:w="1540" w:type="dxa"/>
            <w:vAlign w:val="bottom"/>
            <w:tcBorders>
              <w:top w:val="single" w:sz="8" w:color="auto"/>
            </w:tcBorders>
            <w:shd w:val="clear" w:color="auto" w:fill="2AD2C9"/>
          </w:tcPr>
          <w:p>
            <w:pPr>
              <w:spacing w:after="0"/>
              <w:rPr>
                <w:sz w:val="13"/>
                <w:szCs w:val="13"/>
                <w:color w:val="auto"/>
              </w:rPr>
            </w:pPr>
          </w:p>
        </w:tc>
        <w:tc>
          <w:tcPr>
            <w:tcW w:w="1340" w:type="dxa"/>
            <w:vAlign w:val="bottom"/>
            <w:tcBorders>
              <w:top w:val="single" w:sz="8" w:color="auto"/>
            </w:tcBorders>
            <w:shd w:val="clear" w:color="auto" w:fill="2AD2C9"/>
          </w:tcPr>
          <w:p>
            <w:pPr>
              <w:jc w:val="right"/>
              <w:ind w:right="633"/>
              <w:spacing w:after="0"/>
              <w:rPr>
                <w:sz w:val="20"/>
                <w:szCs w:val="20"/>
                <w:color w:val="auto"/>
              </w:rPr>
            </w:pPr>
            <w:r>
              <w:rPr>
                <w:rFonts w:ascii="Arial" w:cs="Arial" w:eastAsia="Arial" w:hAnsi="Arial"/>
                <w:sz w:val="13"/>
                <w:szCs w:val="13"/>
                <w:b w:val="1"/>
                <w:bCs w:val="1"/>
                <w:color w:val="FFFFFF"/>
              </w:rPr>
              <w:t>As of</w:t>
            </w:r>
          </w:p>
        </w:tc>
        <w:tc>
          <w:tcPr>
            <w:tcW w:w="1180" w:type="dxa"/>
            <w:vAlign w:val="bottom"/>
            <w:tcBorders>
              <w:top w:val="single" w:sz="8" w:color="auto"/>
              <w:right w:val="single" w:sz="8" w:color="auto"/>
            </w:tcBorders>
            <w:shd w:val="clear" w:color="auto" w:fill="2AD2C9"/>
          </w:tcPr>
          <w:p>
            <w:pPr>
              <w:spacing w:after="0"/>
              <w:rPr>
                <w:sz w:val="13"/>
                <w:szCs w:val="13"/>
                <w:color w:val="auto"/>
              </w:rPr>
            </w:pPr>
          </w:p>
        </w:tc>
        <w:tc>
          <w:tcPr>
            <w:tcW w:w="780" w:type="dxa"/>
            <w:vAlign w:val="bottom"/>
            <w:tcBorders>
              <w:top w:val="single" w:sz="8" w:color="auto"/>
            </w:tcBorders>
            <w:shd w:val="clear" w:color="auto" w:fill="2AD2C9"/>
          </w:tcPr>
          <w:p>
            <w:pPr>
              <w:spacing w:after="0"/>
              <w:rPr>
                <w:sz w:val="13"/>
                <w:szCs w:val="13"/>
                <w:color w:val="auto"/>
              </w:rPr>
            </w:pPr>
          </w:p>
        </w:tc>
        <w:tc>
          <w:tcPr>
            <w:tcW w:w="1460" w:type="dxa"/>
            <w:vAlign w:val="bottom"/>
            <w:tcBorders>
              <w:top w:val="single" w:sz="8" w:color="auto"/>
              <w:right w:val="single" w:sz="8" w:color="auto"/>
            </w:tcBorders>
            <w:shd w:val="clear" w:color="auto" w:fill="2AD2C9"/>
          </w:tcPr>
          <w:p>
            <w:pPr>
              <w:spacing w:after="0"/>
              <w:rPr>
                <w:sz w:val="20"/>
                <w:szCs w:val="20"/>
                <w:color w:val="auto"/>
              </w:rPr>
            </w:pPr>
            <w:r>
              <w:rPr>
                <w:rFonts w:ascii="Arial" w:cs="Arial" w:eastAsia="Arial" w:hAnsi="Arial"/>
                <w:sz w:val="13"/>
                <w:szCs w:val="13"/>
                <w:b w:val="1"/>
                <w:bCs w:val="1"/>
                <w:color w:val="FFFFFF"/>
              </w:rPr>
              <w:t>% change</w:t>
            </w:r>
          </w:p>
        </w:tc>
      </w:tr>
      <w:tr>
        <w:trPr>
          <w:trHeight w:val="161"/>
        </w:trPr>
        <w:tc>
          <w:tcPr>
            <w:tcW w:w="496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tcBorders>
            <w:shd w:val="clear" w:color="auto" w:fill="2AD2C9"/>
          </w:tcPr>
          <w:p>
            <w:pPr>
              <w:jc w:val="right"/>
              <w:ind w:right="513"/>
              <w:spacing w:after="0"/>
              <w:rPr>
                <w:sz w:val="20"/>
                <w:szCs w:val="20"/>
                <w:color w:val="auto"/>
              </w:rPr>
            </w:pPr>
            <w:r>
              <w:rPr>
                <w:rFonts w:ascii="Arial" w:cs="Arial" w:eastAsia="Arial" w:hAnsi="Arial"/>
                <w:sz w:val="13"/>
                <w:szCs w:val="13"/>
                <w:b w:val="1"/>
                <w:bCs w:val="1"/>
                <w:color w:val="FFFFFF"/>
              </w:rPr>
              <w:t>Dec 2021</w:t>
            </w:r>
          </w:p>
        </w:tc>
        <w:tc>
          <w:tcPr>
            <w:tcW w:w="1340" w:type="dxa"/>
            <w:vAlign w:val="bottom"/>
            <w:tcBorders>
              <w:bottom w:val="single" w:sz="8" w:color="auto"/>
            </w:tcBorders>
            <w:shd w:val="clear" w:color="auto" w:fill="2AD2C9"/>
          </w:tcPr>
          <w:p>
            <w:pPr>
              <w:jc w:val="right"/>
              <w:ind w:right="513"/>
              <w:spacing w:after="0"/>
              <w:rPr>
                <w:sz w:val="20"/>
                <w:szCs w:val="20"/>
                <w:color w:val="auto"/>
              </w:rPr>
            </w:pPr>
            <w:r>
              <w:rPr>
                <w:rFonts w:ascii="Arial" w:cs="Arial" w:eastAsia="Arial" w:hAnsi="Arial"/>
                <w:sz w:val="13"/>
                <w:szCs w:val="13"/>
                <w:b w:val="1"/>
                <w:bCs w:val="1"/>
                <w:color w:val="FFFFFF"/>
              </w:rPr>
              <w:t>Sep 2022</w:t>
            </w:r>
          </w:p>
        </w:tc>
        <w:tc>
          <w:tcPr>
            <w:tcW w:w="1180" w:type="dxa"/>
            <w:vAlign w:val="bottom"/>
            <w:tcBorders>
              <w:bottom w:val="single" w:sz="8" w:color="auto"/>
              <w:right w:val="single" w:sz="8" w:color="auto"/>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Dec 2022</w:t>
            </w:r>
          </w:p>
        </w:tc>
        <w:tc>
          <w:tcPr>
            <w:tcW w:w="78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3"/>
                <w:szCs w:val="13"/>
                <w:b w:val="1"/>
                <w:bCs w:val="1"/>
                <w:color w:val="FFFFFF"/>
              </w:rPr>
              <w:t>QoQ</w:t>
            </w:r>
          </w:p>
        </w:tc>
        <w:tc>
          <w:tcPr>
            <w:tcW w:w="1460" w:type="dxa"/>
            <w:vAlign w:val="bottom"/>
            <w:tcBorders>
              <w:bottom w:val="single" w:sz="8" w:color="auto"/>
              <w:right w:val="single" w:sz="8" w:color="auto"/>
            </w:tcBorders>
            <w:shd w:val="clear" w:color="auto" w:fill="2AD2C9"/>
          </w:tcPr>
          <w:p>
            <w:pPr>
              <w:ind w:left="740"/>
              <w:spacing w:after="0"/>
              <w:rPr>
                <w:sz w:val="20"/>
                <w:szCs w:val="20"/>
                <w:color w:val="auto"/>
              </w:rPr>
            </w:pPr>
            <w:r>
              <w:rPr>
                <w:rFonts w:ascii="Arial" w:cs="Arial" w:eastAsia="Arial" w:hAnsi="Arial"/>
                <w:sz w:val="13"/>
                <w:szCs w:val="13"/>
                <w:b w:val="1"/>
                <w:bCs w:val="1"/>
                <w:color w:val="FFFFFF"/>
              </w:rPr>
              <w:t>YoY</w:t>
            </w:r>
          </w:p>
        </w:tc>
      </w:tr>
      <w:tr>
        <w:trPr>
          <w:trHeight w:val="134"/>
        </w:trPr>
        <w:tc>
          <w:tcPr>
            <w:tcW w:w="4960" w:type="dxa"/>
            <w:vAlign w:val="bottom"/>
            <w:tcBorders>
              <w:left w:val="single" w:sz="8" w:color="auto"/>
              <w:right w:val="single" w:sz="8" w:color="auto"/>
            </w:tcBorders>
          </w:tcPr>
          <w:p>
            <w:pPr>
              <w:ind w:left="20"/>
              <w:spacing w:after="0" w:line="134" w:lineRule="exact"/>
              <w:rPr>
                <w:sz w:val="20"/>
                <w:szCs w:val="20"/>
                <w:color w:val="auto"/>
              </w:rPr>
            </w:pPr>
            <w:r>
              <w:rPr>
                <w:rFonts w:ascii="Arial" w:cs="Arial" w:eastAsia="Arial" w:hAnsi="Arial"/>
                <w:sz w:val="13"/>
                <w:szCs w:val="13"/>
                <w:b w:val="1"/>
                <w:bCs w:val="1"/>
                <w:color w:val="auto"/>
              </w:rPr>
              <w:t>ASSETS</w:t>
            </w:r>
          </w:p>
        </w:tc>
        <w:tc>
          <w:tcPr>
            <w:tcW w:w="1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53"/>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Cash and due from banks</w:t>
            </w:r>
          </w:p>
        </w:tc>
        <w:tc>
          <w:tcPr>
            <w:tcW w:w="1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r>
      <w:tr>
        <w:trPr>
          <w:trHeight w:val="151"/>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Non-interest bearing</w:t>
            </w:r>
          </w:p>
        </w:tc>
        <w:tc>
          <w:tcPr>
            <w:tcW w:w="1540" w:type="dxa"/>
            <w:vAlign w:val="bottom"/>
          </w:tcPr>
          <w:p>
            <w:pPr>
              <w:jc w:val="right"/>
              <w:ind w:right="173"/>
              <w:spacing w:after="0"/>
              <w:rPr>
                <w:sz w:val="20"/>
                <w:szCs w:val="20"/>
                <w:color w:val="auto"/>
              </w:rPr>
            </w:pPr>
            <w:r>
              <w:rPr>
                <w:rFonts w:ascii="Arial" w:cs="Arial" w:eastAsia="Arial" w:hAnsi="Arial"/>
                <w:sz w:val="13"/>
                <w:szCs w:val="13"/>
                <w:color w:val="auto"/>
              </w:rPr>
              <w:t>4,366,498</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4,880,450</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5,070,067</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3.9%</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16.1%</w:t>
            </w:r>
          </w:p>
        </w:tc>
      </w:tr>
      <w:tr>
        <w:trPr>
          <w:trHeight w:val="149"/>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bearing</w:t>
            </w:r>
          </w:p>
        </w:tc>
        <w:tc>
          <w:tcPr>
            <w:tcW w:w="1540" w:type="dxa"/>
            <w:vAlign w:val="bottom"/>
          </w:tcPr>
          <w:p>
            <w:pPr>
              <w:jc w:val="right"/>
              <w:ind w:right="173"/>
              <w:spacing w:after="0"/>
              <w:rPr>
                <w:sz w:val="20"/>
                <w:szCs w:val="20"/>
                <w:color w:val="auto"/>
              </w:rPr>
            </w:pPr>
            <w:r>
              <w:rPr>
                <w:rFonts w:ascii="Arial" w:cs="Arial" w:eastAsia="Arial" w:hAnsi="Arial"/>
                <w:sz w:val="13"/>
                <w:szCs w:val="13"/>
                <w:color w:val="auto"/>
              </w:rPr>
              <w:t>29,965,362</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27,042,976</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24,573,419</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-9.1%</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-18.0%</w:t>
            </w:r>
          </w:p>
        </w:tc>
      </w:tr>
      <w:tr>
        <w:trPr>
          <w:trHeight w:val="185"/>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Total cash and due from banks</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34,331,860</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31,923,426</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29,643,486</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-7.1%</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-13.7%</w:t>
            </w:r>
          </w:p>
        </w:tc>
      </w:tr>
      <w:tr>
        <w:trPr>
          <w:trHeight w:val="302"/>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Cash collateral, reverse repurchase agreements and securities borrowing</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344,460</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308,959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244,017</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-21.0%</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-29.2%</w:t>
            </w:r>
          </w:p>
        </w:tc>
      </w:tr>
      <w:tr>
        <w:trPr>
          <w:trHeight w:val="268"/>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Fair value through profit or loss investments</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1,261,896</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307,513</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1,011</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-99.7%</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-99.9%</w:t>
            </w:r>
          </w:p>
        </w:tc>
      </w:tr>
      <w:tr>
        <w:trPr>
          <w:trHeight w:val="151"/>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Fair value through other comprehensive income investments</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18,041,469</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16,799,789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14,098,087</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-16.1%</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-21.9%</w:t>
            </w:r>
          </w:p>
        </w:tc>
      </w:tr>
      <w:tr>
        <w:trPr>
          <w:trHeight w:val="185"/>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Amortized cost investments</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7,384,150</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7,206,315</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9,534,621</w:t>
            </w:r>
          </w:p>
        </w:tc>
        <w:tc>
          <w:tcPr>
            <w:tcW w:w="780" w:type="dxa"/>
            <w:vAlign w:val="bottom"/>
          </w:tcPr>
          <w:p>
            <w:pPr>
              <w:jc w:val="center"/>
              <w:ind w:left="253"/>
              <w:spacing w:after="0"/>
              <w:rPr>
                <w:sz w:val="20"/>
                <w:szCs w:val="20"/>
                <w:color w:val="auto"/>
              </w:rPr>
            </w:pPr>
            <w:r>
              <w:rPr>
                <w:rFonts w:ascii="Arial" w:cs="Arial" w:eastAsia="Arial" w:hAnsi="Arial"/>
                <w:sz w:val="13"/>
                <w:szCs w:val="13"/>
                <w:b w:val="1"/>
                <w:bCs w:val="1"/>
                <w:color w:val="auto"/>
              </w:rPr>
              <w:t>32.3%</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29.1%</w:t>
            </w:r>
          </w:p>
        </w:tc>
      </w:tr>
      <w:tr>
        <w:trPr>
          <w:trHeight w:val="270"/>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Loans</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122,752,170</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126,176,601</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123,707,601</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-2.0%</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0.8%</w:t>
            </w:r>
          </w:p>
        </w:tc>
      </w:tr>
      <w:tr>
        <w:trPr>
          <w:trHeight w:val="151"/>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Current</w:t>
            </w:r>
          </w:p>
        </w:tc>
        <w:tc>
          <w:tcPr>
            <w:tcW w:w="1540" w:type="dxa"/>
            <w:vAlign w:val="bottom"/>
          </w:tcPr>
          <w:p>
            <w:pPr>
              <w:jc w:val="right"/>
              <w:ind w:right="173"/>
              <w:spacing w:after="0"/>
              <w:rPr>
                <w:sz w:val="20"/>
                <w:szCs w:val="20"/>
                <w:color w:val="auto"/>
              </w:rPr>
            </w:pPr>
            <w:r>
              <w:rPr>
                <w:rFonts w:ascii="Arial" w:cs="Arial" w:eastAsia="Arial" w:hAnsi="Arial"/>
                <w:sz w:val="13"/>
                <w:szCs w:val="13"/>
                <w:color w:val="auto"/>
              </w:rPr>
              <w:t>118,242,794</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121,124,754</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118,841,510</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-1.9%</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0.5%</w:t>
            </w:r>
          </w:p>
        </w:tc>
      </w:tr>
      <w:tr>
        <w:trPr>
          <w:trHeight w:val="151"/>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Internal overdue loans</w:t>
            </w:r>
          </w:p>
        </w:tc>
        <w:tc>
          <w:tcPr>
            <w:tcW w:w="1540" w:type="dxa"/>
            <w:vAlign w:val="bottom"/>
          </w:tcPr>
          <w:p>
            <w:pPr>
              <w:jc w:val="right"/>
              <w:ind w:right="173"/>
              <w:spacing w:after="0"/>
              <w:rPr>
                <w:sz w:val="20"/>
                <w:szCs w:val="20"/>
                <w:color w:val="auto"/>
              </w:rPr>
            </w:pPr>
            <w:r>
              <w:rPr>
                <w:rFonts w:ascii="Arial" w:cs="Arial" w:eastAsia="Arial" w:hAnsi="Arial"/>
                <w:sz w:val="13"/>
                <w:szCs w:val="13"/>
                <w:color w:val="auto"/>
              </w:rPr>
              <w:t>4,509,376</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5,051,847</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4,866,091</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-3.7%</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7.9%</w:t>
            </w:r>
          </w:p>
        </w:tc>
      </w:tr>
      <w:tr>
        <w:trPr>
          <w:trHeight w:val="149"/>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Less - allowance for loan losses</w:t>
            </w:r>
          </w:p>
        </w:tc>
        <w:tc>
          <w:tcPr>
            <w:tcW w:w="1540" w:type="dxa"/>
            <w:vAlign w:val="bottom"/>
          </w:tcPr>
          <w:p>
            <w:pPr>
              <w:jc w:val="right"/>
              <w:ind w:right="133"/>
              <w:spacing w:after="0"/>
              <w:rPr>
                <w:sz w:val="20"/>
                <w:szCs w:val="20"/>
                <w:color w:val="auto"/>
              </w:rPr>
            </w:pPr>
            <w:r>
              <w:rPr>
                <w:rFonts w:ascii="Arial" w:cs="Arial" w:eastAsia="Arial" w:hAnsi="Arial"/>
                <w:sz w:val="13"/>
                <w:szCs w:val="13"/>
                <w:color w:val="auto"/>
              </w:rPr>
              <w:t>(6,786,094)</w:t>
            </w:r>
          </w:p>
        </w:tc>
        <w:tc>
          <w:tcPr>
            <w:tcW w:w="1340" w:type="dxa"/>
            <w:vAlign w:val="bottom"/>
          </w:tcPr>
          <w:p>
            <w:pPr>
              <w:jc w:val="right"/>
              <w:ind w:right="133"/>
              <w:spacing w:after="0"/>
              <w:rPr>
                <w:sz w:val="20"/>
                <w:szCs w:val="20"/>
                <w:color w:val="auto"/>
              </w:rPr>
            </w:pPr>
            <w:r>
              <w:rPr>
                <w:rFonts w:ascii="Arial" w:cs="Arial" w:eastAsia="Arial" w:hAnsi="Arial"/>
                <w:sz w:val="13"/>
                <w:szCs w:val="13"/>
                <w:color w:val="auto"/>
              </w:rPr>
              <w:t>(6,450,828)</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(6,402,939)</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-0.7%</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-5.6%</w:t>
            </w:r>
          </w:p>
        </w:tc>
      </w:tr>
      <w:tr>
        <w:trPr>
          <w:trHeight w:val="185"/>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Loans, net</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115,966,076</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119,725,773</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117,304,662</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-2.0%</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1.2%</w:t>
            </w:r>
          </w:p>
        </w:tc>
      </w:tr>
      <w:tr>
        <w:trPr>
          <w:trHeight w:val="268"/>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Property, furniture and equipment, net </w:t>
            </w:r>
            <w:r>
              <w:rPr>
                <w:rFonts w:ascii="Arial" w:cs="Arial" w:eastAsia="Arial" w:hAnsi="Arial"/>
                <w:sz w:val="22"/>
                <w:szCs w:val="22"/>
                <w:b w:val="1"/>
                <w:bCs w:val="1"/>
                <w:color w:val="auto"/>
                <w:vertAlign w:val="superscript"/>
              </w:rPr>
              <w:t>(1)</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1,332,705</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1,241,975</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1,281,645</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3.2%</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b w:val="1"/>
                <w:bCs w:val="1"/>
                <w:color w:val="auto"/>
              </w:rPr>
              <w:t>-3.8%</w:t>
            </w:r>
          </w:p>
        </w:tc>
      </w:tr>
      <w:tr>
        <w:trPr>
          <w:trHeight w:val="151"/>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Due from customers on acceptances</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532,404</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697,119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699,678</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0.4%</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31.4%</w:t>
            </w:r>
          </w:p>
        </w:tc>
      </w:tr>
      <w:tr>
        <w:trPr>
          <w:trHeight w:val="137"/>
        </w:trPr>
        <w:tc>
          <w:tcPr>
            <w:tcW w:w="496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Investments in associates</w:t>
            </w:r>
          </w:p>
        </w:tc>
        <w:tc>
          <w:tcPr>
            <w:tcW w:w="1540" w:type="dxa"/>
            <w:vAlign w:val="bottom"/>
          </w:tcPr>
          <w:p>
            <w:pPr>
              <w:jc w:val="right"/>
              <w:ind w:right="173"/>
              <w:spacing w:after="0" w:line="138" w:lineRule="exact"/>
              <w:rPr>
                <w:sz w:val="20"/>
                <w:szCs w:val="20"/>
                <w:color w:val="auto"/>
              </w:rPr>
            </w:pPr>
            <w:r>
              <w:rPr>
                <w:rFonts w:ascii="Arial" w:cs="Arial" w:eastAsia="Arial" w:hAnsi="Arial"/>
                <w:sz w:val="13"/>
                <w:szCs w:val="13"/>
                <w:b w:val="1"/>
                <w:bCs w:val="1"/>
                <w:color w:val="auto"/>
              </w:rPr>
              <w:t>2,333,611</w:t>
            </w:r>
          </w:p>
        </w:tc>
        <w:tc>
          <w:tcPr>
            <w:tcW w:w="1340" w:type="dxa"/>
            <w:vAlign w:val="bottom"/>
          </w:tcPr>
          <w:p>
            <w:pPr>
              <w:jc w:val="right"/>
              <w:ind w:right="193"/>
              <w:spacing w:after="0" w:line="138" w:lineRule="exact"/>
              <w:rPr>
                <w:sz w:val="20"/>
                <w:szCs w:val="20"/>
                <w:color w:val="auto"/>
              </w:rPr>
            </w:pPr>
            <w:r>
              <w:rPr>
                <w:rFonts w:ascii="Arial" w:cs="Arial" w:eastAsia="Arial" w:hAnsi="Arial"/>
                <w:sz w:val="13"/>
                <w:szCs w:val="13"/>
                <w:b w:val="1"/>
                <w:bCs w:val="1"/>
                <w:color w:val="auto"/>
              </w:rPr>
              <w:t>2,683,038</w:t>
            </w:r>
          </w:p>
        </w:tc>
        <w:tc>
          <w:tcPr>
            <w:tcW w:w="1180" w:type="dxa"/>
            <w:vAlign w:val="bottom"/>
            <w:tcBorders>
              <w:right w:val="single" w:sz="8" w:color="auto"/>
            </w:tcBorders>
          </w:tcPr>
          <w:p>
            <w:pPr>
              <w:jc w:val="right"/>
              <w:ind w:right="33"/>
              <w:spacing w:after="0" w:line="138" w:lineRule="exact"/>
              <w:rPr>
                <w:sz w:val="20"/>
                <w:szCs w:val="20"/>
                <w:color w:val="auto"/>
              </w:rPr>
            </w:pPr>
            <w:r>
              <w:rPr>
                <w:rFonts w:ascii="Arial" w:cs="Arial" w:eastAsia="Arial" w:hAnsi="Arial"/>
                <w:sz w:val="13"/>
                <w:szCs w:val="13"/>
                <w:b w:val="1"/>
                <w:bCs w:val="1"/>
                <w:color w:val="auto"/>
              </w:rPr>
              <w:t>2,730,184</w:t>
            </w:r>
          </w:p>
        </w:tc>
        <w:tc>
          <w:tcPr>
            <w:tcW w:w="780" w:type="dxa"/>
            <w:vAlign w:val="bottom"/>
          </w:tcPr>
          <w:p>
            <w:pPr>
              <w:jc w:val="center"/>
              <w:ind w:left="233"/>
              <w:spacing w:after="0" w:line="138" w:lineRule="exact"/>
              <w:rPr>
                <w:sz w:val="20"/>
                <w:szCs w:val="20"/>
                <w:color w:val="auto"/>
              </w:rPr>
            </w:pPr>
            <w:r>
              <w:rPr>
                <w:rFonts w:ascii="Arial" w:cs="Arial" w:eastAsia="Arial" w:hAnsi="Arial"/>
                <w:sz w:val="13"/>
                <w:szCs w:val="13"/>
                <w:b w:val="1"/>
                <w:bCs w:val="1"/>
                <w:color w:val="auto"/>
              </w:rPr>
              <w:t>1.8%</w:t>
            </w:r>
          </w:p>
        </w:tc>
        <w:tc>
          <w:tcPr>
            <w:tcW w:w="1460" w:type="dxa"/>
            <w:vAlign w:val="bottom"/>
            <w:tcBorders>
              <w:right w:val="single" w:sz="8" w:color="auto"/>
            </w:tcBorders>
          </w:tcPr>
          <w:p>
            <w:pPr>
              <w:jc w:val="center"/>
              <w:ind w:left="213"/>
              <w:spacing w:after="0" w:line="138" w:lineRule="exact"/>
              <w:rPr>
                <w:sz w:val="20"/>
                <w:szCs w:val="20"/>
                <w:color w:val="auto"/>
              </w:rPr>
            </w:pPr>
            <w:r>
              <w:rPr>
                <w:rFonts w:ascii="Arial" w:cs="Arial" w:eastAsia="Arial" w:hAnsi="Arial"/>
                <w:sz w:val="13"/>
                <w:szCs w:val="13"/>
                <w:b w:val="1"/>
                <w:bCs w:val="1"/>
                <w:color w:val="auto"/>
              </w:rPr>
              <w:t>17.0%</w:t>
            </w:r>
          </w:p>
        </w:tc>
      </w:tr>
      <w:tr>
        <w:trPr>
          <w:trHeight w:val="299"/>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 xml:space="preserve">Other assets </w:t>
            </w:r>
            <w:r>
              <w:rPr>
                <w:rFonts w:ascii="Arial" w:cs="Arial" w:eastAsia="Arial" w:hAnsi="Arial"/>
                <w:sz w:val="22"/>
                <w:szCs w:val="22"/>
                <w:color w:val="auto"/>
                <w:vertAlign w:val="superscript"/>
              </w:rPr>
              <w:t>(2)</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5,492,025</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6,044,500</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5,071,892</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-16.1%</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b w:val="1"/>
                <w:bCs w:val="1"/>
                <w:color w:val="auto"/>
              </w:rPr>
              <w:t>-7.6%</w:t>
            </w:r>
          </w:p>
        </w:tc>
      </w:tr>
      <w:tr>
        <w:trPr>
          <w:trHeight w:val="202"/>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Assets</w:t>
            </w:r>
          </w:p>
        </w:tc>
        <w:tc>
          <w:tcPr>
            <w:tcW w:w="1540" w:type="dxa"/>
            <w:vAlign w:val="bottom"/>
          </w:tcPr>
          <w:p>
            <w:pPr>
              <w:jc w:val="right"/>
              <w:ind w:right="173"/>
              <w:spacing w:after="0"/>
              <w:rPr>
                <w:sz w:val="20"/>
                <w:szCs w:val="20"/>
                <w:color w:val="auto"/>
              </w:rPr>
            </w:pPr>
            <w:r>
              <w:rPr>
                <w:rFonts w:ascii="Arial" w:cs="Arial" w:eastAsia="Arial" w:hAnsi="Arial"/>
                <w:sz w:val="13"/>
                <w:szCs w:val="13"/>
                <w:b w:val="1"/>
                <w:bCs w:val="1"/>
                <w:color w:val="auto"/>
              </w:rPr>
              <w:t>187,020,656</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186,938,407</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180,609,283</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-3.4%</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b w:val="1"/>
                <w:bCs w:val="1"/>
                <w:color w:val="auto"/>
              </w:rPr>
              <w:t>-3.4%</w:t>
            </w:r>
          </w:p>
        </w:tc>
      </w:tr>
      <w:tr>
        <w:trPr>
          <w:trHeight w:val="268"/>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Liabilities and Equity</w:t>
            </w:r>
          </w:p>
        </w:tc>
        <w:tc>
          <w:tcPr>
            <w:tcW w:w="15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1460" w:type="dxa"/>
            <w:vAlign w:val="bottom"/>
            <w:tcBorders>
              <w:right w:val="single" w:sz="8" w:color="auto"/>
            </w:tcBorders>
          </w:tcPr>
          <w:p>
            <w:pPr>
              <w:spacing w:after="0"/>
              <w:rPr>
                <w:sz w:val="23"/>
                <w:szCs w:val="23"/>
                <w:color w:val="auto"/>
              </w:rPr>
            </w:pPr>
          </w:p>
        </w:tc>
      </w:tr>
      <w:tr>
        <w:trPr>
          <w:trHeight w:val="153"/>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Deposits and obligations</w:t>
            </w:r>
          </w:p>
        </w:tc>
        <w:tc>
          <w:tcPr>
            <w:tcW w:w="1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r>
      <w:tr>
        <w:trPr>
          <w:trHeight w:val="151"/>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Non-interest bearing</w:t>
            </w:r>
          </w:p>
        </w:tc>
        <w:tc>
          <w:tcPr>
            <w:tcW w:w="1540" w:type="dxa"/>
            <w:vAlign w:val="bottom"/>
          </w:tcPr>
          <w:p>
            <w:pPr>
              <w:jc w:val="right"/>
              <w:ind w:right="213"/>
              <w:spacing w:after="0"/>
              <w:rPr>
                <w:sz w:val="20"/>
                <w:szCs w:val="20"/>
                <w:color w:val="auto"/>
              </w:rPr>
            </w:pPr>
            <w:r>
              <w:rPr>
                <w:rFonts w:ascii="Arial" w:cs="Arial" w:eastAsia="Arial" w:hAnsi="Arial"/>
                <w:sz w:val="13"/>
                <w:szCs w:val="13"/>
                <w:color w:val="auto"/>
              </w:rPr>
              <w:t>44,590,124</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42,188,122</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39,395,493</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-6.6%</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-11.6%</w:t>
            </w:r>
          </w:p>
        </w:tc>
      </w:tr>
      <w:tr>
        <w:trPr>
          <w:trHeight w:val="149"/>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bearing</w:t>
            </w:r>
          </w:p>
        </w:tc>
        <w:tc>
          <w:tcPr>
            <w:tcW w:w="1540" w:type="dxa"/>
            <w:vAlign w:val="bottom"/>
          </w:tcPr>
          <w:p>
            <w:pPr>
              <w:jc w:val="right"/>
              <w:ind w:right="213"/>
              <w:spacing w:after="0"/>
              <w:rPr>
                <w:sz w:val="20"/>
                <w:szCs w:val="20"/>
                <w:color w:val="auto"/>
              </w:rPr>
            </w:pPr>
            <w:r>
              <w:rPr>
                <w:rFonts w:ascii="Arial" w:cs="Arial" w:eastAsia="Arial" w:hAnsi="Arial"/>
                <w:sz w:val="13"/>
                <w:szCs w:val="13"/>
                <w:color w:val="auto"/>
              </w:rPr>
              <w:t>79,200,967</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82,294,328</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81,232,946</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-1.3%</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2.6%</w:t>
            </w:r>
          </w:p>
        </w:tc>
      </w:tr>
      <w:tr>
        <w:trPr>
          <w:trHeight w:val="185"/>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Total deposits and obligations</w:t>
            </w:r>
          </w:p>
        </w:tc>
        <w:tc>
          <w:tcPr>
            <w:tcW w:w="1540" w:type="dxa"/>
            <w:vAlign w:val="bottom"/>
          </w:tcPr>
          <w:p>
            <w:pPr>
              <w:jc w:val="right"/>
              <w:ind w:right="213"/>
              <w:spacing w:after="0"/>
              <w:rPr>
                <w:sz w:val="20"/>
                <w:szCs w:val="20"/>
                <w:color w:val="auto"/>
              </w:rPr>
            </w:pPr>
            <w:r>
              <w:rPr>
                <w:rFonts w:ascii="Arial" w:cs="Arial" w:eastAsia="Arial" w:hAnsi="Arial"/>
                <w:sz w:val="13"/>
                <w:szCs w:val="13"/>
                <w:b w:val="1"/>
                <w:bCs w:val="1"/>
                <w:color w:val="auto"/>
              </w:rPr>
              <w:t>123,791,091</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124,482,450</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120,628,439</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-3.1%</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b w:val="1"/>
                <w:bCs w:val="1"/>
                <w:color w:val="auto"/>
              </w:rPr>
              <w:t>-2.6%</w:t>
            </w:r>
          </w:p>
        </w:tc>
      </w:tr>
      <w:tr>
        <w:trPr>
          <w:trHeight w:val="270"/>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Payables from repurchase agreements and securities lending</w:t>
            </w:r>
          </w:p>
        </w:tc>
        <w:tc>
          <w:tcPr>
            <w:tcW w:w="1540" w:type="dxa"/>
            <w:vAlign w:val="bottom"/>
          </w:tcPr>
          <w:p>
            <w:pPr>
              <w:jc w:val="right"/>
              <w:ind w:right="213"/>
              <w:spacing w:after="0"/>
              <w:rPr>
                <w:sz w:val="20"/>
                <w:szCs w:val="20"/>
                <w:color w:val="auto"/>
              </w:rPr>
            </w:pPr>
            <w:r>
              <w:rPr>
                <w:rFonts w:ascii="Arial" w:cs="Arial" w:eastAsia="Arial" w:hAnsi="Arial"/>
                <w:sz w:val="13"/>
                <w:szCs w:val="13"/>
                <w:b w:val="1"/>
                <w:bCs w:val="1"/>
                <w:color w:val="auto"/>
              </w:rPr>
              <w:t>18,042,526</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13,608,037</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10,879,734</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-20.0%</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-39.7%</w:t>
            </w:r>
          </w:p>
        </w:tc>
      </w:tr>
      <w:tr>
        <w:trPr>
          <w:trHeight w:val="151"/>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BCRP instruments</w:t>
            </w:r>
          </w:p>
        </w:tc>
        <w:tc>
          <w:tcPr>
            <w:tcW w:w="1540" w:type="dxa"/>
            <w:vAlign w:val="bottom"/>
          </w:tcPr>
          <w:p>
            <w:pPr>
              <w:jc w:val="right"/>
              <w:ind w:right="213"/>
              <w:spacing w:after="0"/>
              <w:rPr>
                <w:sz w:val="20"/>
                <w:szCs w:val="20"/>
                <w:color w:val="auto"/>
              </w:rPr>
            </w:pPr>
            <w:r>
              <w:rPr>
                <w:rFonts w:ascii="Arial" w:cs="Arial" w:eastAsia="Arial" w:hAnsi="Arial"/>
                <w:sz w:val="13"/>
                <w:szCs w:val="13"/>
                <w:color w:val="auto"/>
              </w:rPr>
              <w:t>17,484,261</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13,056,240</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10,333,799</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-20.9%</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-40.9%</w:t>
            </w:r>
          </w:p>
        </w:tc>
      </w:tr>
      <w:tr>
        <w:trPr>
          <w:trHeight w:val="149"/>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Repurchase agreements with third parties</w:t>
            </w:r>
          </w:p>
        </w:tc>
        <w:tc>
          <w:tcPr>
            <w:tcW w:w="1540" w:type="dxa"/>
            <w:vAlign w:val="bottom"/>
          </w:tcPr>
          <w:p>
            <w:pPr>
              <w:jc w:val="right"/>
              <w:ind w:right="213"/>
              <w:spacing w:after="0"/>
              <w:rPr>
                <w:sz w:val="20"/>
                <w:szCs w:val="20"/>
                <w:color w:val="auto"/>
              </w:rPr>
            </w:pPr>
            <w:r>
              <w:rPr>
                <w:rFonts w:ascii="Arial" w:cs="Arial" w:eastAsia="Arial" w:hAnsi="Arial"/>
                <w:sz w:val="13"/>
                <w:szCs w:val="13"/>
                <w:color w:val="auto"/>
              </w:rPr>
              <w:t>558,265</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551,797</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545,935</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-1.1%</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-2.2%</w:t>
            </w:r>
          </w:p>
        </w:tc>
      </w:tr>
      <w:tr>
        <w:trPr>
          <w:trHeight w:val="151"/>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Due to banks and correspondents</w:t>
            </w:r>
          </w:p>
        </w:tc>
        <w:tc>
          <w:tcPr>
            <w:tcW w:w="1540" w:type="dxa"/>
            <w:vAlign w:val="bottom"/>
          </w:tcPr>
          <w:p>
            <w:pPr>
              <w:jc w:val="right"/>
              <w:ind w:right="213"/>
              <w:spacing w:after="0"/>
              <w:rPr>
                <w:sz w:val="20"/>
                <w:szCs w:val="20"/>
                <w:color w:val="auto"/>
              </w:rPr>
            </w:pPr>
            <w:r>
              <w:rPr>
                <w:rFonts w:ascii="Arial" w:cs="Arial" w:eastAsia="Arial" w:hAnsi="Arial"/>
                <w:sz w:val="13"/>
                <w:szCs w:val="13"/>
                <w:b w:val="1"/>
                <w:bCs w:val="1"/>
                <w:color w:val="auto"/>
              </w:rPr>
              <w:t>5,842,071</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7,270,985</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7,251,352</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-0.3%</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24.1%</w:t>
            </w:r>
          </w:p>
        </w:tc>
      </w:tr>
      <w:tr>
        <w:trPr>
          <w:trHeight w:val="151"/>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Bonds and notes issued</w:t>
            </w:r>
          </w:p>
        </w:tc>
        <w:tc>
          <w:tcPr>
            <w:tcW w:w="1540" w:type="dxa"/>
            <w:vAlign w:val="bottom"/>
          </w:tcPr>
          <w:p>
            <w:pPr>
              <w:jc w:val="right"/>
              <w:ind w:right="213"/>
              <w:spacing w:after="0"/>
              <w:rPr>
                <w:sz w:val="20"/>
                <w:szCs w:val="20"/>
                <w:color w:val="auto"/>
              </w:rPr>
            </w:pPr>
            <w:r>
              <w:rPr>
                <w:rFonts w:ascii="Arial" w:cs="Arial" w:eastAsia="Arial" w:hAnsi="Arial"/>
                <w:sz w:val="13"/>
                <w:szCs w:val="13"/>
                <w:b w:val="1"/>
                <w:bCs w:val="1"/>
                <w:color w:val="auto"/>
              </w:rPr>
              <w:t>14,294,675</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14,066,770</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13,287,386</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-5.5%</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b w:val="1"/>
                <w:bCs w:val="1"/>
                <w:color w:val="auto"/>
              </w:rPr>
              <w:t>-7.0%</w:t>
            </w:r>
          </w:p>
        </w:tc>
      </w:tr>
      <w:tr>
        <w:trPr>
          <w:trHeight w:val="151"/>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Banker’s acceptances outstanding</w:t>
            </w:r>
          </w:p>
        </w:tc>
        <w:tc>
          <w:tcPr>
            <w:tcW w:w="1540" w:type="dxa"/>
            <w:vAlign w:val="bottom"/>
          </w:tcPr>
          <w:p>
            <w:pPr>
              <w:jc w:val="right"/>
              <w:ind w:right="213"/>
              <w:spacing w:after="0"/>
              <w:rPr>
                <w:sz w:val="20"/>
                <w:szCs w:val="20"/>
                <w:color w:val="auto"/>
              </w:rPr>
            </w:pPr>
            <w:r>
              <w:rPr>
                <w:rFonts w:ascii="Arial" w:cs="Arial" w:eastAsia="Arial" w:hAnsi="Arial"/>
                <w:sz w:val="13"/>
                <w:szCs w:val="13"/>
                <w:b w:val="1"/>
                <w:bCs w:val="1"/>
                <w:color w:val="auto"/>
              </w:rPr>
              <w:t>532,404</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697,119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699,678</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0.4%</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31.4%</w:t>
            </w:r>
          </w:p>
        </w:tc>
      </w:tr>
      <w:tr>
        <w:trPr>
          <w:trHeight w:val="137"/>
        </w:trPr>
        <w:tc>
          <w:tcPr>
            <w:tcW w:w="496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Financial liabilities at fair value through profit or loss</w:t>
            </w:r>
          </w:p>
        </w:tc>
        <w:tc>
          <w:tcPr>
            <w:tcW w:w="1540" w:type="dxa"/>
            <w:vAlign w:val="bottom"/>
          </w:tcPr>
          <w:p>
            <w:pPr>
              <w:jc w:val="right"/>
              <w:ind w:right="213"/>
              <w:spacing w:after="0" w:line="138" w:lineRule="exact"/>
              <w:rPr>
                <w:sz w:val="20"/>
                <w:szCs w:val="20"/>
                <w:color w:val="auto"/>
              </w:rPr>
            </w:pPr>
            <w:r>
              <w:rPr>
                <w:rFonts w:ascii="Arial" w:cs="Arial" w:eastAsia="Arial" w:hAnsi="Arial"/>
                <w:sz w:val="13"/>
                <w:szCs w:val="13"/>
                <w:b w:val="1"/>
                <w:bCs w:val="1"/>
                <w:color w:val="auto"/>
              </w:rPr>
              <w:t>-</w:t>
            </w:r>
          </w:p>
        </w:tc>
        <w:tc>
          <w:tcPr>
            <w:tcW w:w="1340" w:type="dxa"/>
            <w:vAlign w:val="bottom"/>
          </w:tcPr>
          <w:p>
            <w:pPr>
              <w:jc w:val="right"/>
              <w:ind w:right="193"/>
              <w:spacing w:after="0" w:line="138" w:lineRule="exact"/>
              <w:rPr>
                <w:sz w:val="20"/>
                <w:szCs w:val="20"/>
                <w:color w:val="auto"/>
              </w:rPr>
            </w:pPr>
            <w:r>
              <w:rPr>
                <w:rFonts w:ascii="Arial" w:cs="Arial" w:eastAsia="Arial" w:hAnsi="Arial"/>
                <w:sz w:val="13"/>
                <w:szCs w:val="13"/>
                <w:b w:val="1"/>
                <w:bCs w:val="1"/>
                <w:color w:val="auto"/>
              </w:rPr>
              <w:t>140,146</w:t>
            </w:r>
          </w:p>
        </w:tc>
        <w:tc>
          <w:tcPr>
            <w:tcW w:w="1180" w:type="dxa"/>
            <w:vAlign w:val="bottom"/>
            <w:tcBorders>
              <w:right w:val="single" w:sz="8" w:color="auto"/>
            </w:tcBorders>
          </w:tcPr>
          <w:p>
            <w:pPr>
              <w:jc w:val="right"/>
              <w:ind w:right="33"/>
              <w:spacing w:after="0" w:line="138" w:lineRule="exact"/>
              <w:rPr>
                <w:sz w:val="20"/>
                <w:szCs w:val="20"/>
                <w:color w:val="auto"/>
              </w:rPr>
            </w:pPr>
            <w:r>
              <w:rPr>
                <w:rFonts w:ascii="Arial" w:cs="Arial" w:eastAsia="Arial" w:hAnsi="Arial"/>
                <w:sz w:val="13"/>
                <w:szCs w:val="13"/>
                <w:b w:val="1"/>
                <w:bCs w:val="1"/>
                <w:color w:val="auto"/>
              </w:rPr>
              <w:t>7,669</w:t>
            </w:r>
          </w:p>
        </w:tc>
        <w:tc>
          <w:tcPr>
            <w:tcW w:w="780" w:type="dxa"/>
            <w:vAlign w:val="bottom"/>
          </w:tcPr>
          <w:p>
            <w:pPr>
              <w:jc w:val="center"/>
              <w:ind w:left="233"/>
              <w:spacing w:after="0" w:line="138" w:lineRule="exact"/>
              <w:rPr>
                <w:sz w:val="20"/>
                <w:szCs w:val="20"/>
                <w:color w:val="auto"/>
              </w:rPr>
            </w:pPr>
            <w:r>
              <w:rPr>
                <w:rFonts w:ascii="Arial" w:cs="Arial" w:eastAsia="Arial" w:hAnsi="Arial"/>
                <w:sz w:val="13"/>
                <w:szCs w:val="13"/>
                <w:b w:val="1"/>
                <w:bCs w:val="1"/>
                <w:color w:val="auto"/>
              </w:rPr>
              <w:t>-94.5%</w:t>
            </w:r>
          </w:p>
        </w:tc>
        <w:tc>
          <w:tcPr>
            <w:tcW w:w="1460" w:type="dxa"/>
            <w:vAlign w:val="bottom"/>
            <w:tcBorders>
              <w:right w:val="single" w:sz="8" w:color="auto"/>
            </w:tcBorders>
          </w:tcPr>
          <w:p>
            <w:pPr>
              <w:ind w:left="760"/>
              <w:spacing w:after="0" w:line="138" w:lineRule="exact"/>
              <w:rPr>
                <w:sz w:val="20"/>
                <w:szCs w:val="20"/>
                <w:color w:val="auto"/>
              </w:rPr>
            </w:pPr>
            <w:r>
              <w:rPr>
                <w:rFonts w:ascii="Arial" w:cs="Arial" w:eastAsia="Arial" w:hAnsi="Arial"/>
                <w:sz w:val="13"/>
                <w:szCs w:val="13"/>
                <w:b w:val="1"/>
                <w:bCs w:val="1"/>
                <w:color w:val="auto"/>
              </w:rPr>
              <w:t>n.a.</w:t>
            </w:r>
          </w:p>
        </w:tc>
      </w:tr>
      <w:tr>
        <w:trPr>
          <w:trHeight w:val="164"/>
        </w:trPr>
        <w:tc>
          <w:tcPr>
            <w:tcW w:w="4960" w:type="dxa"/>
            <w:vAlign w:val="bottom"/>
            <w:tcBorders>
              <w:left w:val="single" w:sz="8" w:color="auto"/>
              <w:right w:val="single" w:sz="8" w:color="auto"/>
            </w:tcBorders>
          </w:tcPr>
          <w:p>
            <w:pPr>
              <w:ind w:left="20"/>
              <w:spacing w:after="0" w:line="164" w:lineRule="exact"/>
              <w:rPr>
                <w:sz w:val="20"/>
                <w:szCs w:val="20"/>
                <w:color w:val="auto"/>
              </w:rPr>
            </w:pPr>
            <w:r>
              <w:rPr>
                <w:rFonts w:ascii="Arial" w:cs="Arial" w:eastAsia="Arial" w:hAnsi="Arial"/>
                <w:sz w:val="12"/>
                <w:szCs w:val="12"/>
                <w:b w:val="1"/>
                <w:bCs w:val="1"/>
                <w:color w:val="auto"/>
              </w:rPr>
              <w:t xml:space="preserve">Other liabilities </w:t>
            </w:r>
            <w:r>
              <w:rPr>
                <w:rFonts w:ascii="Arial" w:cs="Arial" w:eastAsia="Arial" w:hAnsi="Arial"/>
                <w:sz w:val="19"/>
                <w:szCs w:val="19"/>
                <w:color w:val="auto"/>
                <w:vertAlign w:val="superscript"/>
              </w:rPr>
              <w:t>(3)</w:t>
            </w:r>
          </w:p>
        </w:tc>
        <w:tc>
          <w:tcPr>
            <w:tcW w:w="1540" w:type="dxa"/>
            <w:vAlign w:val="bottom"/>
          </w:tcPr>
          <w:p>
            <w:pPr>
              <w:jc w:val="right"/>
              <w:ind w:right="213"/>
              <w:spacing w:after="0"/>
              <w:rPr>
                <w:sz w:val="20"/>
                <w:szCs w:val="20"/>
                <w:color w:val="auto"/>
              </w:rPr>
            </w:pPr>
            <w:r>
              <w:rPr>
                <w:rFonts w:ascii="Arial" w:cs="Arial" w:eastAsia="Arial" w:hAnsi="Arial"/>
                <w:sz w:val="13"/>
                <w:szCs w:val="13"/>
                <w:b w:val="1"/>
                <w:bCs w:val="1"/>
                <w:color w:val="auto"/>
              </w:rPr>
              <w:t>3,884,639</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4,579,331</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4,731,200</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3.3%</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21.8%</w:t>
            </w:r>
          </w:p>
        </w:tc>
      </w:tr>
      <w:tr>
        <w:trPr>
          <w:trHeight w:val="185"/>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Liabilities</w:t>
            </w:r>
          </w:p>
        </w:tc>
        <w:tc>
          <w:tcPr>
            <w:tcW w:w="1540" w:type="dxa"/>
            <w:vAlign w:val="bottom"/>
          </w:tcPr>
          <w:p>
            <w:pPr>
              <w:jc w:val="right"/>
              <w:ind w:right="213"/>
              <w:spacing w:after="0"/>
              <w:rPr>
                <w:sz w:val="20"/>
                <w:szCs w:val="20"/>
                <w:color w:val="auto"/>
              </w:rPr>
            </w:pPr>
            <w:r>
              <w:rPr>
                <w:rFonts w:ascii="Arial" w:cs="Arial" w:eastAsia="Arial" w:hAnsi="Arial"/>
                <w:sz w:val="13"/>
                <w:szCs w:val="13"/>
                <w:b w:val="1"/>
                <w:bCs w:val="1"/>
                <w:color w:val="auto"/>
              </w:rPr>
              <w:t>166,387,406</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164,844,838</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157,485,458</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-4.5%</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b w:val="1"/>
                <w:bCs w:val="1"/>
                <w:color w:val="auto"/>
              </w:rPr>
              <w:t>-5.4%</w:t>
            </w:r>
          </w:p>
        </w:tc>
      </w:tr>
      <w:tr>
        <w:trPr>
          <w:trHeight w:val="270"/>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equity</w:t>
            </w:r>
          </w:p>
        </w:tc>
        <w:tc>
          <w:tcPr>
            <w:tcW w:w="1540" w:type="dxa"/>
            <w:vAlign w:val="bottom"/>
          </w:tcPr>
          <w:p>
            <w:pPr>
              <w:jc w:val="right"/>
              <w:ind w:right="213"/>
              <w:spacing w:after="0"/>
              <w:rPr>
                <w:sz w:val="20"/>
                <w:szCs w:val="20"/>
                <w:color w:val="auto"/>
              </w:rPr>
            </w:pPr>
            <w:r>
              <w:rPr>
                <w:rFonts w:ascii="Arial" w:cs="Arial" w:eastAsia="Arial" w:hAnsi="Arial"/>
                <w:sz w:val="13"/>
                <w:szCs w:val="13"/>
                <w:b w:val="1"/>
                <w:bCs w:val="1"/>
                <w:color w:val="auto"/>
              </w:rPr>
              <w:t>20,633,250</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22,093,569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23,123,825</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4.7%</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12.1%</w:t>
            </w:r>
          </w:p>
        </w:tc>
      </w:tr>
      <w:tr>
        <w:trPr>
          <w:trHeight w:val="151"/>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Capital stock</w:t>
            </w:r>
          </w:p>
        </w:tc>
        <w:tc>
          <w:tcPr>
            <w:tcW w:w="1540" w:type="dxa"/>
            <w:vAlign w:val="bottom"/>
          </w:tcPr>
          <w:p>
            <w:pPr>
              <w:jc w:val="right"/>
              <w:ind w:right="213"/>
              <w:spacing w:after="0"/>
              <w:rPr>
                <w:sz w:val="20"/>
                <w:szCs w:val="20"/>
                <w:color w:val="auto"/>
              </w:rPr>
            </w:pPr>
            <w:r>
              <w:rPr>
                <w:rFonts w:ascii="Arial" w:cs="Arial" w:eastAsia="Arial" w:hAnsi="Arial"/>
                <w:sz w:val="13"/>
                <w:szCs w:val="13"/>
                <w:color w:val="auto"/>
              </w:rPr>
              <w:t>11,024,006</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11,882,984</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11,882,984</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0.0%</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7.8%</w:t>
            </w:r>
          </w:p>
        </w:tc>
      </w:tr>
      <w:tr>
        <w:trPr>
          <w:trHeight w:val="151"/>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Reserves</w:t>
            </w:r>
          </w:p>
        </w:tc>
        <w:tc>
          <w:tcPr>
            <w:tcW w:w="1540" w:type="dxa"/>
            <w:vAlign w:val="bottom"/>
          </w:tcPr>
          <w:p>
            <w:pPr>
              <w:jc w:val="right"/>
              <w:ind w:right="213"/>
              <w:spacing w:after="0"/>
              <w:rPr>
                <w:sz w:val="20"/>
                <w:szCs w:val="20"/>
                <w:color w:val="auto"/>
              </w:rPr>
            </w:pPr>
            <w:r>
              <w:rPr>
                <w:rFonts w:ascii="Arial" w:cs="Arial" w:eastAsia="Arial" w:hAnsi="Arial"/>
                <w:sz w:val="13"/>
                <w:szCs w:val="13"/>
                <w:color w:val="auto"/>
              </w:rPr>
              <w:t>6,488,969</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7,298,035</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6,540,665</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-10.4%</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0.8%</w:t>
            </w:r>
          </w:p>
        </w:tc>
      </w:tr>
      <w:tr>
        <w:trPr>
          <w:trHeight w:val="151"/>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Unrealized gains and losses</w:t>
            </w:r>
          </w:p>
        </w:tc>
        <w:tc>
          <w:tcPr>
            <w:tcW w:w="1540" w:type="dxa"/>
            <w:vAlign w:val="bottom"/>
          </w:tcPr>
          <w:p>
            <w:pPr>
              <w:jc w:val="right"/>
              <w:ind w:right="133"/>
              <w:spacing w:after="0"/>
              <w:rPr>
                <w:sz w:val="20"/>
                <w:szCs w:val="20"/>
                <w:color w:val="auto"/>
              </w:rPr>
            </w:pPr>
            <w:r>
              <w:rPr>
                <w:rFonts w:ascii="Arial" w:cs="Arial" w:eastAsia="Arial" w:hAnsi="Arial"/>
                <w:sz w:val="13"/>
                <w:szCs w:val="13"/>
                <w:color w:val="auto"/>
              </w:rPr>
              <w:t>(495,371)</w:t>
            </w:r>
          </w:p>
        </w:tc>
        <w:tc>
          <w:tcPr>
            <w:tcW w:w="1340" w:type="dxa"/>
            <w:vAlign w:val="bottom"/>
          </w:tcPr>
          <w:p>
            <w:pPr>
              <w:jc w:val="right"/>
              <w:ind w:right="133"/>
              <w:spacing w:after="0"/>
              <w:rPr>
                <w:sz w:val="20"/>
                <w:szCs w:val="20"/>
                <w:color w:val="auto"/>
              </w:rPr>
            </w:pPr>
            <w:r>
              <w:rPr>
                <w:rFonts w:ascii="Arial" w:cs="Arial" w:eastAsia="Arial" w:hAnsi="Arial"/>
                <w:sz w:val="13"/>
                <w:szCs w:val="13"/>
                <w:color w:val="auto"/>
              </w:rPr>
              <w:t>(1,274,918)</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(549,319)</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-56.9%</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10.9%</w:t>
            </w:r>
          </w:p>
        </w:tc>
      </w:tr>
      <w:tr>
        <w:trPr>
          <w:trHeight w:val="175"/>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Retained earnings</w:t>
            </w:r>
          </w:p>
        </w:tc>
        <w:tc>
          <w:tcPr>
            <w:tcW w:w="1540" w:type="dxa"/>
            <w:vAlign w:val="bottom"/>
          </w:tcPr>
          <w:p>
            <w:pPr>
              <w:jc w:val="right"/>
              <w:ind w:right="213"/>
              <w:spacing w:after="0"/>
              <w:rPr>
                <w:sz w:val="20"/>
                <w:szCs w:val="20"/>
                <w:color w:val="auto"/>
              </w:rPr>
            </w:pPr>
            <w:r>
              <w:rPr>
                <w:rFonts w:ascii="Arial" w:cs="Arial" w:eastAsia="Arial" w:hAnsi="Arial"/>
                <w:sz w:val="13"/>
                <w:szCs w:val="13"/>
                <w:color w:val="auto"/>
              </w:rPr>
              <w:t>3,615,646</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4,187,468</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5,249,495</w:t>
            </w:r>
          </w:p>
        </w:tc>
        <w:tc>
          <w:tcPr>
            <w:tcW w:w="780" w:type="dxa"/>
            <w:vAlign w:val="bottom"/>
          </w:tcPr>
          <w:p>
            <w:pPr>
              <w:jc w:val="center"/>
              <w:ind w:left="253"/>
              <w:spacing w:after="0"/>
              <w:rPr>
                <w:sz w:val="20"/>
                <w:szCs w:val="20"/>
                <w:color w:val="auto"/>
              </w:rPr>
            </w:pPr>
            <w:r>
              <w:rPr>
                <w:rFonts w:ascii="Arial" w:cs="Arial" w:eastAsia="Arial" w:hAnsi="Arial"/>
                <w:sz w:val="13"/>
                <w:szCs w:val="13"/>
                <w:color w:val="auto"/>
              </w:rPr>
              <w:t>25.4%</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45.2%</w:t>
            </w:r>
          </w:p>
        </w:tc>
      </w:tr>
      <w:tr>
        <w:trPr>
          <w:trHeight w:val="310"/>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Total Net Equity</w:t>
            </w:r>
          </w:p>
        </w:tc>
        <w:tc>
          <w:tcPr>
            <w:tcW w:w="1540" w:type="dxa"/>
            <w:vAlign w:val="bottom"/>
          </w:tcPr>
          <w:p>
            <w:pPr>
              <w:jc w:val="right"/>
              <w:ind w:right="213"/>
              <w:spacing w:after="0"/>
              <w:rPr>
                <w:sz w:val="20"/>
                <w:szCs w:val="20"/>
                <w:color w:val="auto"/>
              </w:rPr>
            </w:pPr>
            <w:r>
              <w:rPr>
                <w:rFonts w:ascii="Arial" w:cs="Arial" w:eastAsia="Arial" w:hAnsi="Arial"/>
                <w:sz w:val="13"/>
                <w:szCs w:val="13"/>
                <w:b w:val="1"/>
                <w:bCs w:val="1"/>
                <w:color w:val="auto"/>
              </w:rPr>
              <w:t>20,633,250</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22,093,569</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23,123,825</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4.7%</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12.1%</w:t>
            </w:r>
          </w:p>
        </w:tc>
      </w:tr>
      <w:tr>
        <w:trPr>
          <w:trHeight w:val="302"/>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540" w:type="dxa"/>
            <w:vAlign w:val="bottom"/>
          </w:tcPr>
          <w:p>
            <w:pPr>
              <w:jc w:val="right"/>
              <w:ind w:right="213"/>
              <w:spacing w:after="0"/>
              <w:rPr>
                <w:sz w:val="20"/>
                <w:szCs w:val="20"/>
                <w:color w:val="auto"/>
              </w:rPr>
            </w:pPr>
            <w:r>
              <w:rPr>
                <w:rFonts w:ascii="Arial" w:cs="Arial" w:eastAsia="Arial" w:hAnsi="Arial"/>
                <w:sz w:val="13"/>
                <w:szCs w:val="13"/>
                <w:b w:val="1"/>
                <w:bCs w:val="1"/>
                <w:color w:val="auto"/>
              </w:rPr>
              <w:t>187,020,656</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186,938,407</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180,609,283</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-3.4%</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b w:val="1"/>
                <w:bCs w:val="1"/>
                <w:color w:val="auto"/>
              </w:rPr>
              <w:t>-3.4%</w:t>
            </w:r>
          </w:p>
        </w:tc>
      </w:tr>
      <w:tr>
        <w:trPr>
          <w:trHeight w:val="270"/>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Off-balance sheet</w:t>
            </w:r>
          </w:p>
        </w:tc>
        <w:tc>
          <w:tcPr>
            <w:tcW w:w="1540" w:type="dxa"/>
            <w:vAlign w:val="bottom"/>
          </w:tcPr>
          <w:p>
            <w:pPr>
              <w:jc w:val="right"/>
              <w:ind w:right="213"/>
              <w:spacing w:after="0"/>
              <w:rPr>
                <w:sz w:val="20"/>
                <w:szCs w:val="20"/>
                <w:color w:val="auto"/>
              </w:rPr>
            </w:pPr>
            <w:r>
              <w:rPr>
                <w:rFonts w:ascii="Arial" w:cs="Arial" w:eastAsia="Arial" w:hAnsi="Arial"/>
                <w:sz w:val="13"/>
                <w:szCs w:val="13"/>
                <w:b w:val="1"/>
                <w:bCs w:val="1"/>
                <w:color w:val="auto"/>
              </w:rPr>
              <w:t>133,169,883</w:t>
            </w:r>
          </w:p>
        </w:tc>
        <w:tc>
          <w:tcPr>
            <w:tcW w:w="1340" w:type="dxa"/>
            <w:vAlign w:val="bottom"/>
          </w:tcPr>
          <w:p>
            <w:pPr>
              <w:jc w:val="right"/>
              <w:ind w:right="193"/>
              <w:spacing w:after="0"/>
              <w:rPr>
                <w:sz w:val="20"/>
                <w:szCs w:val="20"/>
                <w:color w:val="auto"/>
              </w:rPr>
            </w:pPr>
            <w:r>
              <w:rPr>
                <w:rFonts w:ascii="Arial" w:cs="Arial" w:eastAsia="Arial" w:hAnsi="Arial"/>
                <w:sz w:val="13"/>
                <w:szCs w:val="13"/>
                <w:b w:val="1"/>
                <w:bCs w:val="1"/>
                <w:color w:val="auto"/>
              </w:rPr>
              <w:t>135,853,514</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134,450,003</w:t>
            </w:r>
          </w:p>
        </w:tc>
        <w:tc>
          <w:tcPr>
            <w:tcW w:w="780" w:type="dxa"/>
            <w:vAlign w:val="bottom"/>
          </w:tcPr>
          <w:p>
            <w:pPr>
              <w:jc w:val="center"/>
              <w:ind w:left="233"/>
              <w:spacing w:after="0"/>
              <w:rPr>
                <w:sz w:val="20"/>
                <w:szCs w:val="20"/>
                <w:color w:val="auto"/>
              </w:rPr>
            </w:pPr>
            <w:r>
              <w:rPr>
                <w:rFonts w:ascii="Arial" w:cs="Arial" w:eastAsia="Arial" w:hAnsi="Arial"/>
                <w:sz w:val="13"/>
                <w:szCs w:val="13"/>
                <w:b w:val="1"/>
                <w:bCs w:val="1"/>
                <w:color w:val="auto"/>
              </w:rPr>
              <w:t>-1.0%</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b w:val="1"/>
                <w:bCs w:val="1"/>
                <w:color w:val="auto"/>
              </w:rPr>
              <w:t>1.0%</w:t>
            </w:r>
          </w:p>
        </w:tc>
      </w:tr>
      <w:tr>
        <w:trPr>
          <w:trHeight w:val="151"/>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Total performance bonds, stand-by and L/Cs.</w:t>
            </w:r>
          </w:p>
        </w:tc>
        <w:tc>
          <w:tcPr>
            <w:tcW w:w="1540" w:type="dxa"/>
            <w:vAlign w:val="bottom"/>
          </w:tcPr>
          <w:p>
            <w:pPr>
              <w:jc w:val="right"/>
              <w:ind w:right="213"/>
              <w:spacing w:after="0"/>
              <w:rPr>
                <w:sz w:val="20"/>
                <w:szCs w:val="20"/>
                <w:color w:val="auto"/>
              </w:rPr>
            </w:pPr>
            <w:r>
              <w:rPr>
                <w:rFonts w:ascii="Arial" w:cs="Arial" w:eastAsia="Arial" w:hAnsi="Arial"/>
                <w:sz w:val="13"/>
                <w:szCs w:val="13"/>
                <w:color w:val="auto"/>
              </w:rPr>
              <w:t>21,203,561</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20,443,858</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19,738,086</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-3.5%</w:t>
            </w:r>
          </w:p>
        </w:tc>
        <w:tc>
          <w:tcPr>
            <w:tcW w:w="1460" w:type="dxa"/>
            <w:vAlign w:val="bottom"/>
            <w:tcBorders>
              <w:right w:val="single" w:sz="8" w:color="auto"/>
            </w:tcBorders>
          </w:tcPr>
          <w:p>
            <w:pPr>
              <w:jc w:val="center"/>
              <w:ind w:left="233"/>
              <w:spacing w:after="0"/>
              <w:rPr>
                <w:sz w:val="20"/>
                <w:szCs w:val="20"/>
                <w:color w:val="auto"/>
              </w:rPr>
            </w:pPr>
            <w:r>
              <w:rPr>
                <w:rFonts w:ascii="Arial" w:cs="Arial" w:eastAsia="Arial" w:hAnsi="Arial"/>
                <w:sz w:val="13"/>
                <w:szCs w:val="13"/>
                <w:color w:val="auto"/>
              </w:rPr>
              <w:t>-6.9%</w:t>
            </w:r>
          </w:p>
        </w:tc>
      </w:tr>
      <w:tr>
        <w:trPr>
          <w:trHeight w:val="151"/>
        </w:trPr>
        <w:tc>
          <w:tcPr>
            <w:tcW w:w="4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Undrawn credit lines, advised but not committed</w:t>
            </w:r>
          </w:p>
        </w:tc>
        <w:tc>
          <w:tcPr>
            <w:tcW w:w="1540" w:type="dxa"/>
            <w:vAlign w:val="bottom"/>
          </w:tcPr>
          <w:p>
            <w:pPr>
              <w:jc w:val="right"/>
              <w:ind w:right="213"/>
              <w:spacing w:after="0"/>
              <w:rPr>
                <w:sz w:val="20"/>
                <w:szCs w:val="20"/>
                <w:color w:val="auto"/>
              </w:rPr>
            </w:pPr>
            <w:r>
              <w:rPr>
                <w:rFonts w:ascii="Arial" w:cs="Arial" w:eastAsia="Arial" w:hAnsi="Arial"/>
                <w:sz w:val="13"/>
                <w:szCs w:val="13"/>
                <w:color w:val="auto"/>
              </w:rPr>
              <w:t>73,424,937</w:t>
            </w: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73,712,295</w:t>
            </w:r>
          </w:p>
        </w:tc>
        <w:tc>
          <w:tcPr>
            <w:tcW w:w="11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73,473,563</w:t>
            </w:r>
          </w:p>
        </w:tc>
        <w:tc>
          <w:tcPr>
            <w:tcW w:w="780" w:type="dxa"/>
            <w:vAlign w:val="bottom"/>
          </w:tcPr>
          <w:p>
            <w:pPr>
              <w:jc w:val="center"/>
              <w:ind w:left="233"/>
              <w:spacing w:after="0"/>
              <w:rPr>
                <w:sz w:val="20"/>
                <w:szCs w:val="20"/>
                <w:color w:val="auto"/>
              </w:rPr>
            </w:pPr>
            <w:r>
              <w:rPr>
                <w:rFonts w:ascii="Arial" w:cs="Arial" w:eastAsia="Arial" w:hAnsi="Arial"/>
                <w:sz w:val="13"/>
                <w:szCs w:val="13"/>
                <w:color w:val="auto"/>
              </w:rPr>
              <w:t>-0.3%</w:t>
            </w:r>
          </w:p>
        </w:tc>
        <w:tc>
          <w:tcPr>
            <w:tcW w:w="1460" w:type="dxa"/>
            <w:vAlign w:val="bottom"/>
            <w:tcBorders>
              <w:right w:val="single" w:sz="8" w:color="auto"/>
            </w:tcBorders>
          </w:tcPr>
          <w:p>
            <w:pPr>
              <w:jc w:val="center"/>
              <w:ind w:left="213"/>
              <w:spacing w:after="0"/>
              <w:rPr>
                <w:sz w:val="20"/>
                <w:szCs w:val="20"/>
                <w:color w:val="auto"/>
              </w:rPr>
            </w:pPr>
            <w:r>
              <w:rPr>
                <w:rFonts w:ascii="Arial" w:cs="Arial" w:eastAsia="Arial" w:hAnsi="Arial"/>
                <w:sz w:val="13"/>
                <w:szCs w:val="13"/>
                <w:color w:val="auto"/>
              </w:rPr>
              <w:t>0.1%</w:t>
            </w:r>
          </w:p>
        </w:tc>
      </w:tr>
      <w:tr>
        <w:trPr>
          <w:trHeight w:val="159"/>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Total derivatives (notional) and others</w:t>
            </w:r>
          </w:p>
        </w:tc>
        <w:tc>
          <w:tcPr>
            <w:tcW w:w="15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38,541,385</w:t>
            </w:r>
          </w:p>
        </w:tc>
        <w:tc>
          <w:tcPr>
            <w:tcW w:w="1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rPr>
              <w:t>41,697,361</w:t>
            </w:r>
          </w:p>
        </w:tc>
        <w:tc>
          <w:tcPr>
            <w:tcW w:w="11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41,238,354</w:t>
            </w:r>
          </w:p>
        </w:tc>
        <w:tc>
          <w:tcPr>
            <w:tcW w:w="780" w:type="dxa"/>
            <w:vAlign w:val="bottom"/>
            <w:tcBorders>
              <w:bottom w:val="single" w:sz="8" w:color="auto"/>
            </w:tcBorders>
          </w:tcPr>
          <w:p>
            <w:pPr>
              <w:jc w:val="center"/>
              <w:ind w:left="233"/>
              <w:spacing w:after="0"/>
              <w:rPr>
                <w:sz w:val="20"/>
                <w:szCs w:val="20"/>
                <w:color w:val="auto"/>
              </w:rPr>
            </w:pPr>
            <w:r>
              <w:rPr>
                <w:rFonts w:ascii="Arial" w:cs="Arial" w:eastAsia="Arial" w:hAnsi="Arial"/>
                <w:sz w:val="13"/>
                <w:szCs w:val="13"/>
                <w:color w:val="auto"/>
              </w:rPr>
              <w:t>-1.1%</w:t>
            </w:r>
          </w:p>
        </w:tc>
        <w:tc>
          <w:tcPr>
            <w:tcW w:w="146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3"/>
                <w:szCs w:val="13"/>
                <w:color w:val="auto"/>
              </w:rPr>
              <w:t>7.0%</w:t>
            </w:r>
          </w:p>
        </w:tc>
      </w:tr>
    </w:tbl>
    <w:p>
      <w:pPr>
        <w:spacing w:after="0" w:line="70" w:lineRule="exact"/>
        <w:rPr>
          <w:sz w:val="20"/>
          <w:szCs w:val="20"/>
          <w:color w:val="auto"/>
        </w:rPr>
      </w:pPr>
    </w:p>
    <w:p>
      <w:pPr>
        <w:ind w:left="180" w:hanging="179"/>
        <w:spacing w:after="0"/>
        <w:tabs>
          <w:tab w:leader="none" w:pos="1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Mainly includes intangible assets, other receivable accounts and tax credit.</w:t>
      </w:r>
    </w:p>
    <w:p>
      <w:pPr>
        <w:ind w:left="180" w:hanging="179"/>
        <w:spacing w:after="0"/>
        <w:tabs>
          <w:tab w:leader="none" w:pos="1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Mainly includes other payable accounts.</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63" w:name="page64"/>
    <w:bookmarkEnd w:id="63"/>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216535</wp:posOffset>
            </wp:positionV>
            <wp:extent cx="7141845" cy="535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BANCO DE CREDITO DEL PERU</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STATEMENT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 thousands, IFRS)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4660" w:type="dxa"/>
            <w:vAlign w:val="bottom"/>
            <w:tcBorders>
              <w:right w:val="single" w:sz="8" w:color="auto"/>
            </w:tcBorders>
          </w:tcPr>
          <w:p>
            <w:pPr>
              <w:spacing w:after="0"/>
              <w:rPr>
                <w:sz w:val="13"/>
                <w:szCs w:val="13"/>
                <w:color w:val="auto"/>
              </w:rPr>
            </w:pPr>
          </w:p>
        </w:tc>
        <w:tc>
          <w:tcPr>
            <w:tcW w:w="1100" w:type="dxa"/>
            <w:vAlign w:val="bottom"/>
            <w:tcBorders>
              <w:top w:val="single" w:sz="8" w:color="auto"/>
            </w:tcBorders>
            <w:shd w:val="clear" w:color="auto" w:fill="2AD2C9"/>
          </w:tcPr>
          <w:p>
            <w:pPr>
              <w:spacing w:after="0"/>
              <w:rPr>
                <w:sz w:val="13"/>
                <w:szCs w:val="13"/>
                <w:color w:val="auto"/>
              </w:rPr>
            </w:pPr>
          </w:p>
        </w:tc>
        <w:tc>
          <w:tcPr>
            <w:tcW w:w="980" w:type="dxa"/>
            <w:vAlign w:val="bottom"/>
            <w:tcBorders>
              <w:top w:val="single" w:sz="8" w:color="auto"/>
            </w:tcBorders>
            <w:shd w:val="clear" w:color="auto" w:fill="2AD2C9"/>
          </w:tcPr>
          <w:p>
            <w:pPr>
              <w:jc w:val="right"/>
              <w:ind w:right="313"/>
              <w:spacing w:after="0"/>
              <w:rPr>
                <w:sz w:val="20"/>
                <w:szCs w:val="20"/>
                <w:color w:val="auto"/>
              </w:rPr>
            </w:pPr>
            <w:r>
              <w:rPr>
                <w:rFonts w:ascii="Arial" w:cs="Arial" w:eastAsia="Arial" w:hAnsi="Arial"/>
                <w:sz w:val="13"/>
                <w:szCs w:val="13"/>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3"/>
                <w:szCs w:val="13"/>
                <w:color w:val="auto"/>
              </w:rPr>
            </w:pPr>
          </w:p>
        </w:tc>
        <w:tc>
          <w:tcPr>
            <w:tcW w:w="1300" w:type="dxa"/>
            <w:vAlign w:val="bottom"/>
            <w:tcBorders>
              <w:top w:val="single" w:sz="8" w:color="auto"/>
              <w:right w:val="single" w:sz="8" w:color="auto"/>
            </w:tcBorders>
            <w:gridSpan w:val="2"/>
            <w:shd w:val="clear" w:color="auto" w:fill="2AD2C9"/>
          </w:tcPr>
          <w:p>
            <w:pPr>
              <w:ind w:left="320"/>
              <w:spacing w:after="0"/>
              <w:rPr>
                <w:sz w:val="20"/>
                <w:szCs w:val="20"/>
                <w:color w:val="auto"/>
              </w:rPr>
            </w:pPr>
            <w:r>
              <w:rPr>
                <w:rFonts w:ascii="Arial" w:cs="Arial" w:eastAsia="Arial" w:hAnsi="Arial"/>
                <w:sz w:val="13"/>
                <w:szCs w:val="13"/>
                <w:b w:val="1"/>
                <w:bCs w:val="1"/>
                <w:color w:val="FFFFFF"/>
              </w:rPr>
              <w:t>% change</w:t>
            </w:r>
          </w:p>
        </w:tc>
        <w:tc>
          <w:tcPr>
            <w:tcW w:w="1560" w:type="dxa"/>
            <w:vAlign w:val="bottom"/>
            <w:tcBorders>
              <w:top w:val="single" w:sz="8" w:color="auto"/>
              <w:right w:val="single" w:sz="8" w:color="auto"/>
            </w:tcBorders>
            <w:gridSpan w:val="2"/>
            <w:shd w:val="clear" w:color="auto" w:fill="2AD2C9"/>
          </w:tcPr>
          <w:p>
            <w:pPr>
              <w:jc w:val="right"/>
              <w:ind w:right="593"/>
              <w:spacing w:after="0"/>
              <w:rPr>
                <w:sz w:val="20"/>
                <w:szCs w:val="20"/>
                <w:color w:val="auto"/>
              </w:rPr>
            </w:pPr>
            <w:r>
              <w:rPr>
                <w:rFonts w:ascii="Arial" w:cs="Arial" w:eastAsia="Arial" w:hAnsi="Arial"/>
                <w:sz w:val="13"/>
                <w:szCs w:val="13"/>
                <w:b w:val="1"/>
                <w:bCs w:val="1"/>
                <w:color w:val="FFFFFF"/>
              </w:rPr>
              <w:t>Year</w:t>
            </w:r>
          </w:p>
        </w:tc>
        <w:tc>
          <w:tcPr>
            <w:tcW w:w="780" w:type="dxa"/>
            <w:vAlign w:val="bottom"/>
            <w:tcBorders>
              <w:top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3"/>
                <w:szCs w:val="13"/>
                <w:b w:val="1"/>
                <w:bCs w:val="1"/>
                <w:color w:val="FFFFFF"/>
              </w:rPr>
              <w:t>% change</w:t>
            </w:r>
          </w:p>
        </w:tc>
      </w:tr>
      <w:tr>
        <w:trPr>
          <w:trHeight w:val="161"/>
        </w:trPr>
        <w:tc>
          <w:tcPr>
            <w:tcW w:w="466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4Q21</w:t>
            </w:r>
          </w:p>
        </w:tc>
        <w:tc>
          <w:tcPr>
            <w:tcW w:w="980" w:type="dxa"/>
            <w:vAlign w:val="bottom"/>
            <w:tcBorders>
              <w:bottom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3Q22</w:t>
            </w:r>
          </w:p>
        </w:tc>
        <w:tc>
          <w:tcPr>
            <w:tcW w:w="880" w:type="dxa"/>
            <w:vAlign w:val="bottom"/>
            <w:tcBorders>
              <w:bottom w:val="single" w:sz="8" w:color="auto"/>
              <w:right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4Q22</w:t>
            </w:r>
          </w:p>
        </w:tc>
        <w:tc>
          <w:tcPr>
            <w:tcW w:w="64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3"/>
                <w:szCs w:val="13"/>
                <w:b w:val="1"/>
                <w:bCs w:val="1"/>
                <w:color w:val="FFFFFF"/>
              </w:rPr>
              <w:t>QoQ</w:t>
            </w:r>
          </w:p>
        </w:tc>
        <w:tc>
          <w:tcPr>
            <w:tcW w:w="66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3"/>
                <w:szCs w:val="13"/>
                <w:b w:val="1"/>
                <w:bCs w:val="1"/>
                <w:color w:val="FFFFFF"/>
              </w:rPr>
              <w:t>YoY</w:t>
            </w:r>
          </w:p>
        </w:tc>
        <w:tc>
          <w:tcPr>
            <w:tcW w:w="760" w:type="dxa"/>
            <w:vAlign w:val="bottom"/>
            <w:tcBorders>
              <w:bottom w:val="single" w:sz="8" w:color="auto"/>
            </w:tcBorders>
            <w:shd w:val="clear" w:color="auto" w:fill="2AD2C9"/>
          </w:tcPr>
          <w:p>
            <w:pPr>
              <w:jc w:val="right"/>
              <w:ind w:right="173"/>
              <w:spacing w:after="0"/>
              <w:rPr>
                <w:sz w:val="20"/>
                <w:szCs w:val="20"/>
                <w:color w:val="auto"/>
              </w:rPr>
            </w:pPr>
            <w:r>
              <w:rPr>
                <w:rFonts w:ascii="Arial" w:cs="Arial" w:eastAsia="Arial" w:hAnsi="Arial"/>
                <w:sz w:val="13"/>
                <w:szCs w:val="13"/>
                <w:b w:val="1"/>
                <w:bCs w:val="1"/>
                <w:color w:val="FFFFFF"/>
              </w:rPr>
              <w:t>2021</w:t>
            </w:r>
          </w:p>
        </w:tc>
        <w:tc>
          <w:tcPr>
            <w:tcW w:w="800" w:type="dxa"/>
            <w:vAlign w:val="bottom"/>
            <w:tcBorders>
              <w:bottom w:val="single" w:sz="8" w:color="auto"/>
              <w:right w:val="single" w:sz="8" w:color="auto"/>
            </w:tcBorders>
            <w:shd w:val="clear" w:color="auto" w:fill="2AD2C9"/>
          </w:tcPr>
          <w:p>
            <w:pPr>
              <w:jc w:val="right"/>
              <w:ind w:right="213"/>
              <w:spacing w:after="0"/>
              <w:rPr>
                <w:sz w:val="20"/>
                <w:szCs w:val="20"/>
                <w:color w:val="auto"/>
              </w:rPr>
            </w:pPr>
            <w:r>
              <w:rPr>
                <w:rFonts w:ascii="Arial" w:cs="Arial" w:eastAsia="Arial" w:hAnsi="Arial"/>
                <w:sz w:val="13"/>
                <w:szCs w:val="13"/>
                <w:b w:val="1"/>
                <w:bCs w:val="1"/>
                <w:color w:val="FFFFFF"/>
              </w:rPr>
              <w:t>2022</w:t>
            </w:r>
          </w:p>
        </w:tc>
        <w:tc>
          <w:tcPr>
            <w:tcW w:w="7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36"/>
        </w:trPr>
        <w:tc>
          <w:tcPr>
            <w:tcW w:w="466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b w:val="1"/>
                <w:bCs w:val="1"/>
                <w:color w:val="auto"/>
              </w:rPr>
              <w:t>Interest income and expense</w:t>
            </w: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4660" w:type="dxa"/>
            <w:vAlign w:val="bottom"/>
            <w:tcBorders>
              <w:left w:val="single" w:sz="8" w:color="auto"/>
              <w:right w:val="single" w:sz="8" w:color="auto"/>
            </w:tcBorders>
          </w:tcPr>
          <w:p>
            <w:pPr>
              <w:ind w:left="160"/>
              <w:spacing w:after="0" w:line="136" w:lineRule="exact"/>
              <w:rPr>
                <w:sz w:val="20"/>
                <w:szCs w:val="20"/>
                <w:color w:val="auto"/>
              </w:rPr>
            </w:pPr>
            <w:r>
              <w:rPr>
                <w:rFonts w:ascii="Arial" w:cs="Arial" w:eastAsia="Arial" w:hAnsi="Arial"/>
                <w:sz w:val="13"/>
                <w:szCs w:val="13"/>
                <w:color w:val="auto"/>
              </w:rPr>
              <w:t>Interest and dividend income</w:t>
            </w:r>
          </w:p>
        </w:tc>
        <w:tc>
          <w:tcPr>
            <w:tcW w:w="1100" w:type="dxa"/>
            <w:vAlign w:val="bottom"/>
          </w:tcPr>
          <w:p>
            <w:pPr>
              <w:jc w:val="right"/>
              <w:ind w:right="113"/>
              <w:spacing w:after="0" w:line="136" w:lineRule="exact"/>
              <w:rPr>
                <w:sz w:val="20"/>
                <w:szCs w:val="20"/>
                <w:color w:val="auto"/>
              </w:rPr>
            </w:pPr>
            <w:r>
              <w:rPr>
                <w:rFonts w:ascii="Arial" w:cs="Arial" w:eastAsia="Arial" w:hAnsi="Arial"/>
                <w:sz w:val="13"/>
                <w:szCs w:val="13"/>
                <w:color w:val="auto"/>
              </w:rPr>
              <w:t>2,059,066</w:t>
            </w:r>
          </w:p>
        </w:tc>
        <w:tc>
          <w:tcPr>
            <w:tcW w:w="980" w:type="dxa"/>
            <w:vAlign w:val="bottom"/>
          </w:tcPr>
          <w:p>
            <w:pPr>
              <w:jc w:val="right"/>
              <w:ind w:right="113"/>
              <w:spacing w:after="0" w:line="136" w:lineRule="exact"/>
              <w:rPr>
                <w:sz w:val="20"/>
                <w:szCs w:val="20"/>
                <w:color w:val="auto"/>
              </w:rPr>
            </w:pPr>
            <w:r>
              <w:rPr>
                <w:rFonts w:ascii="Arial" w:cs="Arial" w:eastAsia="Arial" w:hAnsi="Arial"/>
                <w:sz w:val="13"/>
                <w:szCs w:val="13"/>
                <w:color w:val="auto"/>
              </w:rPr>
              <w:t>2,772,379</w:t>
            </w:r>
          </w:p>
        </w:tc>
        <w:tc>
          <w:tcPr>
            <w:tcW w:w="880" w:type="dxa"/>
            <w:vAlign w:val="bottom"/>
            <w:tcBorders>
              <w:right w:val="single" w:sz="8" w:color="auto"/>
            </w:tcBorders>
          </w:tcPr>
          <w:p>
            <w:pPr>
              <w:jc w:val="right"/>
              <w:ind w:right="13"/>
              <w:spacing w:after="0" w:line="136" w:lineRule="exact"/>
              <w:rPr>
                <w:sz w:val="20"/>
                <w:szCs w:val="20"/>
                <w:color w:val="auto"/>
              </w:rPr>
            </w:pPr>
            <w:r>
              <w:rPr>
                <w:rFonts w:ascii="Arial" w:cs="Arial" w:eastAsia="Arial" w:hAnsi="Arial"/>
                <w:sz w:val="13"/>
                <w:szCs w:val="13"/>
                <w:color w:val="auto"/>
              </w:rPr>
              <w:t>3,119,180</w:t>
            </w:r>
          </w:p>
        </w:tc>
        <w:tc>
          <w:tcPr>
            <w:tcW w:w="640" w:type="dxa"/>
            <w:vAlign w:val="bottom"/>
          </w:tcPr>
          <w:p>
            <w:pPr>
              <w:jc w:val="center"/>
              <w:spacing w:after="0" w:line="136" w:lineRule="exact"/>
              <w:rPr>
                <w:sz w:val="20"/>
                <w:szCs w:val="20"/>
                <w:color w:val="auto"/>
              </w:rPr>
            </w:pPr>
            <w:r>
              <w:rPr>
                <w:rFonts w:ascii="Arial" w:cs="Arial" w:eastAsia="Arial" w:hAnsi="Arial"/>
                <w:sz w:val="13"/>
                <w:szCs w:val="13"/>
                <w:color w:val="auto"/>
              </w:rPr>
              <w:t>12.5%</w:t>
            </w:r>
          </w:p>
        </w:tc>
        <w:tc>
          <w:tcPr>
            <w:tcW w:w="6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51.5%</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7,925,892</w:t>
            </w:r>
          </w:p>
        </w:tc>
        <w:tc>
          <w:tcPr>
            <w:tcW w:w="800" w:type="dxa"/>
            <w:vAlign w:val="bottom"/>
            <w:tcBorders>
              <w:right w:val="single" w:sz="8" w:color="auto"/>
            </w:tcBorders>
          </w:tcPr>
          <w:p>
            <w:pPr>
              <w:jc w:val="right"/>
              <w:ind w:right="13"/>
              <w:spacing w:after="0" w:line="136" w:lineRule="exact"/>
              <w:rPr>
                <w:sz w:val="20"/>
                <w:szCs w:val="20"/>
                <w:color w:val="auto"/>
              </w:rPr>
            </w:pPr>
            <w:r>
              <w:rPr>
                <w:rFonts w:ascii="Arial" w:cs="Arial" w:eastAsia="Arial" w:hAnsi="Arial"/>
                <w:sz w:val="13"/>
                <w:szCs w:val="13"/>
                <w:color w:val="auto"/>
              </w:rPr>
              <w:t>10,352,579</w:t>
            </w:r>
          </w:p>
        </w:tc>
        <w:tc>
          <w:tcPr>
            <w:tcW w:w="7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30.6%</w:t>
            </w:r>
          </w:p>
        </w:tc>
      </w:tr>
      <w:tr>
        <w:trPr>
          <w:trHeight w:val="164"/>
        </w:trPr>
        <w:tc>
          <w:tcPr>
            <w:tcW w:w="4660" w:type="dxa"/>
            <w:vAlign w:val="bottom"/>
            <w:tcBorders>
              <w:left w:val="single" w:sz="8" w:color="auto"/>
              <w:right w:val="single" w:sz="8" w:color="auto"/>
            </w:tcBorders>
          </w:tcPr>
          <w:p>
            <w:pPr>
              <w:ind w:left="160"/>
              <w:spacing w:after="0" w:line="164" w:lineRule="exact"/>
              <w:rPr>
                <w:sz w:val="20"/>
                <w:szCs w:val="20"/>
                <w:color w:val="auto"/>
              </w:rPr>
            </w:pPr>
            <w:r>
              <w:rPr>
                <w:rFonts w:ascii="Arial" w:cs="Arial" w:eastAsia="Arial" w:hAnsi="Arial"/>
                <w:sz w:val="12"/>
                <w:szCs w:val="12"/>
                <w:color w:val="auto"/>
              </w:rPr>
              <w:t xml:space="preserve">Interest expense </w:t>
            </w:r>
            <w:r>
              <w:rPr>
                <w:rFonts w:ascii="Arial" w:cs="Arial" w:eastAsia="Arial" w:hAnsi="Arial"/>
                <w:sz w:val="19"/>
                <w:szCs w:val="19"/>
                <w:color w:val="auto"/>
                <w:vertAlign w:val="superscript"/>
              </w:rPr>
              <w:t>(1)</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(399,009)</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(661,526)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(751,858)</w:t>
            </w:r>
          </w:p>
        </w:tc>
        <w:tc>
          <w:tcPr>
            <w:tcW w:w="640" w:type="dxa"/>
            <w:vAlign w:val="bottom"/>
          </w:tcPr>
          <w:p>
            <w:pPr>
              <w:jc w:val="center"/>
              <w:spacing w:after="0"/>
              <w:rPr>
                <w:sz w:val="20"/>
                <w:szCs w:val="20"/>
                <w:color w:val="auto"/>
              </w:rPr>
            </w:pPr>
            <w:r>
              <w:rPr>
                <w:rFonts w:ascii="Arial" w:cs="Arial" w:eastAsia="Arial" w:hAnsi="Arial"/>
                <w:sz w:val="13"/>
                <w:szCs w:val="13"/>
                <w:color w:val="auto"/>
              </w:rPr>
              <w:t>13.7%</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88.4%</w:t>
            </w:r>
          </w:p>
        </w:tc>
        <w:tc>
          <w:tcPr>
            <w:tcW w:w="760" w:type="dxa"/>
            <w:vAlign w:val="bottom"/>
          </w:tcPr>
          <w:p>
            <w:pPr>
              <w:jc w:val="right"/>
              <w:spacing w:after="0"/>
              <w:rPr>
                <w:sz w:val="20"/>
                <w:szCs w:val="20"/>
                <w:color w:val="auto"/>
              </w:rPr>
            </w:pPr>
            <w:r>
              <w:rPr>
                <w:rFonts w:ascii="Arial" w:cs="Arial" w:eastAsia="Arial" w:hAnsi="Arial"/>
                <w:sz w:val="13"/>
                <w:szCs w:val="13"/>
                <w:color w:val="auto"/>
              </w:rPr>
              <w:t>(1,667,138)</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(2,309,386)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38.5%</w:t>
            </w:r>
          </w:p>
        </w:tc>
      </w:tr>
      <w:tr>
        <w:trPr>
          <w:trHeight w:val="185"/>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Net interest income</w:t>
            </w: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1,660,057</w:t>
            </w:r>
          </w:p>
        </w:tc>
        <w:tc>
          <w:tcPr>
            <w:tcW w:w="980" w:type="dxa"/>
            <w:vAlign w:val="bottom"/>
          </w:tcPr>
          <w:p>
            <w:pPr>
              <w:jc w:val="right"/>
              <w:ind w:right="113"/>
              <w:spacing w:after="0"/>
              <w:rPr>
                <w:sz w:val="20"/>
                <w:szCs w:val="20"/>
                <w:color w:val="auto"/>
              </w:rPr>
            </w:pPr>
            <w:r>
              <w:rPr>
                <w:rFonts w:ascii="Arial" w:cs="Arial" w:eastAsia="Arial" w:hAnsi="Arial"/>
                <w:sz w:val="13"/>
                <w:szCs w:val="13"/>
                <w:b w:val="1"/>
                <w:bCs w:val="1"/>
                <w:color w:val="auto"/>
              </w:rPr>
              <w:t>2,110,853</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2,367,322</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12.2%</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42.6%</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6,258,754</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8,043,193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28.5%</w:t>
            </w:r>
          </w:p>
        </w:tc>
      </w:tr>
      <w:tr>
        <w:trPr>
          <w:trHeight w:val="270"/>
        </w:trPr>
        <w:tc>
          <w:tcPr>
            <w:tcW w:w="4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Provision for credit losses on loan portfolio</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(161,595)</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(412,876)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(564,240)</w:t>
            </w:r>
          </w:p>
        </w:tc>
        <w:tc>
          <w:tcPr>
            <w:tcW w:w="640" w:type="dxa"/>
            <w:vAlign w:val="bottom"/>
          </w:tcPr>
          <w:p>
            <w:pPr>
              <w:jc w:val="center"/>
              <w:spacing w:after="0"/>
              <w:rPr>
                <w:sz w:val="20"/>
                <w:szCs w:val="20"/>
                <w:color w:val="auto"/>
              </w:rPr>
            </w:pPr>
            <w:r>
              <w:rPr>
                <w:rFonts w:ascii="Arial" w:cs="Arial" w:eastAsia="Arial" w:hAnsi="Arial"/>
                <w:sz w:val="13"/>
                <w:szCs w:val="13"/>
                <w:color w:val="auto"/>
              </w:rPr>
              <w:t>36.7%</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249.2%</w:t>
            </w:r>
          </w:p>
        </w:tc>
        <w:tc>
          <w:tcPr>
            <w:tcW w:w="760" w:type="dxa"/>
            <w:vAlign w:val="bottom"/>
          </w:tcPr>
          <w:p>
            <w:pPr>
              <w:jc w:val="right"/>
              <w:spacing w:after="0"/>
              <w:rPr>
                <w:sz w:val="20"/>
                <w:szCs w:val="20"/>
                <w:color w:val="auto"/>
              </w:rPr>
            </w:pPr>
            <w:r>
              <w:rPr>
                <w:rFonts w:ascii="Arial" w:cs="Arial" w:eastAsia="Arial" w:hAnsi="Arial"/>
                <w:sz w:val="13"/>
                <w:szCs w:val="13"/>
                <w:color w:val="auto"/>
              </w:rPr>
              <w:t>(1,038,026)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(1,448,323)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39.5%</w:t>
            </w:r>
          </w:p>
        </w:tc>
      </w:tr>
      <w:tr>
        <w:trPr>
          <w:trHeight w:val="175"/>
        </w:trPr>
        <w:tc>
          <w:tcPr>
            <w:tcW w:w="4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Recoveries of written-off loans</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68,765</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53,547</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53,602</w:t>
            </w:r>
          </w:p>
        </w:tc>
        <w:tc>
          <w:tcPr>
            <w:tcW w:w="640" w:type="dxa"/>
            <w:vAlign w:val="bottom"/>
          </w:tcPr>
          <w:p>
            <w:pPr>
              <w:jc w:val="center"/>
              <w:spacing w:after="0"/>
              <w:rPr>
                <w:sz w:val="20"/>
                <w:szCs w:val="20"/>
                <w:color w:val="auto"/>
              </w:rPr>
            </w:pPr>
            <w:r>
              <w:rPr>
                <w:rFonts w:ascii="Arial" w:cs="Arial" w:eastAsia="Arial" w:hAnsi="Arial"/>
                <w:sz w:val="13"/>
                <w:szCs w:val="13"/>
                <w:color w:val="auto"/>
              </w:rPr>
              <w:t>0.1%</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-22.1%</w:t>
            </w:r>
          </w:p>
        </w:tc>
        <w:tc>
          <w:tcPr>
            <w:tcW w:w="760" w:type="dxa"/>
            <w:vAlign w:val="bottom"/>
          </w:tcPr>
          <w:p>
            <w:pPr>
              <w:jc w:val="right"/>
              <w:spacing w:after="0"/>
              <w:rPr>
                <w:sz w:val="20"/>
                <w:szCs w:val="20"/>
                <w:color w:val="auto"/>
              </w:rPr>
            </w:pPr>
            <w:r>
              <w:rPr>
                <w:rFonts w:ascii="Arial" w:cs="Arial" w:eastAsia="Arial" w:hAnsi="Arial"/>
                <w:sz w:val="13"/>
                <w:szCs w:val="13"/>
                <w:color w:val="auto"/>
              </w:rPr>
              <w:t>245,038</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214,429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-12.5%</w:t>
            </w:r>
          </w:p>
        </w:tc>
      </w:tr>
      <w:tr>
        <w:trPr>
          <w:trHeight w:val="360"/>
        </w:trPr>
        <w:tc>
          <w:tcPr>
            <w:tcW w:w="4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Provision for credit losses on loan portfolio, net of recoveries</w:t>
            </w:r>
          </w:p>
        </w:tc>
        <w:tc>
          <w:tcPr>
            <w:tcW w:w="1100" w:type="dxa"/>
            <w:vAlign w:val="bottom"/>
          </w:tcPr>
          <w:p>
            <w:pPr>
              <w:jc w:val="right"/>
              <w:ind w:right="73"/>
              <w:spacing w:after="0"/>
              <w:rPr>
                <w:sz w:val="20"/>
                <w:szCs w:val="20"/>
                <w:color w:val="auto"/>
              </w:rPr>
            </w:pPr>
            <w:r>
              <w:rPr>
                <w:rFonts w:ascii="Arial" w:cs="Arial" w:eastAsia="Arial" w:hAnsi="Arial"/>
                <w:sz w:val="13"/>
                <w:szCs w:val="13"/>
                <w:b w:val="1"/>
                <w:bCs w:val="1"/>
                <w:color w:val="auto"/>
              </w:rPr>
              <w:t>(92,830)</w:t>
            </w: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(359,329)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(510,638)</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42.1%</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450.1%</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(792,988)</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(1,233,894)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55.6%</w:t>
            </w:r>
          </w:p>
        </w:tc>
      </w:tr>
      <w:tr>
        <w:trPr>
          <w:trHeight w:val="302"/>
        </w:trPr>
        <w:tc>
          <w:tcPr>
            <w:tcW w:w="4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Risk-adjusted net interest income</w:t>
            </w: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1,567,227</w:t>
            </w:r>
          </w:p>
        </w:tc>
        <w:tc>
          <w:tcPr>
            <w:tcW w:w="980" w:type="dxa"/>
            <w:vAlign w:val="bottom"/>
          </w:tcPr>
          <w:p>
            <w:pPr>
              <w:jc w:val="right"/>
              <w:ind w:right="113"/>
              <w:spacing w:after="0"/>
              <w:rPr>
                <w:sz w:val="20"/>
                <w:szCs w:val="20"/>
                <w:color w:val="auto"/>
              </w:rPr>
            </w:pPr>
            <w:r>
              <w:rPr>
                <w:rFonts w:ascii="Arial" w:cs="Arial" w:eastAsia="Arial" w:hAnsi="Arial"/>
                <w:sz w:val="13"/>
                <w:szCs w:val="13"/>
                <w:b w:val="1"/>
                <w:bCs w:val="1"/>
                <w:color w:val="auto"/>
              </w:rPr>
              <w:t>1,751,524</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1,856,684</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6.0%</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18.5%</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5,465,766</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6,809,299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24.6%</w:t>
            </w:r>
          </w:p>
        </w:tc>
      </w:tr>
      <w:tr>
        <w:trPr>
          <w:trHeight w:val="270"/>
        </w:trPr>
        <w:tc>
          <w:tcPr>
            <w:tcW w:w="4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Other income</w:t>
            </w: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r>
      <w:tr>
        <w:trPr>
          <w:trHeight w:val="151"/>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Fee income</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719,473</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761,968</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741,992</w:t>
            </w: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-2.6%</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3.1%</w:t>
            </w:r>
          </w:p>
        </w:tc>
        <w:tc>
          <w:tcPr>
            <w:tcW w:w="760" w:type="dxa"/>
            <w:vAlign w:val="bottom"/>
          </w:tcPr>
          <w:p>
            <w:pPr>
              <w:jc w:val="right"/>
              <w:spacing w:after="0"/>
              <w:rPr>
                <w:sz w:val="20"/>
                <w:szCs w:val="20"/>
                <w:color w:val="auto"/>
              </w:rPr>
            </w:pPr>
            <w:r>
              <w:rPr>
                <w:rFonts w:ascii="Arial" w:cs="Arial" w:eastAsia="Arial" w:hAnsi="Arial"/>
                <w:sz w:val="13"/>
                <w:szCs w:val="13"/>
                <w:color w:val="auto"/>
              </w:rPr>
              <w:t>2,641,301</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2,938,465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11.3%</w:t>
            </w:r>
          </w:p>
        </w:tc>
      </w:tr>
      <w:tr>
        <w:trPr>
          <w:trHeight w:val="151"/>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on foreign exchange transactions</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237,450</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242,395</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267,859</w:t>
            </w:r>
          </w:p>
        </w:tc>
        <w:tc>
          <w:tcPr>
            <w:tcW w:w="640" w:type="dxa"/>
            <w:vAlign w:val="bottom"/>
          </w:tcPr>
          <w:p>
            <w:pPr>
              <w:jc w:val="center"/>
              <w:spacing w:after="0"/>
              <w:rPr>
                <w:sz w:val="20"/>
                <w:szCs w:val="20"/>
                <w:color w:val="auto"/>
              </w:rPr>
            </w:pPr>
            <w:r>
              <w:rPr>
                <w:rFonts w:ascii="Arial" w:cs="Arial" w:eastAsia="Arial" w:hAnsi="Arial"/>
                <w:sz w:val="13"/>
                <w:szCs w:val="13"/>
                <w:color w:val="auto"/>
              </w:rPr>
              <w:t>10.5%</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12.8%</w:t>
            </w:r>
          </w:p>
        </w:tc>
        <w:tc>
          <w:tcPr>
            <w:tcW w:w="760" w:type="dxa"/>
            <w:vAlign w:val="bottom"/>
          </w:tcPr>
          <w:p>
            <w:pPr>
              <w:jc w:val="right"/>
              <w:spacing w:after="0"/>
              <w:rPr>
                <w:sz w:val="20"/>
                <w:szCs w:val="20"/>
                <w:color w:val="auto"/>
              </w:rPr>
            </w:pPr>
            <w:r>
              <w:rPr>
                <w:rFonts w:ascii="Arial" w:cs="Arial" w:eastAsia="Arial" w:hAnsi="Arial"/>
                <w:sz w:val="13"/>
                <w:szCs w:val="13"/>
                <w:color w:val="auto"/>
              </w:rPr>
              <w:t>880,261</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989,379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12.4%</w:t>
            </w:r>
          </w:p>
        </w:tc>
      </w:tr>
      <w:tr>
        <w:trPr>
          <w:trHeight w:val="151"/>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(losses) on securities</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115,361</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132,170</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37,096</w:t>
            </w:r>
          </w:p>
        </w:tc>
        <w:tc>
          <w:tcPr>
            <w:tcW w:w="640" w:type="dxa"/>
            <w:vAlign w:val="bottom"/>
          </w:tcPr>
          <w:p>
            <w:pPr>
              <w:jc w:val="center"/>
              <w:spacing w:after="0"/>
              <w:rPr>
                <w:sz w:val="20"/>
                <w:szCs w:val="20"/>
                <w:color w:val="auto"/>
              </w:rPr>
            </w:pPr>
            <w:r>
              <w:rPr>
                <w:rFonts w:ascii="Arial" w:cs="Arial" w:eastAsia="Arial" w:hAnsi="Arial"/>
                <w:sz w:val="13"/>
                <w:szCs w:val="13"/>
                <w:color w:val="auto"/>
              </w:rPr>
              <w:t>-71.9%</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-67.8%</w:t>
            </w:r>
          </w:p>
        </w:tc>
        <w:tc>
          <w:tcPr>
            <w:tcW w:w="760" w:type="dxa"/>
            <w:vAlign w:val="bottom"/>
          </w:tcPr>
          <w:p>
            <w:pPr>
              <w:jc w:val="right"/>
              <w:spacing w:after="0"/>
              <w:rPr>
                <w:sz w:val="20"/>
                <w:szCs w:val="20"/>
                <w:color w:val="auto"/>
              </w:rPr>
            </w:pPr>
            <w:r>
              <w:rPr>
                <w:rFonts w:ascii="Arial" w:cs="Arial" w:eastAsia="Arial" w:hAnsi="Arial"/>
                <w:sz w:val="13"/>
                <w:szCs w:val="13"/>
                <w:color w:val="auto"/>
              </w:rPr>
              <w:t>47,632</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372,490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682.0%</w:t>
            </w:r>
          </w:p>
        </w:tc>
      </w:tr>
      <w:tr>
        <w:trPr>
          <w:trHeight w:val="151"/>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from associates</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(7,952)</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2,958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(864)</w:t>
            </w:r>
          </w:p>
        </w:tc>
        <w:tc>
          <w:tcPr>
            <w:tcW w:w="640" w:type="dxa"/>
            <w:vAlign w:val="bottom"/>
          </w:tcPr>
          <w:p>
            <w:pPr>
              <w:jc w:val="center"/>
              <w:spacing w:after="0"/>
              <w:rPr>
                <w:sz w:val="20"/>
                <w:szCs w:val="20"/>
                <w:color w:val="auto"/>
              </w:rPr>
            </w:pPr>
            <w:r>
              <w:rPr>
                <w:rFonts w:ascii="Arial" w:cs="Arial" w:eastAsia="Arial" w:hAnsi="Arial"/>
                <w:sz w:val="13"/>
                <w:szCs w:val="13"/>
                <w:color w:val="auto"/>
              </w:rPr>
              <w:t>-129.2%</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-89.1%</w:t>
            </w:r>
          </w:p>
        </w:tc>
        <w:tc>
          <w:tcPr>
            <w:tcW w:w="760" w:type="dxa"/>
            <w:vAlign w:val="bottom"/>
          </w:tcPr>
          <w:p>
            <w:pPr>
              <w:jc w:val="right"/>
              <w:spacing w:after="0"/>
              <w:rPr>
                <w:sz w:val="20"/>
                <w:szCs w:val="20"/>
                <w:color w:val="auto"/>
              </w:rPr>
            </w:pPr>
            <w:r>
              <w:rPr>
                <w:rFonts w:ascii="Arial" w:cs="Arial" w:eastAsia="Arial" w:hAnsi="Arial"/>
                <w:sz w:val="13"/>
                <w:szCs w:val="13"/>
                <w:color w:val="auto"/>
              </w:rPr>
              <w:t>81,970</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15,216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-81.4%</w:t>
            </w:r>
          </w:p>
        </w:tc>
      </w:tr>
      <w:tr>
        <w:trPr>
          <w:trHeight w:val="151"/>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(losses) on derivatives held for trading</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26,429</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15,290</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9,957</w:t>
            </w:r>
          </w:p>
        </w:tc>
        <w:tc>
          <w:tcPr>
            <w:tcW w:w="640" w:type="dxa"/>
            <w:vAlign w:val="bottom"/>
          </w:tcPr>
          <w:p>
            <w:pPr>
              <w:jc w:val="center"/>
              <w:spacing w:after="0"/>
              <w:rPr>
                <w:sz w:val="20"/>
                <w:szCs w:val="20"/>
                <w:color w:val="auto"/>
              </w:rPr>
            </w:pPr>
            <w:r>
              <w:rPr>
                <w:rFonts w:ascii="Arial" w:cs="Arial" w:eastAsia="Arial" w:hAnsi="Arial"/>
                <w:sz w:val="13"/>
                <w:szCs w:val="13"/>
                <w:color w:val="auto"/>
              </w:rPr>
              <w:t>-34.9%</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-62.3%</w:t>
            </w:r>
          </w:p>
        </w:tc>
        <w:tc>
          <w:tcPr>
            <w:tcW w:w="760" w:type="dxa"/>
            <w:vAlign w:val="bottom"/>
          </w:tcPr>
          <w:p>
            <w:pPr>
              <w:jc w:val="right"/>
              <w:spacing w:after="0"/>
              <w:rPr>
                <w:sz w:val="20"/>
                <w:szCs w:val="20"/>
                <w:color w:val="auto"/>
              </w:rPr>
            </w:pPr>
            <w:r>
              <w:rPr>
                <w:rFonts w:ascii="Arial" w:cs="Arial" w:eastAsia="Arial" w:hAnsi="Arial"/>
                <w:sz w:val="13"/>
                <w:szCs w:val="13"/>
                <w:color w:val="auto"/>
              </w:rPr>
              <w:t>73,593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(1,297)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-101.8%</w:t>
            </w:r>
          </w:p>
        </w:tc>
      </w:tr>
      <w:tr>
        <w:trPr>
          <w:trHeight w:val="151"/>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(losses) from exchange differences</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(1,993)</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10,109</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4,812</w:t>
            </w:r>
          </w:p>
        </w:tc>
        <w:tc>
          <w:tcPr>
            <w:tcW w:w="640" w:type="dxa"/>
            <w:vAlign w:val="bottom"/>
          </w:tcPr>
          <w:p>
            <w:pPr>
              <w:jc w:val="center"/>
              <w:spacing w:after="0"/>
              <w:rPr>
                <w:sz w:val="20"/>
                <w:szCs w:val="20"/>
                <w:color w:val="auto"/>
              </w:rPr>
            </w:pPr>
            <w:r>
              <w:rPr>
                <w:rFonts w:ascii="Arial" w:cs="Arial" w:eastAsia="Arial" w:hAnsi="Arial"/>
                <w:sz w:val="13"/>
                <w:szCs w:val="13"/>
                <w:color w:val="auto"/>
              </w:rPr>
              <w:t>-52.4%</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-341.4%</w:t>
            </w:r>
          </w:p>
        </w:tc>
        <w:tc>
          <w:tcPr>
            <w:tcW w:w="760" w:type="dxa"/>
            <w:vAlign w:val="bottom"/>
          </w:tcPr>
          <w:p>
            <w:pPr>
              <w:jc w:val="right"/>
              <w:spacing w:after="0"/>
              <w:rPr>
                <w:sz w:val="20"/>
                <w:szCs w:val="20"/>
                <w:color w:val="auto"/>
              </w:rPr>
            </w:pPr>
            <w:r>
              <w:rPr>
                <w:rFonts w:ascii="Arial" w:cs="Arial" w:eastAsia="Arial" w:hAnsi="Arial"/>
                <w:sz w:val="13"/>
                <w:szCs w:val="13"/>
                <w:color w:val="auto"/>
              </w:rPr>
              <w:t>57,451</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12,153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-78.8%</w:t>
            </w:r>
          </w:p>
        </w:tc>
      </w:tr>
      <w:tr>
        <w:trPr>
          <w:trHeight w:val="149"/>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Others</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34,444</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36,792</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9,937</w:t>
            </w:r>
          </w:p>
        </w:tc>
        <w:tc>
          <w:tcPr>
            <w:tcW w:w="640" w:type="dxa"/>
            <w:vAlign w:val="bottom"/>
          </w:tcPr>
          <w:p>
            <w:pPr>
              <w:jc w:val="center"/>
              <w:spacing w:after="0"/>
              <w:rPr>
                <w:sz w:val="20"/>
                <w:szCs w:val="20"/>
                <w:color w:val="auto"/>
              </w:rPr>
            </w:pPr>
            <w:r>
              <w:rPr>
                <w:rFonts w:ascii="Arial" w:cs="Arial" w:eastAsia="Arial" w:hAnsi="Arial"/>
                <w:sz w:val="13"/>
                <w:szCs w:val="13"/>
                <w:color w:val="auto"/>
              </w:rPr>
              <w:t>-73.0%</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-71.2%</w:t>
            </w:r>
          </w:p>
        </w:tc>
        <w:tc>
          <w:tcPr>
            <w:tcW w:w="760" w:type="dxa"/>
            <w:vAlign w:val="bottom"/>
          </w:tcPr>
          <w:p>
            <w:pPr>
              <w:jc w:val="right"/>
              <w:spacing w:after="0"/>
              <w:rPr>
                <w:sz w:val="20"/>
                <w:szCs w:val="20"/>
                <w:color w:val="auto"/>
              </w:rPr>
            </w:pPr>
            <w:r>
              <w:rPr>
                <w:rFonts w:ascii="Arial" w:cs="Arial" w:eastAsia="Arial" w:hAnsi="Arial"/>
                <w:sz w:val="13"/>
                <w:szCs w:val="13"/>
                <w:color w:val="auto"/>
              </w:rPr>
              <w:t>158,160</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202,755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28.2%</w:t>
            </w:r>
          </w:p>
        </w:tc>
      </w:tr>
      <w:tr>
        <w:trPr>
          <w:trHeight w:val="185"/>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Total other income</w:t>
            </w: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1,123,212</w:t>
            </w:r>
          </w:p>
        </w:tc>
        <w:tc>
          <w:tcPr>
            <w:tcW w:w="980" w:type="dxa"/>
            <w:vAlign w:val="bottom"/>
          </w:tcPr>
          <w:p>
            <w:pPr>
              <w:jc w:val="right"/>
              <w:ind w:right="113"/>
              <w:spacing w:after="0"/>
              <w:rPr>
                <w:sz w:val="20"/>
                <w:szCs w:val="20"/>
                <w:color w:val="auto"/>
              </w:rPr>
            </w:pPr>
            <w:r>
              <w:rPr>
                <w:rFonts w:ascii="Arial" w:cs="Arial" w:eastAsia="Arial" w:hAnsi="Arial"/>
                <w:sz w:val="13"/>
                <w:szCs w:val="13"/>
                <w:b w:val="1"/>
                <w:bCs w:val="1"/>
                <w:color w:val="auto"/>
              </w:rPr>
              <w:t>1,201,682</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1,070,789</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-10.9%</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-4.7%</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3,940,368</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4,529,161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14.9%</w:t>
            </w:r>
          </w:p>
        </w:tc>
      </w:tr>
      <w:tr>
        <w:trPr>
          <w:trHeight w:val="270"/>
        </w:trPr>
        <w:tc>
          <w:tcPr>
            <w:tcW w:w="4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expenses</w:t>
            </w: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r>
      <w:tr>
        <w:trPr>
          <w:trHeight w:val="151"/>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Salaries and employee benefits</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(512,934)</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(536,526)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(564,902)</w:t>
            </w:r>
          </w:p>
        </w:tc>
        <w:tc>
          <w:tcPr>
            <w:tcW w:w="640" w:type="dxa"/>
            <w:vAlign w:val="bottom"/>
          </w:tcPr>
          <w:p>
            <w:pPr>
              <w:jc w:val="center"/>
              <w:spacing w:after="0"/>
              <w:rPr>
                <w:sz w:val="20"/>
                <w:szCs w:val="20"/>
                <w:color w:val="auto"/>
              </w:rPr>
            </w:pPr>
            <w:r>
              <w:rPr>
                <w:rFonts w:ascii="Arial" w:cs="Arial" w:eastAsia="Arial" w:hAnsi="Arial"/>
                <w:sz w:val="13"/>
                <w:szCs w:val="13"/>
                <w:color w:val="auto"/>
              </w:rPr>
              <w:t>5.3%</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10.1%</w:t>
            </w:r>
          </w:p>
        </w:tc>
        <w:tc>
          <w:tcPr>
            <w:tcW w:w="760" w:type="dxa"/>
            <w:vAlign w:val="bottom"/>
          </w:tcPr>
          <w:p>
            <w:pPr>
              <w:jc w:val="right"/>
              <w:spacing w:after="0"/>
              <w:rPr>
                <w:sz w:val="20"/>
                <w:szCs w:val="20"/>
                <w:color w:val="auto"/>
              </w:rPr>
            </w:pPr>
            <w:r>
              <w:rPr>
                <w:rFonts w:ascii="Arial" w:cs="Arial" w:eastAsia="Arial" w:hAnsi="Arial"/>
                <w:sz w:val="13"/>
                <w:szCs w:val="13"/>
                <w:color w:val="auto"/>
              </w:rPr>
              <w:t>(1,825,012)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(2,090,339)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14.5%</w:t>
            </w:r>
          </w:p>
        </w:tc>
      </w:tr>
      <w:tr>
        <w:trPr>
          <w:trHeight w:val="135"/>
        </w:trPr>
        <w:tc>
          <w:tcPr>
            <w:tcW w:w="4660" w:type="dxa"/>
            <w:vAlign w:val="bottom"/>
            <w:tcBorders>
              <w:left w:val="single" w:sz="8" w:color="auto"/>
              <w:right w:val="single" w:sz="8" w:color="auto"/>
            </w:tcBorders>
          </w:tcPr>
          <w:p>
            <w:pPr>
              <w:ind w:left="160"/>
              <w:spacing w:after="0" w:line="136" w:lineRule="exact"/>
              <w:rPr>
                <w:sz w:val="20"/>
                <w:szCs w:val="20"/>
                <w:color w:val="auto"/>
              </w:rPr>
            </w:pPr>
            <w:r>
              <w:rPr>
                <w:rFonts w:ascii="Arial" w:cs="Arial" w:eastAsia="Arial" w:hAnsi="Arial"/>
                <w:sz w:val="13"/>
                <w:szCs w:val="13"/>
                <w:color w:val="auto"/>
              </w:rPr>
              <w:t>Administrative expenses</w:t>
            </w:r>
          </w:p>
        </w:tc>
        <w:tc>
          <w:tcPr>
            <w:tcW w:w="1100" w:type="dxa"/>
            <w:vAlign w:val="bottom"/>
          </w:tcPr>
          <w:p>
            <w:pPr>
              <w:jc w:val="right"/>
              <w:ind w:right="73"/>
              <w:spacing w:after="0" w:line="136" w:lineRule="exact"/>
              <w:rPr>
                <w:sz w:val="20"/>
                <w:szCs w:val="20"/>
                <w:color w:val="auto"/>
              </w:rPr>
            </w:pPr>
            <w:r>
              <w:rPr>
                <w:rFonts w:ascii="Arial" w:cs="Arial" w:eastAsia="Arial" w:hAnsi="Arial"/>
                <w:sz w:val="13"/>
                <w:szCs w:val="13"/>
                <w:color w:val="auto"/>
              </w:rPr>
              <w:t>(621,878)</w:t>
            </w:r>
          </w:p>
        </w:tc>
        <w:tc>
          <w:tcPr>
            <w:tcW w:w="980" w:type="dxa"/>
            <w:vAlign w:val="bottom"/>
          </w:tcPr>
          <w:p>
            <w:pPr>
              <w:jc w:val="right"/>
              <w:ind w:right="73"/>
              <w:spacing w:after="0" w:line="136" w:lineRule="exact"/>
              <w:rPr>
                <w:sz w:val="20"/>
                <w:szCs w:val="20"/>
                <w:color w:val="auto"/>
              </w:rPr>
            </w:pPr>
            <w:r>
              <w:rPr>
                <w:rFonts w:ascii="Arial" w:cs="Arial" w:eastAsia="Arial" w:hAnsi="Arial"/>
                <w:sz w:val="13"/>
                <w:szCs w:val="13"/>
                <w:color w:val="auto"/>
              </w:rPr>
              <w:t>(571,621)</w:t>
            </w:r>
          </w:p>
        </w:tc>
        <w:tc>
          <w:tcPr>
            <w:tcW w:w="88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(736,377)</w:t>
            </w:r>
          </w:p>
        </w:tc>
        <w:tc>
          <w:tcPr>
            <w:tcW w:w="640" w:type="dxa"/>
            <w:vAlign w:val="bottom"/>
          </w:tcPr>
          <w:p>
            <w:pPr>
              <w:jc w:val="center"/>
              <w:spacing w:after="0" w:line="136" w:lineRule="exact"/>
              <w:rPr>
                <w:sz w:val="20"/>
                <w:szCs w:val="20"/>
                <w:color w:val="auto"/>
              </w:rPr>
            </w:pPr>
            <w:r>
              <w:rPr>
                <w:rFonts w:ascii="Arial" w:cs="Arial" w:eastAsia="Arial" w:hAnsi="Arial"/>
                <w:sz w:val="13"/>
                <w:szCs w:val="13"/>
                <w:color w:val="auto"/>
              </w:rPr>
              <w:t>28.8%</w:t>
            </w:r>
          </w:p>
        </w:tc>
        <w:tc>
          <w:tcPr>
            <w:tcW w:w="6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18.4%</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(2,043,570)</w:t>
            </w:r>
          </w:p>
        </w:tc>
        <w:tc>
          <w:tcPr>
            <w:tcW w:w="80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(2,346,996)</w:t>
            </w:r>
          </w:p>
        </w:tc>
        <w:tc>
          <w:tcPr>
            <w:tcW w:w="7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14.8%</w:t>
            </w:r>
          </w:p>
        </w:tc>
      </w:tr>
      <w:tr>
        <w:trPr>
          <w:trHeight w:val="166"/>
        </w:trPr>
        <w:tc>
          <w:tcPr>
            <w:tcW w:w="4660" w:type="dxa"/>
            <w:vAlign w:val="bottom"/>
            <w:tcBorders>
              <w:left w:val="single" w:sz="8" w:color="auto"/>
              <w:right w:val="single" w:sz="8" w:color="auto"/>
            </w:tcBorders>
          </w:tcPr>
          <w:p>
            <w:pPr>
              <w:ind w:left="160"/>
              <w:spacing w:after="0" w:line="166" w:lineRule="exact"/>
              <w:rPr>
                <w:sz w:val="20"/>
                <w:szCs w:val="20"/>
                <w:color w:val="auto"/>
              </w:rPr>
            </w:pPr>
            <w:r>
              <w:rPr>
                <w:rFonts w:ascii="Arial" w:cs="Arial" w:eastAsia="Arial" w:hAnsi="Arial"/>
                <w:sz w:val="12"/>
                <w:szCs w:val="12"/>
                <w:color w:val="auto"/>
              </w:rPr>
              <w:t xml:space="preserve">Depreciation and amortization </w:t>
            </w:r>
            <w:r>
              <w:rPr>
                <w:rFonts w:ascii="Arial" w:cs="Arial" w:eastAsia="Arial" w:hAnsi="Arial"/>
                <w:sz w:val="19"/>
                <w:szCs w:val="19"/>
                <w:color w:val="auto"/>
                <w:vertAlign w:val="superscript"/>
              </w:rPr>
              <w:t>(2)</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(117,924)</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(113,129)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(119,047)</w:t>
            </w:r>
          </w:p>
        </w:tc>
        <w:tc>
          <w:tcPr>
            <w:tcW w:w="640" w:type="dxa"/>
            <w:vAlign w:val="bottom"/>
          </w:tcPr>
          <w:p>
            <w:pPr>
              <w:jc w:val="center"/>
              <w:spacing w:after="0"/>
              <w:rPr>
                <w:sz w:val="20"/>
                <w:szCs w:val="20"/>
                <w:color w:val="auto"/>
              </w:rPr>
            </w:pPr>
            <w:r>
              <w:rPr>
                <w:rFonts w:ascii="Arial" w:cs="Arial" w:eastAsia="Arial" w:hAnsi="Arial"/>
                <w:sz w:val="13"/>
                <w:szCs w:val="13"/>
                <w:color w:val="auto"/>
              </w:rPr>
              <w:t>5.2%</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w:t>
            </w:r>
          </w:p>
        </w:tc>
        <w:tc>
          <w:tcPr>
            <w:tcW w:w="760" w:type="dxa"/>
            <w:vAlign w:val="bottom"/>
          </w:tcPr>
          <w:p>
            <w:pPr>
              <w:jc w:val="right"/>
              <w:spacing w:after="0"/>
              <w:rPr>
                <w:sz w:val="20"/>
                <w:szCs w:val="20"/>
                <w:color w:val="auto"/>
              </w:rPr>
            </w:pPr>
            <w:r>
              <w:rPr>
                <w:rFonts w:ascii="Arial" w:cs="Arial" w:eastAsia="Arial" w:hAnsi="Arial"/>
                <w:sz w:val="13"/>
                <w:szCs w:val="13"/>
                <w:color w:val="auto"/>
              </w:rPr>
              <w:t>(437,740)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(447,859)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2.3%</w:t>
            </w:r>
          </w:p>
        </w:tc>
      </w:tr>
      <w:tr>
        <w:trPr>
          <w:trHeight w:val="149"/>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 expenses</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(48,719)</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(43,590)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(59,997)</w:t>
            </w:r>
          </w:p>
        </w:tc>
        <w:tc>
          <w:tcPr>
            <w:tcW w:w="640" w:type="dxa"/>
            <w:vAlign w:val="bottom"/>
          </w:tcPr>
          <w:p>
            <w:pPr>
              <w:jc w:val="center"/>
              <w:spacing w:after="0"/>
              <w:rPr>
                <w:sz w:val="20"/>
                <w:szCs w:val="20"/>
                <w:color w:val="auto"/>
              </w:rPr>
            </w:pPr>
            <w:r>
              <w:rPr>
                <w:rFonts w:ascii="Arial" w:cs="Arial" w:eastAsia="Arial" w:hAnsi="Arial"/>
                <w:sz w:val="13"/>
                <w:szCs w:val="13"/>
                <w:color w:val="auto"/>
              </w:rPr>
              <w:t>37.6%</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23.1%</w:t>
            </w:r>
          </w:p>
        </w:tc>
        <w:tc>
          <w:tcPr>
            <w:tcW w:w="760" w:type="dxa"/>
            <w:vAlign w:val="bottom"/>
          </w:tcPr>
          <w:p>
            <w:pPr>
              <w:jc w:val="right"/>
              <w:spacing w:after="0"/>
              <w:rPr>
                <w:sz w:val="20"/>
                <w:szCs w:val="20"/>
                <w:color w:val="auto"/>
              </w:rPr>
            </w:pPr>
            <w:r>
              <w:rPr>
                <w:rFonts w:ascii="Arial" w:cs="Arial" w:eastAsia="Arial" w:hAnsi="Arial"/>
                <w:sz w:val="13"/>
                <w:szCs w:val="13"/>
                <w:color w:val="auto"/>
              </w:rPr>
              <w:t>(178,800)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(193,654)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8.3%</w:t>
            </w:r>
          </w:p>
        </w:tc>
      </w:tr>
      <w:tr>
        <w:trPr>
          <w:trHeight w:val="185"/>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Total expenses</w:t>
            </w:r>
          </w:p>
        </w:tc>
        <w:tc>
          <w:tcPr>
            <w:tcW w:w="1100" w:type="dxa"/>
            <w:vAlign w:val="bottom"/>
          </w:tcPr>
          <w:p>
            <w:pPr>
              <w:jc w:val="right"/>
              <w:ind w:right="73"/>
              <w:spacing w:after="0"/>
              <w:rPr>
                <w:sz w:val="20"/>
                <w:szCs w:val="20"/>
                <w:color w:val="auto"/>
              </w:rPr>
            </w:pPr>
            <w:r>
              <w:rPr>
                <w:rFonts w:ascii="Arial" w:cs="Arial" w:eastAsia="Arial" w:hAnsi="Arial"/>
                <w:sz w:val="13"/>
                <w:szCs w:val="13"/>
                <w:b w:val="1"/>
                <w:bCs w:val="1"/>
                <w:color w:val="auto"/>
              </w:rPr>
              <w:t>(1,301,455)</w:t>
            </w:r>
          </w:p>
        </w:tc>
        <w:tc>
          <w:tcPr>
            <w:tcW w:w="980" w:type="dxa"/>
            <w:vAlign w:val="bottom"/>
          </w:tcPr>
          <w:p>
            <w:pPr>
              <w:jc w:val="right"/>
              <w:ind w:right="73"/>
              <w:spacing w:after="0"/>
              <w:rPr>
                <w:sz w:val="20"/>
                <w:szCs w:val="20"/>
                <w:color w:val="auto"/>
              </w:rPr>
            </w:pPr>
            <w:r>
              <w:rPr>
                <w:rFonts w:ascii="Arial" w:cs="Arial" w:eastAsia="Arial" w:hAnsi="Arial"/>
                <w:sz w:val="13"/>
                <w:szCs w:val="13"/>
                <w:b w:val="1"/>
                <w:bCs w:val="1"/>
                <w:color w:val="auto"/>
              </w:rPr>
              <w:t>(1,264,866)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(1,480,323)</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17.0%</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13.7%</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(4,485,122)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(5,078,848)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13.2%</w:t>
            </w:r>
          </w:p>
        </w:tc>
      </w:tr>
      <w:tr>
        <w:trPr>
          <w:trHeight w:val="302"/>
        </w:trPr>
        <w:tc>
          <w:tcPr>
            <w:tcW w:w="4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Profit before income tax</w:t>
            </w: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1,388,984</w:t>
            </w:r>
          </w:p>
        </w:tc>
        <w:tc>
          <w:tcPr>
            <w:tcW w:w="980" w:type="dxa"/>
            <w:vAlign w:val="bottom"/>
          </w:tcPr>
          <w:p>
            <w:pPr>
              <w:jc w:val="right"/>
              <w:ind w:right="113"/>
              <w:spacing w:after="0"/>
              <w:rPr>
                <w:sz w:val="20"/>
                <w:szCs w:val="20"/>
                <w:color w:val="auto"/>
              </w:rPr>
            </w:pPr>
            <w:r>
              <w:rPr>
                <w:rFonts w:ascii="Arial" w:cs="Arial" w:eastAsia="Arial" w:hAnsi="Arial"/>
                <w:sz w:val="13"/>
                <w:szCs w:val="13"/>
                <w:b w:val="1"/>
                <w:bCs w:val="1"/>
                <w:color w:val="auto"/>
              </w:rPr>
              <w:t>1,688,340</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1,447,150</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-14.3%</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4.2%</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4,921,012</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6,259,612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27.2%</w:t>
            </w:r>
          </w:p>
        </w:tc>
      </w:tr>
      <w:tr>
        <w:trPr>
          <w:trHeight w:val="268"/>
        </w:trPr>
        <w:tc>
          <w:tcPr>
            <w:tcW w:w="4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Income tax</w:t>
            </w:r>
          </w:p>
        </w:tc>
        <w:tc>
          <w:tcPr>
            <w:tcW w:w="1100" w:type="dxa"/>
            <w:vAlign w:val="bottom"/>
          </w:tcPr>
          <w:p>
            <w:pPr>
              <w:jc w:val="right"/>
              <w:ind w:right="73"/>
              <w:spacing w:after="0"/>
              <w:rPr>
                <w:sz w:val="20"/>
                <w:szCs w:val="20"/>
                <w:color w:val="auto"/>
              </w:rPr>
            </w:pPr>
            <w:r>
              <w:rPr>
                <w:rFonts w:ascii="Arial" w:cs="Arial" w:eastAsia="Arial" w:hAnsi="Arial"/>
                <w:sz w:val="13"/>
                <w:szCs w:val="13"/>
                <w:color w:val="auto"/>
              </w:rPr>
              <w:t>(353,540)</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(398,244)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(385,123)</w:t>
            </w: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-3.3%</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8.9%</w:t>
            </w:r>
          </w:p>
        </w:tc>
        <w:tc>
          <w:tcPr>
            <w:tcW w:w="760" w:type="dxa"/>
            <w:vAlign w:val="bottom"/>
          </w:tcPr>
          <w:p>
            <w:pPr>
              <w:jc w:val="right"/>
              <w:spacing w:after="0"/>
              <w:rPr>
                <w:sz w:val="20"/>
                <w:szCs w:val="20"/>
                <w:color w:val="auto"/>
              </w:rPr>
            </w:pPr>
            <w:r>
              <w:rPr>
                <w:rFonts w:ascii="Arial" w:cs="Arial" w:eastAsia="Arial" w:hAnsi="Arial"/>
                <w:sz w:val="13"/>
                <w:szCs w:val="13"/>
                <w:color w:val="auto"/>
              </w:rPr>
              <w:t>(1,274,774)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(1,594,986)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25.1%</w:t>
            </w:r>
          </w:p>
        </w:tc>
      </w:tr>
      <w:tr>
        <w:trPr>
          <w:trHeight w:val="161"/>
        </w:trPr>
        <w:tc>
          <w:tcPr>
            <w:tcW w:w="4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profit attributable to BCP Stand-alone</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1,035,444</w:t>
            </w: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1,290,096</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1,062,027</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-17.7%</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3,646,238</w:t>
            </w:r>
          </w:p>
        </w:tc>
        <w:tc>
          <w:tcPr>
            <w:tcW w:w="8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4,664,626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27.9%</w:t>
            </w: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BANCO DE CREDITO DEL PERU</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SELECTED FINANCIAL INDICATORS</w:t>
      </w:r>
    </w:p>
    <w:p>
      <w:pPr>
        <w:spacing w:after="0" w:line="171" w:lineRule="exact"/>
        <w:rPr>
          <w:sz w:val="20"/>
          <w:szCs w:val="20"/>
          <w:color w:val="auto"/>
        </w:rPr>
      </w:pPr>
    </w:p>
    <w:tbl>
      <w:tblPr>
        <w:tblLayout w:type="fixed"/>
        <w:tblInd w:w="1150" w:type="dxa"/>
        <w:tblCellMar>
          <w:top w:w="0" w:type="dxa"/>
          <w:left w:w="0" w:type="dxa"/>
          <w:bottom w:w="0" w:type="dxa"/>
          <w:right w:w="0" w:type="dxa"/>
        </w:tblCellMar>
      </w:tblPr>
      <w:tr>
        <w:trPr>
          <w:trHeight w:val="154"/>
        </w:trPr>
        <w:tc>
          <w:tcPr>
            <w:tcW w:w="4080" w:type="dxa"/>
            <w:vAlign w:val="bottom"/>
            <w:tcBorders>
              <w:right w:val="single" w:sz="8" w:color="auto"/>
            </w:tcBorders>
          </w:tcPr>
          <w:p>
            <w:pPr>
              <w:spacing w:after="0"/>
              <w:rPr>
                <w:sz w:val="13"/>
                <w:szCs w:val="13"/>
                <w:color w:val="auto"/>
              </w:rPr>
            </w:pPr>
          </w:p>
        </w:tc>
        <w:tc>
          <w:tcPr>
            <w:tcW w:w="1040" w:type="dxa"/>
            <w:vAlign w:val="bottom"/>
            <w:tcBorders>
              <w:top w:val="single" w:sz="8" w:color="auto"/>
            </w:tcBorders>
            <w:shd w:val="clear" w:color="auto" w:fill="2AD2C9"/>
          </w:tcPr>
          <w:p>
            <w:pPr>
              <w:spacing w:after="0"/>
              <w:rPr>
                <w:sz w:val="13"/>
                <w:szCs w:val="13"/>
                <w:color w:val="auto"/>
              </w:rPr>
            </w:pPr>
          </w:p>
        </w:tc>
        <w:tc>
          <w:tcPr>
            <w:tcW w:w="1060" w:type="dxa"/>
            <w:vAlign w:val="bottom"/>
            <w:tcBorders>
              <w:top w:val="single" w:sz="8" w:color="auto"/>
            </w:tcBorders>
            <w:shd w:val="clear" w:color="auto" w:fill="2AD2C9"/>
          </w:tcPr>
          <w:p>
            <w:pPr>
              <w:ind w:left="300"/>
              <w:spacing w:after="0"/>
              <w:rPr>
                <w:sz w:val="20"/>
                <w:szCs w:val="20"/>
                <w:color w:val="auto"/>
              </w:rPr>
            </w:pPr>
            <w:r>
              <w:rPr>
                <w:rFonts w:ascii="Arial" w:cs="Arial" w:eastAsia="Arial" w:hAnsi="Arial"/>
                <w:sz w:val="13"/>
                <w:szCs w:val="13"/>
                <w:b w:val="1"/>
                <w:bCs w:val="1"/>
                <w:color w:val="FFFFFF"/>
              </w:rPr>
              <w:t>Quarter</w:t>
            </w:r>
          </w:p>
        </w:tc>
        <w:tc>
          <w:tcPr>
            <w:tcW w:w="1100" w:type="dxa"/>
            <w:vAlign w:val="bottom"/>
            <w:tcBorders>
              <w:top w:val="single" w:sz="8" w:color="auto"/>
              <w:right w:val="single" w:sz="8" w:color="auto"/>
            </w:tcBorders>
            <w:shd w:val="clear" w:color="auto" w:fill="2AD2C9"/>
          </w:tcPr>
          <w:p>
            <w:pPr>
              <w:spacing w:after="0"/>
              <w:rPr>
                <w:sz w:val="13"/>
                <w:szCs w:val="13"/>
                <w:color w:val="auto"/>
              </w:rPr>
            </w:pPr>
          </w:p>
        </w:tc>
        <w:tc>
          <w:tcPr>
            <w:tcW w:w="640" w:type="dxa"/>
            <w:vAlign w:val="bottom"/>
            <w:tcBorders>
              <w:top w:val="single" w:sz="8" w:color="auto"/>
            </w:tcBorders>
            <w:shd w:val="clear" w:color="auto" w:fill="2AD2C9"/>
          </w:tcPr>
          <w:p>
            <w:pPr>
              <w:spacing w:after="0"/>
              <w:rPr>
                <w:sz w:val="13"/>
                <w:szCs w:val="13"/>
                <w:color w:val="auto"/>
              </w:rPr>
            </w:pPr>
          </w:p>
        </w:tc>
        <w:tc>
          <w:tcPr>
            <w:tcW w:w="1080" w:type="dxa"/>
            <w:vAlign w:val="bottom"/>
            <w:tcBorders>
              <w:top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As of</w:t>
            </w:r>
          </w:p>
        </w:tc>
      </w:tr>
      <w:tr>
        <w:trPr>
          <w:trHeight w:val="161"/>
        </w:trPr>
        <w:tc>
          <w:tcPr>
            <w:tcW w:w="408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4Q21</w:t>
            </w:r>
          </w:p>
        </w:tc>
        <w:tc>
          <w:tcPr>
            <w:tcW w:w="10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3Q22</w:t>
            </w:r>
          </w:p>
        </w:tc>
        <w:tc>
          <w:tcPr>
            <w:tcW w:w="11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4Q22</w:t>
            </w:r>
          </w:p>
        </w:tc>
        <w:tc>
          <w:tcPr>
            <w:tcW w:w="640" w:type="dxa"/>
            <w:vAlign w:val="bottom"/>
            <w:tcBorders>
              <w:bottom w:val="single" w:sz="8" w:color="auto"/>
            </w:tcBorders>
            <w:shd w:val="clear" w:color="auto" w:fill="2AD2C9"/>
          </w:tcPr>
          <w:p>
            <w:pPr>
              <w:jc w:val="center"/>
              <w:ind w:left="93"/>
              <w:spacing w:after="0"/>
              <w:rPr>
                <w:sz w:val="20"/>
                <w:szCs w:val="20"/>
                <w:color w:val="auto"/>
              </w:rPr>
            </w:pPr>
            <w:r>
              <w:rPr>
                <w:rFonts w:ascii="Arial" w:cs="Arial" w:eastAsia="Arial" w:hAnsi="Arial"/>
                <w:sz w:val="13"/>
                <w:szCs w:val="13"/>
                <w:b w:val="1"/>
                <w:bCs w:val="1"/>
                <w:color w:val="FFFFFF"/>
                <w:w w:val="96"/>
              </w:rPr>
              <w:t>2021</w:t>
            </w:r>
          </w:p>
        </w:tc>
        <w:tc>
          <w:tcPr>
            <w:tcW w:w="1080" w:type="dxa"/>
            <w:vAlign w:val="bottom"/>
            <w:tcBorders>
              <w:bottom w:val="single" w:sz="8" w:color="auto"/>
              <w:right w:val="single" w:sz="8" w:color="auto"/>
            </w:tcBorders>
            <w:shd w:val="clear" w:color="auto" w:fill="2AD2C9"/>
          </w:tcPr>
          <w:p>
            <w:pPr>
              <w:jc w:val="center"/>
              <w:ind w:left="73"/>
              <w:spacing w:after="0"/>
              <w:rPr>
                <w:sz w:val="20"/>
                <w:szCs w:val="20"/>
                <w:color w:val="auto"/>
              </w:rPr>
            </w:pPr>
            <w:r>
              <w:rPr>
                <w:rFonts w:ascii="Arial" w:cs="Arial" w:eastAsia="Arial" w:hAnsi="Arial"/>
                <w:sz w:val="13"/>
                <w:szCs w:val="13"/>
                <w:b w:val="1"/>
                <w:bCs w:val="1"/>
                <w:color w:val="FFFFFF"/>
              </w:rPr>
              <w:t>2022</w:t>
            </w:r>
          </w:p>
        </w:tc>
      </w:tr>
      <w:tr>
        <w:trPr>
          <w:trHeight w:val="121"/>
        </w:trPr>
        <w:tc>
          <w:tcPr>
            <w:tcW w:w="4080" w:type="dxa"/>
            <w:vAlign w:val="bottom"/>
            <w:tcBorders>
              <w:left w:val="single" w:sz="8" w:color="auto"/>
              <w:right w:val="single" w:sz="8" w:color="auto"/>
            </w:tcBorders>
          </w:tcPr>
          <w:p>
            <w:pPr>
              <w:spacing w:after="0" w:line="121" w:lineRule="exact"/>
              <w:rPr>
                <w:sz w:val="20"/>
                <w:szCs w:val="20"/>
                <w:color w:val="auto"/>
              </w:rPr>
            </w:pPr>
            <w:r>
              <w:rPr>
                <w:rFonts w:ascii="Arial" w:cs="Arial" w:eastAsia="Arial" w:hAnsi="Arial"/>
                <w:sz w:val="13"/>
                <w:szCs w:val="13"/>
                <w:b w:val="1"/>
                <w:bCs w:val="1"/>
                <w:color w:val="auto"/>
              </w:rPr>
              <w:t>Profitability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r>
      <w:tr>
        <w:trPr>
          <w:trHeight w:val="151"/>
        </w:trPr>
        <w:tc>
          <w:tcPr>
            <w:tcW w:w="4080" w:type="dxa"/>
            <w:vAlign w:val="bottom"/>
            <w:tcBorders>
              <w:left w:val="single" w:sz="8" w:color="auto"/>
              <w:right w:val="single" w:sz="8" w:color="auto"/>
            </w:tcBorders>
          </w:tcPr>
          <w:p>
            <w:pPr>
              <w:spacing w:after="0" w:line="151" w:lineRule="exact"/>
              <w:rPr>
                <w:sz w:val="20"/>
                <w:szCs w:val="20"/>
                <w:color w:val="auto"/>
              </w:rPr>
            </w:pPr>
            <w:r>
              <w:rPr>
                <w:rFonts w:ascii="Arial" w:cs="Arial" w:eastAsia="Arial" w:hAnsi="Arial"/>
                <w:sz w:val="17"/>
                <w:szCs w:val="17"/>
                <w:color w:val="auto"/>
                <w:vertAlign w:val="subscript"/>
              </w:rPr>
              <w:t>ROAA</w:t>
            </w:r>
            <w:r>
              <w:rPr>
                <w:rFonts w:ascii="Arial" w:cs="Arial" w:eastAsia="Arial" w:hAnsi="Arial"/>
                <w:sz w:val="9"/>
                <w:szCs w:val="9"/>
                <w:color w:val="auto"/>
              </w:rPr>
              <w:t xml:space="preserve"> (2)(3)</w:t>
            </w:r>
          </w:p>
        </w:tc>
        <w:tc>
          <w:tcPr>
            <w:tcW w:w="1040" w:type="dxa"/>
            <w:vAlign w:val="bottom"/>
          </w:tcPr>
          <w:p>
            <w:pPr>
              <w:jc w:val="center"/>
              <w:spacing w:after="0"/>
              <w:rPr>
                <w:sz w:val="20"/>
                <w:szCs w:val="20"/>
                <w:color w:val="auto"/>
              </w:rPr>
            </w:pPr>
            <w:r>
              <w:rPr>
                <w:rFonts w:ascii="Arial" w:cs="Arial" w:eastAsia="Arial" w:hAnsi="Arial"/>
                <w:sz w:val="13"/>
                <w:szCs w:val="13"/>
                <w:color w:val="auto"/>
              </w:rPr>
              <w:t>2.2%</w:t>
            </w:r>
          </w:p>
        </w:tc>
        <w:tc>
          <w:tcPr>
            <w:tcW w:w="1060" w:type="dxa"/>
            <w:vAlign w:val="bottom"/>
          </w:tcPr>
          <w:p>
            <w:pPr>
              <w:jc w:val="center"/>
              <w:spacing w:after="0"/>
              <w:rPr>
                <w:sz w:val="20"/>
                <w:szCs w:val="20"/>
                <w:color w:val="auto"/>
              </w:rPr>
            </w:pPr>
            <w:r>
              <w:rPr>
                <w:rFonts w:ascii="Arial" w:cs="Arial" w:eastAsia="Arial" w:hAnsi="Arial"/>
                <w:sz w:val="13"/>
                <w:szCs w:val="13"/>
                <w:color w:val="auto"/>
              </w:rPr>
              <w:t>2.8%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2.3%</w:t>
            </w:r>
          </w:p>
        </w:tc>
        <w:tc>
          <w:tcPr>
            <w:tcW w:w="640" w:type="dxa"/>
            <w:vAlign w:val="bottom"/>
          </w:tcPr>
          <w:p>
            <w:pPr>
              <w:jc w:val="center"/>
              <w:ind w:left="93"/>
              <w:spacing w:after="0"/>
              <w:rPr>
                <w:sz w:val="20"/>
                <w:szCs w:val="20"/>
                <w:color w:val="auto"/>
              </w:rPr>
            </w:pPr>
            <w:r>
              <w:rPr>
                <w:rFonts w:ascii="Arial" w:cs="Arial" w:eastAsia="Arial" w:hAnsi="Arial"/>
                <w:sz w:val="13"/>
                <w:szCs w:val="13"/>
                <w:color w:val="auto"/>
              </w:rPr>
              <w:t>2.0%</w:t>
            </w:r>
          </w:p>
        </w:tc>
        <w:tc>
          <w:tcPr>
            <w:tcW w:w="1080" w:type="dxa"/>
            <w:vAlign w:val="bottom"/>
            <w:tcBorders>
              <w:right w:val="single" w:sz="8" w:color="auto"/>
            </w:tcBorders>
          </w:tcPr>
          <w:p>
            <w:pPr>
              <w:jc w:val="center"/>
              <w:ind w:left="73"/>
              <w:spacing w:after="0"/>
              <w:rPr>
                <w:sz w:val="20"/>
                <w:szCs w:val="20"/>
                <w:color w:val="auto"/>
              </w:rPr>
            </w:pPr>
            <w:r>
              <w:rPr>
                <w:rFonts w:ascii="Arial" w:cs="Arial" w:eastAsia="Arial" w:hAnsi="Arial"/>
                <w:sz w:val="13"/>
                <w:szCs w:val="13"/>
                <w:color w:val="auto"/>
              </w:rPr>
              <w:t>2.5%</w:t>
            </w:r>
          </w:p>
        </w:tc>
      </w:tr>
      <w:tr>
        <w:trPr>
          <w:trHeight w:val="151"/>
        </w:trPr>
        <w:tc>
          <w:tcPr>
            <w:tcW w:w="4080" w:type="dxa"/>
            <w:vAlign w:val="bottom"/>
            <w:tcBorders>
              <w:left w:val="single" w:sz="8" w:color="auto"/>
              <w:right w:val="single" w:sz="8" w:color="auto"/>
            </w:tcBorders>
          </w:tcPr>
          <w:p>
            <w:pPr>
              <w:spacing w:after="0" w:line="151" w:lineRule="exact"/>
              <w:rPr>
                <w:sz w:val="20"/>
                <w:szCs w:val="20"/>
                <w:color w:val="auto"/>
              </w:rPr>
            </w:pPr>
            <w:r>
              <w:rPr>
                <w:rFonts w:ascii="Arial" w:cs="Arial" w:eastAsia="Arial" w:hAnsi="Arial"/>
                <w:sz w:val="17"/>
                <w:szCs w:val="17"/>
                <w:color w:val="auto"/>
                <w:vertAlign w:val="subscript"/>
              </w:rPr>
              <w:t>ROAE</w:t>
            </w:r>
            <w:r>
              <w:rPr>
                <w:rFonts w:ascii="Arial" w:cs="Arial" w:eastAsia="Arial" w:hAnsi="Arial"/>
                <w:sz w:val="9"/>
                <w:szCs w:val="9"/>
                <w:color w:val="auto"/>
              </w:rPr>
              <w:t xml:space="preserve"> (2)(3)</w:t>
            </w:r>
          </w:p>
        </w:tc>
        <w:tc>
          <w:tcPr>
            <w:tcW w:w="1040" w:type="dxa"/>
            <w:vAlign w:val="bottom"/>
          </w:tcPr>
          <w:p>
            <w:pPr>
              <w:jc w:val="center"/>
              <w:spacing w:after="0"/>
              <w:rPr>
                <w:sz w:val="20"/>
                <w:szCs w:val="20"/>
                <w:color w:val="auto"/>
              </w:rPr>
            </w:pPr>
            <w:r>
              <w:rPr>
                <w:rFonts w:ascii="Arial" w:cs="Arial" w:eastAsia="Arial" w:hAnsi="Arial"/>
                <w:sz w:val="13"/>
                <w:szCs w:val="13"/>
                <w:color w:val="auto"/>
              </w:rPr>
              <w:t>20.6%</w:t>
            </w:r>
          </w:p>
        </w:tc>
        <w:tc>
          <w:tcPr>
            <w:tcW w:w="1060" w:type="dxa"/>
            <w:vAlign w:val="bottom"/>
          </w:tcPr>
          <w:p>
            <w:pPr>
              <w:jc w:val="center"/>
              <w:spacing w:after="0"/>
              <w:rPr>
                <w:sz w:val="20"/>
                <w:szCs w:val="20"/>
                <w:color w:val="auto"/>
              </w:rPr>
            </w:pPr>
            <w:r>
              <w:rPr>
                <w:rFonts w:ascii="Arial" w:cs="Arial" w:eastAsia="Arial" w:hAnsi="Arial"/>
                <w:sz w:val="13"/>
                <w:szCs w:val="13"/>
                <w:color w:val="auto"/>
              </w:rPr>
              <w:t>24.0%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18.8%</w:t>
            </w:r>
          </w:p>
        </w:tc>
        <w:tc>
          <w:tcPr>
            <w:tcW w:w="640" w:type="dxa"/>
            <w:vAlign w:val="bottom"/>
          </w:tcPr>
          <w:p>
            <w:pPr>
              <w:jc w:val="center"/>
              <w:ind w:left="73"/>
              <w:spacing w:after="0"/>
              <w:rPr>
                <w:sz w:val="20"/>
                <w:szCs w:val="20"/>
                <w:color w:val="auto"/>
              </w:rPr>
            </w:pPr>
            <w:r>
              <w:rPr>
                <w:rFonts w:ascii="Arial" w:cs="Arial" w:eastAsia="Arial" w:hAnsi="Arial"/>
                <w:sz w:val="13"/>
                <w:szCs w:val="13"/>
                <w:color w:val="auto"/>
              </w:rPr>
              <w:t>18.8%</w:t>
            </w:r>
          </w:p>
        </w:tc>
        <w:tc>
          <w:tcPr>
            <w:tcW w:w="1080" w:type="dxa"/>
            <w:vAlign w:val="bottom"/>
            <w:tcBorders>
              <w:right w:val="single" w:sz="8" w:color="auto"/>
            </w:tcBorders>
          </w:tcPr>
          <w:p>
            <w:pPr>
              <w:jc w:val="center"/>
              <w:ind w:left="73"/>
              <w:spacing w:after="0"/>
              <w:rPr>
                <w:sz w:val="20"/>
                <w:szCs w:val="20"/>
                <w:color w:val="auto"/>
              </w:rPr>
            </w:pPr>
            <w:r>
              <w:rPr>
                <w:rFonts w:ascii="Arial" w:cs="Arial" w:eastAsia="Arial" w:hAnsi="Arial"/>
                <w:sz w:val="13"/>
                <w:szCs w:val="13"/>
                <w:color w:val="auto"/>
              </w:rPr>
              <w:t>21.3%</w:t>
            </w:r>
          </w:p>
        </w:tc>
      </w:tr>
      <w:tr>
        <w:trPr>
          <w:trHeight w:val="151"/>
        </w:trPr>
        <w:tc>
          <w:tcPr>
            <w:tcW w:w="4080" w:type="dxa"/>
            <w:vAlign w:val="bottom"/>
            <w:tcBorders>
              <w:left w:val="single" w:sz="8" w:color="auto"/>
              <w:right w:val="single" w:sz="8" w:color="auto"/>
            </w:tcBorders>
          </w:tcPr>
          <w:p>
            <w:pPr>
              <w:spacing w:after="0" w:line="151"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7"/>
                <w:szCs w:val="17"/>
                <w:color w:val="auto"/>
                <w:vertAlign w:val="superscript"/>
              </w:rPr>
              <w:t>(2)(3)</w:t>
            </w:r>
          </w:p>
        </w:tc>
        <w:tc>
          <w:tcPr>
            <w:tcW w:w="1040" w:type="dxa"/>
            <w:vAlign w:val="bottom"/>
          </w:tcPr>
          <w:p>
            <w:pPr>
              <w:jc w:val="center"/>
              <w:spacing w:after="0"/>
              <w:rPr>
                <w:sz w:val="20"/>
                <w:szCs w:val="20"/>
                <w:color w:val="auto"/>
              </w:rPr>
            </w:pPr>
            <w:r>
              <w:rPr>
                <w:rFonts w:ascii="Arial" w:cs="Arial" w:eastAsia="Arial" w:hAnsi="Arial"/>
                <w:sz w:val="13"/>
                <w:szCs w:val="13"/>
                <w:color w:val="auto"/>
              </w:rPr>
              <w:t>3.68%</w:t>
            </w:r>
          </w:p>
        </w:tc>
        <w:tc>
          <w:tcPr>
            <w:tcW w:w="1060" w:type="dxa"/>
            <w:vAlign w:val="bottom"/>
          </w:tcPr>
          <w:p>
            <w:pPr>
              <w:jc w:val="center"/>
              <w:spacing w:after="0"/>
              <w:rPr>
                <w:sz w:val="20"/>
                <w:szCs w:val="20"/>
                <w:color w:val="auto"/>
              </w:rPr>
            </w:pPr>
            <w:r>
              <w:rPr>
                <w:rFonts w:ascii="Arial" w:cs="Arial" w:eastAsia="Arial" w:hAnsi="Arial"/>
                <w:sz w:val="13"/>
                <w:szCs w:val="13"/>
                <w:color w:val="auto"/>
              </w:rPr>
              <w:t>4.83%</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5.41%</w:t>
            </w:r>
          </w:p>
        </w:tc>
        <w:tc>
          <w:tcPr>
            <w:tcW w:w="640" w:type="dxa"/>
            <w:vAlign w:val="bottom"/>
          </w:tcPr>
          <w:p>
            <w:pPr>
              <w:jc w:val="center"/>
              <w:ind w:left="73"/>
              <w:spacing w:after="0"/>
              <w:rPr>
                <w:sz w:val="20"/>
                <w:szCs w:val="20"/>
                <w:color w:val="auto"/>
              </w:rPr>
            </w:pPr>
            <w:r>
              <w:rPr>
                <w:rFonts w:ascii="Arial" w:cs="Arial" w:eastAsia="Arial" w:hAnsi="Arial"/>
                <w:sz w:val="13"/>
                <w:szCs w:val="13"/>
                <w:color w:val="auto"/>
              </w:rPr>
              <w:t>3.52%</w:t>
            </w:r>
          </w:p>
        </w:tc>
        <w:tc>
          <w:tcPr>
            <w:tcW w:w="1080" w:type="dxa"/>
            <w:vAlign w:val="bottom"/>
            <w:tcBorders>
              <w:right w:val="single" w:sz="8" w:color="auto"/>
            </w:tcBorders>
          </w:tcPr>
          <w:p>
            <w:pPr>
              <w:jc w:val="center"/>
              <w:ind w:left="73"/>
              <w:spacing w:after="0"/>
              <w:rPr>
                <w:sz w:val="20"/>
                <w:szCs w:val="20"/>
                <w:color w:val="auto"/>
              </w:rPr>
            </w:pPr>
            <w:r>
              <w:rPr>
                <w:rFonts w:ascii="Arial" w:cs="Arial" w:eastAsia="Arial" w:hAnsi="Arial"/>
                <w:sz w:val="13"/>
                <w:szCs w:val="13"/>
                <w:color w:val="auto"/>
              </w:rPr>
              <w:t>4.57%</w:t>
            </w:r>
          </w:p>
        </w:tc>
      </w:tr>
      <w:tr>
        <w:trPr>
          <w:trHeight w:val="151"/>
        </w:trPr>
        <w:tc>
          <w:tcPr>
            <w:tcW w:w="4080" w:type="dxa"/>
            <w:vAlign w:val="bottom"/>
            <w:tcBorders>
              <w:left w:val="single" w:sz="8" w:color="auto"/>
              <w:right w:val="single" w:sz="8" w:color="auto"/>
            </w:tcBorders>
          </w:tcPr>
          <w:p>
            <w:pPr>
              <w:spacing w:after="0" w:line="151" w:lineRule="exact"/>
              <w:rPr>
                <w:sz w:val="20"/>
                <w:szCs w:val="20"/>
                <w:color w:val="auto"/>
              </w:rPr>
            </w:pPr>
            <w:r>
              <w:rPr>
                <w:rFonts w:ascii="Arial" w:cs="Arial" w:eastAsia="Arial" w:hAnsi="Arial"/>
                <w:sz w:val="11"/>
                <w:szCs w:val="11"/>
                <w:color w:val="auto"/>
              </w:rPr>
              <w:t xml:space="preserve">Risk adjusted NIM </w:t>
            </w:r>
            <w:r>
              <w:rPr>
                <w:rFonts w:ascii="Arial" w:cs="Arial" w:eastAsia="Arial" w:hAnsi="Arial"/>
                <w:sz w:val="17"/>
                <w:szCs w:val="17"/>
                <w:color w:val="auto"/>
                <w:vertAlign w:val="superscript"/>
              </w:rPr>
              <w:t>(2)(3)</w:t>
            </w:r>
          </w:p>
        </w:tc>
        <w:tc>
          <w:tcPr>
            <w:tcW w:w="1040" w:type="dxa"/>
            <w:vAlign w:val="bottom"/>
          </w:tcPr>
          <w:p>
            <w:pPr>
              <w:jc w:val="center"/>
              <w:spacing w:after="0"/>
              <w:rPr>
                <w:sz w:val="20"/>
                <w:szCs w:val="20"/>
                <w:color w:val="auto"/>
              </w:rPr>
            </w:pPr>
            <w:r>
              <w:rPr>
                <w:rFonts w:ascii="Arial" w:cs="Arial" w:eastAsia="Arial" w:hAnsi="Arial"/>
                <w:sz w:val="13"/>
                <w:szCs w:val="13"/>
                <w:color w:val="auto"/>
              </w:rPr>
              <w:t>3.48%</w:t>
            </w:r>
          </w:p>
        </w:tc>
        <w:tc>
          <w:tcPr>
            <w:tcW w:w="1060" w:type="dxa"/>
            <w:vAlign w:val="bottom"/>
          </w:tcPr>
          <w:p>
            <w:pPr>
              <w:jc w:val="center"/>
              <w:spacing w:after="0"/>
              <w:rPr>
                <w:sz w:val="20"/>
                <w:szCs w:val="20"/>
                <w:color w:val="auto"/>
              </w:rPr>
            </w:pPr>
            <w:r>
              <w:rPr>
                <w:rFonts w:ascii="Arial" w:cs="Arial" w:eastAsia="Arial" w:hAnsi="Arial"/>
                <w:sz w:val="13"/>
                <w:szCs w:val="13"/>
                <w:color w:val="auto"/>
              </w:rPr>
              <w:t>4.01%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4.24%</w:t>
            </w:r>
          </w:p>
        </w:tc>
        <w:tc>
          <w:tcPr>
            <w:tcW w:w="640" w:type="dxa"/>
            <w:vAlign w:val="bottom"/>
          </w:tcPr>
          <w:p>
            <w:pPr>
              <w:jc w:val="center"/>
              <w:ind w:left="73"/>
              <w:spacing w:after="0"/>
              <w:rPr>
                <w:sz w:val="20"/>
                <w:szCs w:val="20"/>
                <w:color w:val="auto"/>
              </w:rPr>
            </w:pPr>
            <w:r>
              <w:rPr>
                <w:rFonts w:ascii="Arial" w:cs="Arial" w:eastAsia="Arial" w:hAnsi="Arial"/>
                <w:sz w:val="13"/>
                <w:szCs w:val="13"/>
                <w:color w:val="auto"/>
              </w:rPr>
              <w:t>3.07%</w:t>
            </w:r>
          </w:p>
        </w:tc>
        <w:tc>
          <w:tcPr>
            <w:tcW w:w="1080" w:type="dxa"/>
            <w:vAlign w:val="bottom"/>
            <w:tcBorders>
              <w:right w:val="single" w:sz="8" w:color="auto"/>
            </w:tcBorders>
          </w:tcPr>
          <w:p>
            <w:pPr>
              <w:jc w:val="center"/>
              <w:ind w:left="73"/>
              <w:spacing w:after="0"/>
              <w:rPr>
                <w:sz w:val="20"/>
                <w:szCs w:val="20"/>
                <w:color w:val="auto"/>
              </w:rPr>
            </w:pPr>
            <w:r>
              <w:rPr>
                <w:rFonts w:ascii="Arial" w:cs="Arial" w:eastAsia="Arial" w:hAnsi="Arial"/>
                <w:sz w:val="13"/>
                <w:szCs w:val="13"/>
                <w:color w:val="auto"/>
              </w:rPr>
              <w:t>3.87%</w:t>
            </w:r>
          </w:p>
        </w:tc>
      </w:tr>
      <w:tr>
        <w:trPr>
          <w:trHeight w:val="299"/>
        </w:trPr>
        <w:tc>
          <w:tcPr>
            <w:tcW w:w="4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 xml:space="preserve">Funding Cost </w:t>
            </w:r>
            <w:r>
              <w:rPr>
                <w:rFonts w:ascii="Arial" w:cs="Arial" w:eastAsia="Arial" w:hAnsi="Arial"/>
                <w:sz w:val="22"/>
                <w:szCs w:val="22"/>
                <w:color w:val="auto"/>
                <w:vertAlign w:val="superscript"/>
              </w:rPr>
              <w:t>(2)(3)(4)</w:t>
            </w:r>
          </w:p>
        </w:tc>
        <w:tc>
          <w:tcPr>
            <w:tcW w:w="1040" w:type="dxa"/>
            <w:vAlign w:val="bottom"/>
          </w:tcPr>
          <w:p>
            <w:pPr>
              <w:jc w:val="center"/>
              <w:spacing w:after="0"/>
              <w:rPr>
                <w:sz w:val="20"/>
                <w:szCs w:val="20"/>
                <w:color w:val="auto"/>
              </w:rPr>
            </w:pPr>
            <w:r>
              <w:rPr>
                <w:rFonts w:ascii="Arial" w:cs="Arial" w:eastAsia="Arial" w:hAnsi="Arial"/>
                <w:sz w:val="13"/>
                <w:szCs w:val="13"/>
                <w:color w:val="auto"/>
              </w:rPr>
              <w:t>0.98%</w:t>
            </w:r>
          </w:p>
        </w:tc>
        <w:tc>
          <w:tcPr>
            <w:tcW w:w="1060" w:type="dxa"/>
            <w:vAlign w:val="bottom"/>
          </w:tcPr>
          <w:p>
            <w:pPr>
              <w:jc w:val="center"/>
              <w:spacing w:after="0"/>
              <w:rPr>
                <w:sz w:val="20"/>
                <w:szCs w:val="20"/>
                <w:color w:val="auto"/>
              </w:rPr>
            </w:pPr>
            <w:r>
              <w:rPr>
                <w:rFonts w:ascii="Arial" w:cs="Arial" w:eastAsia="Arial" w:hAnsi="Arial"/>
                <w:sz w:val="13"/>
                <w:szCs w:val="13"/>
                <w:color w:val="auto"/>
              </w:rPr>
              <w:t>1.69%</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1.93%</w:t>
            </w:r>
          </w:p>
        </w:tc>
        <w:tc>
          <w:tcPr>
            <w:tcW w:w="640" w:type="dxa"/>
            <w:vAlign w:val="bottom"/>
          </w:tcPr>
          <w:p>
            <w:pPr>
              <w:jc w:val="center"/>
              <w:ind w:left="73"/>
              <w:spacing w:after="0"/>
              <w:rPr>
                <w:sz w:val="20"/>
                <w:szCs w:val="20"/>
                <w:color w:val="auto"/>
              </w:rPr>
            </w:pPr>
            <w:r>
              <w:rPr>
                <w:rFonts w:ascii="Arial" w:cs="Arial" w:eastAsia="Arial" w:hAnsi="Arial"/>
                <w:sz w:val="13"/>
                <w:szCs w:val="13"/>
                <w:color w:val="auto"/>
              </w:rPr>
              <w:t>1.03%</w:t>
            </w:r>
          </w:p>
        </w:tc>
        <w:tc>
          <w:tcPr>
            <w:tcW w:w="1080" w:type="dxa"/>
            <w:vAlign w:val="bottom"/>
            <w:tcBorders>
              <w:right w:val="single" w:sz="8" w:color="auto"/>
            </w:tcBorders>
          </w:tcPr>
          <w:p>
            <w:pPr>
              <w:jc w:val="center"/>
              <w:ind w:left="73"/>
              <w:spacing w:after="0"/>
              <w:rPr>
                <w:sz w:val="20"/>
                <w:szCs w:val="20"/>
                <w:color w:val="auto"/>
              </w:rPr>
            </w:pPr>
            <w:r>
              <w:rPr>
                <w:rFonts w:ascii="Arial" w:cs="Arial" w:eastAsia="Arial" w:hAnsi="Arial"/>
                <w:sz w:val="13"/>
                <w:szCs w:val="13"/>
                <w:color w:val="auto"/>
              </w:rPr>
              <w:t>1.47%</w:t>
            </w:r>
          </w:p>
        </w:tc>
      </w:tr>
      <w:tr>
        <w:trPr>
          <w:trHeight w:val="170"/>
        </w:trPr>
        <w:tc>
          <w:tcPr>
            <w:tcW w:w="4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Quality of loan portfolio</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r>
      <w:tr>
        <w:trPr>
          <w:trHeight w:val="151"/>
        </w:trPr>
        <w:tc>
          <w:tcPr>
            <w:tcW w:w="4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IOL ratio</w:t>
            </w:r>
          </w:p>
        </w:tc>
        <w:tc>
          <w:tcPr>
            <w:tcW w:w="1040" w:type="dxa"/>
            <w:vAlign w:val="bottom"/>
          </w:tcPr>
          <w:p>
            <w:pPr>
              <w:jc w:val="center"/>
              <w:spacing w:after="0"/>
              <w:rPr>
                <w:sz w:val="20"/>
                <w:szCs w:val="20"/>
                <w:color w:val="auto"/>
              </w:rPr>
            </w:pPr>
            <w:r>
              <w:rPr>
                <w:rFonts w:ascii="Arial" w:cs="Arial" w:eastAsia="Arial" w:hAnsi="Arial"/>
                <w:sz w:val="13"/>
                <w:szCs w:val="13"/>
                <w:color w:val="auto"/>
              </w:rPr>
              <w:t>3.67%</w:t>
            </w:r>
          </w:p>
        </w:tc>
        <w:tc>
          <w:tcPr>
            <w:tcW w:w="1060" w:type="dxa"/>
            <w:vAlign w:val="bottom"/>
          </w:tcPr>
          <w:p>
            <w:pPr>
              <w:jc w:val="center"/>
              <w:spacing w:after="0"/>
              <w:rPr>
                <w:sz w:val="20"/>
                <w:szCs w:val="20"/>
                <w:color w:val="auto"/>
              </w:rPr>
            </w:pPr>
            <w:r>
              <w:rPr>
                <w:rFonts w:ascii="Arial" w:cs="Arial" w:eastAsia="Arial" w:hAnsi="Arial"/>
                <w:sz w:val="13"/>
                <w:szCs w:val="13"/>
                <w:color w:val="auto"/>
              </w:rPr>
              <w:t>4.00%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3.93%</w:t>
            </w:r>
          </w:p>
        </w:tc>
        <w:tc>
          <w:tcPr>
            <w:tcW w:w="640" w:type="dxa"/>
            <w:vAlign w:val="bottom"/>
          </w:tcPr>
          <w:p>
            <w:pPr>
              <w:jc w:val="center"/>
              <w:ind w:left="73"/>
              <w:spacing w:after="0"/>
              <w:rPr>
                <w:sz w:val="20"/>
                <w:szCs w:val="20"/>
                <w:color w:val="auto"/>
              </w:rPr>
            </w:pPr>
            <w:r>
              <w:rPr>
                <w:rFonts w:ascii="Arial" w:cs="Arial" w:eastAsia="Arial" w:hAnsi="Arial"/>
                <w:sz w:val="13"/>
                <w:szCs w:val="13"/>
                <w:color w:val="auto"/>
              </w:rPr>
              <w:t>3.67%</w:t>
            </w:r>
          </w:p>
        </w:tc>
        <w:tc>
          <w:tcPr>
            <w:tcW w:w="1080" w:type="dxa"/>
            <w:vAlign w:val="bottom"/>
            <w:tcBorders>
              <w:right w:val="single" w:sz="8" w:color="auto"/>
            </w:tcBorders>
          </w:tcPr>
          <w:p>
            <w:pPr>
              <w:jc w:val="center"/>
              <w:ind w:left="73"/>
              <w:spacing w:after="0"/>
              <w:rPr>
                <w:sz w:val="20"/>
                <w:szCs w:val="20"/>
                <w:color w:val="auto"/>
              </w:rPr>
            </w:pPr>
            <w:r>
              <w:rPr>
                <w:rFonts w:ascii="Arial" w:cs="Arial" w:eastAsia="Arial" w:hAnsi="Arial"/>
                <w:sz w:val="13"/>
                <w:szCs w:val="13"/>
                <w:color w:val="auto"/>
              </w:rPr>
              <w:t>3.93%</w:t>
            </w:r>
          </w:p>
        </w:tc>
      </w:tr>
      <w:tr>
        <w:trPr>
          <w:trHeight w:val="151"/>
        </w:trPr>
        <w:tc>
          <w:tcPr>
            <w:tcW w:w="4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NPL ratio</w:t>
            </w:r>
          </w:p>
        </w:tc>
        <w:tc>
          <w:tcPr>
            <w:tcW w:w="1040" w:type="dxa"/>
            <w:vAlign w:val="bottom"/>
          </w:tcPr>
          <w:p>
            <w:pPr>
              <w:jc w:val="center"/>
              <w:spacing w:after="0"/>
              <w:rPr>
                <w:sz w:val="20"/>
                <w:szCs w:val="20"/>
                <w:color w:val="auto"/>
              </w:rPr>
            </w:pPr>
            <w:r>
              <w:rPr>
                <w:rFonts w:ascii="Arial" w:cs="Arial" w:eastAsia="Arial" w:hAnsi="Arial"/>
                <w:sz w:val="13"/>
                <w:szCs w:val="13"/>
                <w:color w:val="auto"/>
              </w:rPr>
              <w:t>5.04%</w:t>
            </w:r>
          </w:p>
        </w:tc>
        <w:tc>
          <w:tcPr>
            <w:tcW w:w="1060" w:type="dxa"/>
            <w:vAlign w:val="bottom"/>
          </w:tcPr>
          <w:p>
            <w:pPr>
              <w:jc w:val="center"/>
              <w:spacing w:after="0"/>
              <w:rPr>
                <w:sz w:val="20"/>
                <w:szCs w:val="20"/>
                <w:color w:val="auto"/>
              </w:rPr>
            </w:pPr>
            <w:r>
              <w:rPr>
                <w:rFonts w:ascii="Arial" w:cs="Arial" w:eastAsia="Arial" w:hAnsi="Arial"/>
                <w:sz w:val="13"/>
                <w:szCs w:val="13"/>
                <w:color w:val="auto"/>
              </w:rPr>
              <w:t>5.34%</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5.53%</w:t>
            </w:r>
          </w:p>
        </w:tc>
        <w:tc>
          <w:tcPr>
            <w:tcW w:w="640" w:type="dxa"/>
            <w:vAlign w:val="bottom"/>
          </w:tcPr>
          <w:p>
            <w:pPr>
              <w:jc w:val="center"/>
              <w:ind w:left="73"/>
              <w:spacing w:after="0"/>
              <w:rPr>
                <w:sz w:val="20"/>
                <w:szCs w:val="20"/>
                <w:color w:val="auto"/>
              </w:rPr>
            </w:pPr>
            <w:r>
              <w:rPr>
                <w:rFonts w:ascii="Arial" w:cs="Arial" w:eastAsia="Arial" w:hAnsi="Arial"/>
                <w:sz w:val="13"/>
                <w:szCs w:val="13"/>
                <w:color w:val="auto"/>
              </w:rPr>
              <w:t>5.04%</w:t>
            </w:r>
          </w:p>
        </w:tc>
        <w:tc>
          <w:tcPr>
            <w:tcW w:w="1080" w:type="dxa"/>
            <w:vAlign w:val="bottom"/>
            <w:tcBorders>
              <w:right w:val="single" w:sz="8" w:color="auto"/>
            </w:tcBorders>
          </w:tcPr>
          <w:p>
            <w:pPr>
              <w:jc w:val="center"/>
              <w:ind w:left="73"/>
              <w:spacing w:after="0"/>
              <w:rPr>
                <w:sz w:val="20"/>
                <w:szCs w:val="20"/>
                <w:color w:val="auto"/>
              </w:rPr>
            </w:pPr>
            <w:r>
              <w:rPr>
                <w:rFonts w:ascii="Arial" w:cs="Arial" w:eastAsia="Arial" w:hAnsi="Arial"/>
                <w:sz w:val="13"/>
                <w:szCs w:val="13"/>
                <w:color w:val="auto"/>
              </w:rPr>
              <w:t>5.53%</w:t>
            </w:r>
          </w:p>
        </w:tc>
      </w:tr>
      <w:tr>
        <w:trPr>
          <w:trHeight w:val="151"/>
        </w:trPr>
        <w:tc>
          <w:tcPr>
            <w:tcW w:w="4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Coverage of IOLs</w:t>
            </w:r>
          </w:p>
        </w:tc>
        <w:tc>
          <w:tcPr>
            <w:tcW w:w="1040" w:type="dxa"/>
            <w:vAlign w:val="bottom"/>
          </w:tcPr>
          <w:p>
            <w:pPr>
              <w:jc w:val="center"/>
              <w:spacing w:after="0"/>
              <w:rPr>
                <w:sz w:val="20"/>
                <w:szCs w:val="20"/>
                <w:color w:val="auto"/>
              </w:rPr>
            </w:pPr>
            <w:r>
              <w:rPr>
                <w:rFonts w:ascii="Arial" w:cs="Arial" w:eastAsia="Arial" w:hAnsi="Arial"/>
                <w:sz w:val="13"/>
                <w:szCs w:val="13"/>
                <w:color w:val="auto"/>
              </w:rPr>
              <w:t>150.5%</w:t>
            </w:r>
          </w:p>
        </w:tc>
        <w:tc>
          <w:tcPr>
            <w:tcW w:w="1060" w:type="dxa"/>
            <w:vAlign w:val="bottom"/>
          </w:tcPr>
          <w:p>
            <w:pPr>
              <w:jc w:val="center"/>
              <w:spacing w:after="0"/>
              <w:rPr>
                <w:sz w:val="20"/>
                <w:szCs w:val="20"/>
                <w:color w:val="auto"/>
              </w:rPr>
            </w:pPr>
            <w:r>
              <w:rPr>
                <w:rFonts w:ascii="Arial" w:cs="Arial" w:eastAsia="Arial" w:hAnsi="Arial"/>
                <w:sz w:val="13"/>
                <w:szCs w:val="13"/>
                <w:color w:val="auto"/>
                <w:w w:val="99"/>
              </w:rPr>
              <w:t>127.7%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131.6%</w:t>
            </w:r>
          </w:p>
        </w:tc>
        <w:tc>
          <w:tcPr>
            <w:tcW w:w="640" w:type="dxa"/>
            <w:vAlign w:val="bottom"/>
          </w:tcPr>
          <w:p>
            <w:pPr>
              <w:jc w:val="center"/>
              <w:ind w:left="93"/>
              <w:spacing w:after="0"/>
              <w:rPr>
                <w:sz w:val="20"/>
                <w:szCs w:val="20"/>
                <w:color w:val="auto"/>
              </w:rPr>
            </w:pPr>
            <w:r>
              <w:rPr>
                <w:rFonts w:ascii="Arial" w:cs="Arial" w:eastAsia="Arial" w:hAnsi="Arial"/>
                <w:sz w:val="13"/>
                <w:szCs w:val="13"/>
                <w:color w:val="auto"/>
                <w:w w:val="99"/>
              </w:rPr>
              <w:t>150.5%</w:t>
            </w:r>
          </w:p>
        </w:tc>
        <w:tc>
          <w:tcPr>
            <w:tcW w:w="1080" w:type="dxa"/>
            <w:vAlign w:val="bottom"/>
            <w:tcBorders>
              <w:right w:val="single" w:sz="8" w:color="auto"/>
            </w:tcBorders>
          </w:tcPr>
          <w:p>
            <w:pPr>
              <w:jc w:val="center"/>
              <w:ind w:left="73"/>
              <w:spacing w:after="0"/>
              <w:rPr>
                <w:sz w:val="20"/>
                <w:szCs w:val="20"/>
                <w:color w:val="auto"/>
              </w:rPr>
            </w:pPr>
            <w:r>
              <w:rPr>
                <w:rFonts w:ascii="Arial" w:cs="Arial" w:eastAsia="Arial" w:hAnsi="Arial"/>
                <w:sz w:val="13"/>
                <w:szCs w:val="13"/>
                <w:color w:val="auto"/>
              </w:rPr>
              <w:t>131.6%</w:t>
            </w:r>
          </w:p>
        </w:tc>
      </w:tr>
      <w:tr>
        <w:trPr>
          <w:trHeight w:val="135"/>
        </w:trPr>
        <w:tc>
          <w:tcPr>
            <w:tcW w:w="4080" w:type="dxa"/>
            <w:vAlign w:val="bottom"/>
            <w:tcBorders>
              <w:left w:val="single" w:sz="8" w:color="auto"/>
              <w:right w:val="single" w:sz="8" w:color="auto"/>
            </w:tcBorders>
          </w:tcPr>
          <w:p>
            <w:pPr>
              <w:spacing w:after="0" w:line="136" w:lineRule="exact"/>
              <w:rPr>
                <w:sz w:val="20"/>
                <w:szCs w:val="20"/>
                <w:color w:val="auto"/>
              </w:rPr>
            </w:pPr>
            <w:r>
              <w:rPr>
                <w:rFonts w:ascii="Arial" w:cs="Arial" w:eastAsia="Arial" w:hAnsi="Arial"/>
                <w:sz w:val="13"/>
                <w:szCs w:val="13"/>
                <w:color w:val="auto"/>
              </w:rPr>
              <w:t>Coverage of NPLs</w:t>
            </w:r>
          </w:p>
        </w:tc>
        <w:tc>
          <w:tcPr>
            <w:tcW w:w="1040" w:type="dxa"/>
            <w:vAlign w:val="bottom"/>
          </w:tcPr>
          <w:p>
            <w:pPr>
              <w:jc w:val="center"/>
              <w:spacing w:after="0" w:line="136" w:lineRule="exact"/>
              <w:rPr>
                <w:sz w:val="20"/>
                <w:szCs w:val="20"/>
                <w:color w:val="auto"/>
              </w:rPr>
            </w:pPr>
            <w:r>
              <w:rPr>
                <w:rFonts w:ascii="Arial" w:cs="Arial" w:eastAsia="Arial" w:hAnsi="Arial"/>
                <w:sz w:val="13"/>
                <w:szCs w:val="13"/>
                <w:color w:val="auto"/>
              </w:rPr>
              <w:t>109.6%</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auto"/>
              </w:rPr>
              <w:t>95.7%</w:t>
            </w:r>
          </w:p>
        </w:tc>
        <w:tc>
          <w:tcPr>
            <w:tcW w:w="11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93.5%</w:t>
            </w:r>
          </w:p>
        </w:tc>
        <w:tc>
          <w:tcPr>
            <w:tcW w:w="640" w:type="dxa"/>
            <w:vAlign w:val="bottom"/>
          </w:tcPr>
          <w:p>
            <w:pPr>
              <w:jc w:val="center"/>
              <w:ind w:left="93"/>
              <w:spacing w:after="0" w:line="136" w:lineRule="exact"/>
              <w:rPr>
                <w:sz w:val="20"/>
                <w:szCs w:val="20"/>
                <w:color w:val="auto"/>
              </w:rPr>
            </w:pPr>
            <w:r>
              <w:rPr>
                <w:rFonts w:ascii="Arial" w:cs="Arial" w:eastAsia="Arial" w:hAnsi="Arial"/>
                <w:sz w:val="13"/>
                <w:szCs w:val="13"/>
                <w:color w:val="auto"/>
                <w:w w:val="99"/>
              </w:rPr>
              <w:t>109.6%</w:t>
            </w:r>
          </w:p>
        </w:tc>
        <w:tc>
          <w:tcPr>
            <w:tcW w:w="1080" w:type="dxa"/>
            <w:vAlign w:val="bottom"/>
            <w:tcBorders>
              <w:right w:val="single" w:sz="8" w:color="auto"/>
            </w:tcBorders>
          </w:tcPr>
          <w:p>
            <w:pPr>
              <w:jc w:val="center"/>
              <w:ind w:left="73"/>
              <w:spacing w:after="0" w:line="136" w:lineRule="exact"/>
              <w:rPr>
                <w:sz w:val="20"/>
                <w:szCs w:val="20"/>
                <w:color w:val="auto"/>
              </w:rPr>
            </w:pPr>
            <w:r>
              <w:rPr>
                <w:rFonts w:ascii="Arial" w:cs="Arial" w:eastAsia="Arial" w:hAnsi="Arial"/>
                <w:sz w:val="13"/>
                <w:szCs w:val="13"/>
                <w:color w:val="auto"/>
              </w:rPr>
              <w:t>93.5%</w:t>
            </w:r>
          </w:p>
        </w:tc>
      </w:tr>
      <w:tr>
        <w:trPr>
          <w:trHeight w:val="299"/>
        </w:trPr>
        <w:tc>
          <w:tcPr>
            <w:tcW w:w="4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 xml:space="preserve">Cost of risk </w:t>
            </w:r>
            <w:r>
              <w:rPr>
                <w:rFonts w:ascii="Arial" w:cs="Arial" w:eastAsia="Arial" w:hAnsi="Arial"/>
                <w:sz w:val="22"/>
                <w:szCs w:val="22"/>
                <w:color w:val="auto"/>
                <w:vertAlign w:val="superscript"/>
              </w:rPr>
              <w:t>(5)</w:t>
            </w:r>
          </w:p>
        </w:tc>
        <w:tc>
          <w:tcPr>
            <w:tcW w:w="1040" w:type="dxa"/>
            <w:vAlign w:val="bottom"/>
          </w:tcPr>
          <w:p>
            <w:pPr>
              <w:jc w:val="center"/>
              <w:spacing w:after="0"/>
              <w:rPr>
                <w:sz w:val="20"/>
                <w:szCs w:val="20"/>
                <w:color w:val="auto"/>
              </w:rPr>
            </w:pPr>
            <w:r>
              <w:rPr>
                <w:rFonts w:ascii="Arial" w:cs="Arial" w:eastAsia="Arial" w:hAnsi="Arial"/>
                <w:sz w:val="13"/>
                <w:szCs w:val="13"/>
                <w:color w:val="auto"/>
              </w:rPr>
              <w:t>0.30%</w:t>
            </w:r>
          </w:p>
        </w:tc>
        <w:tc>
          <w:tcPr>
            <w:tcW w:w="1060" w:type="dxa"/>
            <w:vAlign w:val="bottom"/>
          </w:tcPr>
          <w:p>
            <w:pPr>
              <w:jc w:val="center"/>
              <w:spacing w:after="0"/>
              <w:rPr>
                <w:sz w:val="20"/>
                <w:szCs w:val="20"/>
                <w:color w:val="auto"/>
              </w:rPr>
            </w:pPr>
            <w:r>
              <w:rPr>
                <w:rFonts w:ascii="Arial" w:cs="Arial" w:eastAsia="Arial" w:hAnsi="Arial"/>
                <w:sz w:val="13"/>
                <w:szCs w:val="13"/>
                <w:color w:val="auto"/>
              </w:rPr>
              <w:t>1.14%</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1.65%</w:t>
            </w:r>
          </w:p>
        </w:tc>
        <w:tc>
          <w:tcPr>
            <w:tcW w:w="640" w:type="dxa"/>
            <w:vAlign w:val="bottom"/>
          </w:tcPr>
          <w:p>
            <w:pPr>
              <w:jc w:val="center"/>
              <w:ind w:left="73"/>
              <w:spacing w:after="0"/>
              <w:rPr>
                <w:sz w:val="20"/>
                <w:szCs w:val="20"/>
                <w:color w:val="auto"/>
              </w:rPr>
            </w:pPr>
            <w:r>
              <w:rPr>
                <w:rFonts w:ascii="Arial" w:cs="Arial" w:eastAsia="Arial" w:hAnsi="Arial"/>
                <w:sz w:val="13"/>
                <w:szCs w:val="13"/>
                <w:color w:val="auto"/>
              </w:rPr>
              <w:t>0.65%</w:t>
            </w:r>
          </w:p>
        </w:tc>
        <w:tc>
          <w:tcPr>
            <w:tcW w:w="1080" w:type="dxa"/>
            <w:vAlign w:val="bottom"/>
            <w:tcBorders>
              <w:right w:val="single" w:sz="8" w:color="auto"/>
            </w:tcBorders>
          </w:tcPr>
          <w:p>
            <w:pPr>
              <w:jc w:val="center"/>
              <w:ind w:left="73"/>
              <w:spacing w:after="0"/>
              <w:rPr>
                <w:sz w:val="20"/>
                <w:szCs w:val="20"/>
                <w:color w:val="auto"/>
              </w:rPr>
            </w:pPr>
            <w:r>
              <w:rPr>
                <w:rFonts w:ascii="Arial" w:cs="Arial" w:eastAsia="Arial" w:hAnsi="Arial"/>
                <w:sz w:val="13"/>
                <w:szCs w:val="13"/>
                <w:color w:val="auto"/>
              </w:rPr>
              <w:t>1.00%</w:t>
            </w:r>
          </w:p>
        </w:tc>
      </w:tr>
      <w:tr>
        <w:trPr>
          <w:trHeight w:val="154"/>
        </w:trPr>
        <w:tc>
          <w:tcPr>
            <w:tcW w:w="408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Operating efficiency</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r>
      <w:tr>
        <w:trPr>
          <w:trHeight w:val="151"/>
        </w:trPr>
        <w:tc>
          <w:tcPr>
            <w:tcW w:w="4080" w:type="dxa"/>
            <w:vAlign w:val="bottom"/>
            <w:tcBorders>
              <w:left w:val="single" w:sz="8" w:color="auto"/>
              <w:right w:val="single" w:sz="8" w:color="auto"/>
            </w:tcBorders>
          </w:tcPr>
          <w:p>
            <w:pPr>
              <w:spacing w:after="0" w:line="151" w:lineRule="exact"/>
              <w:rPr>
                <w:sz w:val="20"/>
                <w:szCs w:val="20"/>
                <w:color w:val="auto"/>
              </w:rPr>
            </w:pPr>
            <w:r>
              <w:rPr>
                <w:rFonts w:ascii="Arial" w:cs="Arial" w:eastAsia="Arial" w:hAnsi="Arial"/>
                <w:sz w:val="11"/>
                <w:szCs w:val="11"/>
                <w:color w:val="auto"/>
              </w:rPr>
              <w:t xml:space="preserve">Oper. expenses as a percent. of total income - reported </w:t>
            </w:r>
            <w:r>
              <w:rPr>
                <w:rFonts w:ascii="Arial" w:cs="Arial" w:eastAsia="Arial" w:hAnsi="Arial"/>
                <w:sz w:val="17"/>
                <w:szCs w:val="17"/>
                <w:color w:val="auto"/>
                <w:vertAlign w:val="superscript"/>
              </w:rPr>
              <w:t>(6)</w:t>
            </w:r>
          </w:p>
        </w:tc>
        <w:tc>
          <w:tcPr>
            <w:tcW w:w="1040" w:type="dxa"/>
            <w:vAlign w:val="bottom"/>
          </w:tcPr>
          <w:p>
            <w:pPr>
              <w:jc w:val="center"/>
              <w:spacing w:after="0"/>
              <w:rPr>
                <w:sz w:val="20"/>
                <w:szCs w:val="20"/>
                <w:color w:val="auto"/>
              </w:rPr>
            </w:pPr>
            <w:r>
              <w:rPr>
                <w:rFonts w:ascii="Arial" w:cs="Arial" w:eastAsia="Arial" w:hAnsi="Arial"/>
                <w:sz w:val="13"/>
                <w:szCs w:val="13"/>
                <w:color w:val="auto"/>
              </w:rPr>
              <w:t>47.4%</w:t>
            </w:r>
          </w:p>
        </w:tc>
        <w:tc>
          <w:tcPr>
            <w:tcW w:w="1060" w:type="dxa"/>
            <w:vAlign w:val="bottom"/>
          </w:tcPr>
          <w:p>
            <w:pPr>
              <w:jc w:val="center"/>
              <w:spacing w:after="0"/>
              <w:rPr>
                <w:sz w:val="20"/>
                <w:szCs w:val="20"/>
                <w:color w:val="auto"/>
              </w:rPr>
            </w:pPr>
            <w:r>
              <w:rPr>
                <w:rFonts w:ascii="Arial" w:cs="Arial" w:eastAsia="Arial" w:hAnsi="Arial"/>
                <w:sz w:val="13"/>
                <w:szCs w:val="13"/>
                <w:color w:val="auto"/>
              </w:rPr>
              <w:t>38.9%</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41.9%</w:t>
            </w:r>
          </w:p>
        </w:tc>
        <w:tc>
          <w:tcPr>
            <w:tcW w:w="640" w:type="dxa"/>
            <w:vAlign w:val="bottom"/>
          </w:tcPr>
          <w:p>
            <w:pPr>
              <w:jc w:val="center"/>
              <w:ind w:left="73"/>
              <w:spacing w:after="0"/>
              <w:rPr>
                <w:sz w:val="20"/>
                <w:szCs w:val="20"/>
                <w:color w:val="auto"/>
              </w:rPr>
            </w:pPr>
            <w:r>
              <w:rPr>
                <w:rFonts w:ascii="Arial" w:cs="Arial" w:eastAsia="Arial" w:hAnsi="Arial"/>
                <w:sz w:val="13"/>
                <w:szCs w:val="13"/>
                <w:color w:val="auto"/>
              </w:rPr>
              <w:t>43.4%</w:t>
            </w:r>
          </w:p>
        </w:tc>
        <w:tc>
          <w:tcPr>
            <w:tcW w:w="1080" w:type="dxa"/>
            <w:vAlign w:val="bottom"/>
            <w:tcBorders>
              <w:right w:val="single" w:sz="8" w:color="auto"/>
            </w:tcBorders>
          </w:tcPr>
          <w:p>
            <w:pPr>
              <w:jc w:val="center"/>
              <w:ind w:left="73"/>
              <w:spacing w:after="0"/>
              <w:rPr>
                <w:sz w:val="20"/>
                <w:szCs w:val="20"/>
                <w:color w:val="auto"/>
              </w:rPr>
            </w:pPr>
            <w:r>
              <w:rPr>
                <w:rFonts w:ascii="Arial" w:cs="Arial" w:eastAsia="Arial" w:hAnsi="Arial"/>
                <w:sz w:val="13"/>
                <w:szCs w:val="13"/>
                <w:color w:val="auto"/>
              </w:rPr>
              <w:t>40.8%</w:t>
            </w:r>
          </w:p>
        </w:tc>
      </w:tr>
      <w:tr>
        <w:trPr>
          <w:trHeight w:val="174"/>
        </w:trPr>
        <w:tc>
          <w:tcPr>
            <w:tcW w:w="4080" w:type="dxa"/>
            <w:vAlign w:val="bottom"/>
            <w:tcBorders>
              <w:left w:val="single" w:sz="8" w:color="auto"/>
              <w:bottom w:val="single" w:sz="8" w:color="auto"/>
              <w:right w:val="single" w:sz="8" w:color="auto"/>
            </w:tcBorders>
          </w:tcPr>
          <w:p>
            <w:pPr>
              <w:spacing w:after="0" w:line="174" w:lineRule="exact"/>
              <w:rPr>
                <w:sz w:val="20"/>
                <w:szCs w:val="20"/>
                <w:color w:val="auto"/>
              </w:rPr>
            </w:pPr>
            <w:r>
              <w:rPr>
                <w:rFonts w:ascii="Arial" w:cs="Arial" w:eastAsia="Arial" w:hAnsi="Arial"/>
                <w:sz w:val="12"/>
                <w:szCs w:val="12"/>
                <w:color w:val="auto"/>
              </w:rPr>
              <w:t xml:space="preserve">Oper. expenses as a percent. of av. tot. assets </w:t>
            </w:r>
            <w:r>
              <w:rPr>
                <w:rFonts w:ascii="Arial" w:cs="Arial" w:eastAsia="Arial" w:hAnsi="Arial"/>
                <w:sz w:val="20"/>
                <w:szCs w:val="20"/>
                <w:color w:val="auto"/>
                <w:vertAlign w:val="superscript"/>
              </w:rPr>
              <w:t>(2)(3)(6)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2.65%</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2.66%</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3.09%</w:t>
            </w:r>
          </w:p>
        </w:tc>
        <w:tc>
          <w:tcPr>
            <w:tcW w:w="64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color w:val="auto"/>
              </w:rPr>
              <w:t>2.33%</w:t>
            </w:r>
          </w:p>
        </w:tc>
        <w:tc>
          <w:tcPr>
            <w:tcW w:w="1080" w:type="dxa"/>
            <w:vAlign w:val="bottom"/>
            <w:tcBorders>
              <w:bottom w:val="single" w:sz="8" w:color="auto"/>
              <w:right w:val="single" w:sz="8" w:color="auto"/>
            </w:tcBorders>
          </w:tcPr>
          <w:p>
            <w:pPr>
              <w:jc w:val="center"/>
              <w:ind w:left="73"/>
              <w:spacing w:after="0"/>
              <w:rPr>
                <w:sz w:val="20"/>
                <w:szCs w:val="20"/>
                <w:color w:val="auto"/>
              </w:rPr>
            </w:pPr>
            <w:r>
              <w:rPr>
                <w:rFonts w:ascii="Arial" w:cs="Arial" w:eastAsia="Arial" w:hAnsi="Arial"/>
                <w:sz w:val="13"/>
                <w:szCs w:val="13"/>
                <w:color w:val="auto"/>
              </w:rPr>
              <w:t>2.66%</w:t>
            </w:r>
          </w:p>
        </w:tc>
      </w:tr>
    </w:tbl>
    <w:p>
      <w:pPr>
        <w:spacing w:after="0" w:line="70" w:lineRule="exact"/>
        <w:rPr>
          <w:sz w:val="20"/>
          <w:szCs w:val="20"/>
          <w:color w:val="auto"/>
        </w:rPr>
      </w:pPr>
    </w:p>
    <w:p>
      <w:pPr>
        <w:ind w:left="480" w:hanging="177"/>
        <w:spacing w:after="0"/>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Shares outstanding of 12,176 million is used for all periods since shares have been issued only for capitalization of profits.</w:t>
      </w:r>
    </w:p>
    <w:p>
      <w:pPr>
        <w:ind w:left="480" w:hanging="177"/>
        <w:spacing w:after="0" w:line="218" w:lineRule="auto"/>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Ratios are annualized.</w:t>
      </w:r>
    </w:p>
    <w:p>
      <w:pPr>
        <w:ind w:left="480" w:hanging="177"/>
        <w:spacing w:after="0" w:line="218" w:lineRule="auto"/>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Averages are determined as the average of period-beginning and period-ending balances.</w:t>
      </w:r>
    </w:p>
    <w:p>
      <w:pPr>
        <w:ind w:left="300" w:right="340" w:firstLine="3"/>
        <w:spacing w:after="0" w:line="218" w:lineRule="auto"/>
        <w:tabs>
          <w:tab w:leader="none" w:pos="476"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480" w:hanging="177"/>
        <w:spacing w:after="0" w:line="218" w:lineRule="auto"/>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Cost of risk: Annualized provision for loan losses / Total loans.</w:t>
      </w:r>
    </w:p>
    <w:p>
      <w:pPr>
        <w:ind w:left="300" w:right="100" w:firstLine="3"/>
        <w:spacing w:after="0" w:line="234" w:lineRule="auto"/>
        <w:tabs>
          <w:tab w:leader="none" w:pos="476" w:val="left"/>
        </w:tabs>
        <w:numPr>
          <w:ilvl w:val="0"/>
          <w:numId w:val="49"/>
        </w:numPr>
        <w:rPr>
          <w:rFonts w:ascii="Arial" w:cs="Arial" w:eastAsia="Arial" w:hAnsi="Arial"/>
          <w:sz w:val="12"/>
          <w:szCs w:val="12"/>
          <w:color w:val="auto"/>
        </w:rPr>
      </w:pPr>
      <w:r>
        <w:rPr>
          <w:rFonts w:ascii="Arial" w:cs="Arial" w:eastAsia="Arial" w:hAnsi="Arial"/>
          <w:sz w:val="12"/>
          <w:szCs w:val="12"/>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64" w:name="page65"/>
    <w:bookmarkEnd w:id="64"/>
    <w:p>
      <w:pPr>
        <w:ind w:left="2980"/>
        <w:spacing w:after="0"/>
        <w:tabs>
          <w:tab w:leader="none" w:pos="752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336550</wp:posOffset>
            </wp:positionV>
            <wp:extent cx="7141845" cy="535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41845" cy="3517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1845" cy="3517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FFFFFF"/>
        </w:rPr>
        <w:t>12. Appendix</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12.5.5. BCP Bolivia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BCP BOLIVIA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 thousands, IFRS)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 w:type="dxa"/>
            <w:vAlign w:val="bottom"/>
          </w:tcPr>
          <w:p>
            <w:pPr>
              <w:spacing w:after="0"/>
              <w:rPr>
                <w:sz w:val="14"/>
                <w:szCs w:val="14"/>
                <w:color w:val="auto"/>
              </w:rPr>
            </w:pPr>
          </w:p>
        </w:tc>
        <w:tc>
          <w:tcPr>
            <w:tcW w:w="3820" w:type="dxa"/>
            <w:vAlign w:val="bottom"/>
            <w:tcBorders>
              <w:right w:val="single" w:sz="8" w:color="auto"/>
            </w:tcBorders>
          </w:tcPr>
          <w:p>
            <w:pPr>
              <w:spacing w:after="0"/>
              <w:rPr>
                <w:sz w:val="14"/>
                <w:szCs w:val="14"/>
                <w:color w:val="auto"/>
              </w:rPr>
            </w:pPr>
          </w:p>
        </w:tc>
        <w:tc>
          <w:tcPr>
            <w:tcW w:w="1140" w:type="dxa"/>
            <w:vAlign w:val="bottom"/>
            <w:tcBorders>
              <w:top w:val="single" w:sz="8" w:color="auto"/>
            </w:tcBorders>
            <w:shd w:val="clear" w:color="auto" w:fill="2AD2C9"/>
          </w:tcPr>
          <w:p>
            <w:pPr>
              <w:spacing w:after="0"/>
              <w:rPr>
                <w:sz w:val="14"/>
                <w:szCs w:val="14"/>
                <w:color w:val="auto"/>
              </w:rPr>
            </w:pPr>
          </w:p>
        </w:tc>
        <w:tc>
          <w:tcPr>
            <w:tcW w:w="1020" w:type="dxa"/>
            <w:vAlign w:val="bottom"/>
            <w:tcBorders>
              <w:top w:val="single" w:sz="8" w:color="auto"/>
            </w:tcBorders>
            <w:shd w:val="clear" w:color="auto" w:fill="2AD2C9"/>
          </w:tcPr>
          <w:p>
            <w:pPr>
              <w:jc w:val="right"/>
              <w:ind w:right="413"/>
              <w:spacing w:after="0"/>
              <w:rPr>
                <w:sz w:val="20"/>
                <w:szCs w:val="20"/>
                <w:color w:val="auto"/>
              </w:rPr>
            </w:pPr>
            <w:r>
              <w:rPr>
                <w:rFonts w:ascii="Arial" w:cs="Arial" w:eastAsia="Arial" w:hAnsi="Arial"/>
                <w:sz w:val="13"/>
                <w:szCs w:val="13"/>
                <w:b w:val="1"/>
                <w:bCs w:val="1"/>
                <w:color w:val="FFFFFF"/>
              </w:rPr>
              <w:t>As of</w:t>
            </w:r>
          </w:p>
        </w:tc>
        <w:tc>
          <w:tcPr>
            <w:tcW w:w="920" w:type="dxa"/>
            <w:vAlign w:val="bottom"/>
            <w:tcBorders>
              <w:top w:val="single" w:sz="8" w:color="auto"/>
              <w:right w:val="single" w:sz="8" w:color="auto"/>
            </w:tcBorders>
            <w:shd w:val="clear" w:color="auto" w:fill="2AD2C9"/>
          </w:tcPr>
          <w:p>
            <w:pPr>
              <w:spacing w:after="0"/>
              <w:rPr>
                <w:sz w:val="14"/>
                <w:szCs w:val="14"/>
                <w:color w:val="auto"/>
              </w:rPr>
            </w:pPr>
          </w:p>
        </w:tc>
        <w:tc>
          <w:tcPr>
            <w:tcW w:w="1540" w:type="dxa"/>
            <w:vAlign w:val="bottom"/>
            <w:tcBorders>
              <w:top w:val="single" w:sz="8" w:color="auto"/>
              <w:right w:val="single" w:sz="8" w:color="auto"/>
            </w:tcBorders>
            <w:gridSpan w:val="2"/>
            <w:shd w:val="clear" w:color="auto" w:fill="2AD2C9"/>
          </w:tcPr>
          <w:p>
            <w:pPr>
              <w:ind w:left="440"/>
              <w:spacing w:after="0"/>
              <w:rPr>
                <w:sz w:val="20"/>
                <w:szCs w:val="20"/>
                <w:color w:val="auto"/>
              </w:rPr>
            </w:pPr>
            <w:r>
              <w:rPr>
                <w:rFonts w:ascii="Arial" w:cs="Arial" w:eastAsia="Arial" w:hAnsi="Arial"/>
                <w:sz w:val="13"/>
                <w:szCs w:val="13"/>
                <w:b w:val="1"/>
                <w:bCs w:val="1"/>
                <w:color w:val="FFFFFF"/>
              </w:rPr>
              <w:t>% change</w:t>
            </w: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Dec 21</w:t>
            </w:r>
          </w:p>
        </w:tc>
        <w:tc>
          <w:tcPr>
            <w:tcW w:w="1020" w:type="dxa"/>
            <w:vAlign w:val="bottom"/>
            <w:tcBorders>
              <w:bottom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Sep 22</w:t>
            </w:r>
          </w:p>
        </w:tc>
        <w:tc>
          <w:tcPr>
            <w:tcW w:w="920" w:type="dxa"/>
            <w:vAlign w:val="bottom"/>
            <w:tcBorders>
              <w:bottom w:val="single" w:sz="8" w:color="auto"/>
              <w:right w:val="single" w:sz="8" w:color="auto"/>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Dec 22</w:t>
            </w:r>
          </w:p>
        </w:tc>
        <w:tc>
          <w:tcPr>
            <w:tcW w:w="7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YoY</w:t>
            </w: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3"/>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ASSETS</w:t>
            </w: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Cash and due from banks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2,374,838</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1,984,367</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1,945,704</w:t>
            </w:r>
          </w:p>
        </w:tc>
        <w:tc>
          <w:tcPr>
            <w:tcW w:w="740" w:type="dxa"/>
            <w:vAlign w:val="bottom"/>
          </w:tcPr>
          <w:p>
            <w:pPr>
              <w:jc w:val="center"/>
              <w:spacing w:after="0"/>
              <w:rPr>
                <w:sz w:val="20"/>
                <w:szCs w:val="20"/>
                <w:color w:val="auto"/>
              </w:rPr>
            </w:pPr>
            <w:r>
              <w:rPr>
                <w:rFonts w:ascii="Arial" w:cs="Arial" w:eastAsia="Arial" w:hAnsi="Arial"/>
                <w:sz w:val="13"/>
                <w:szCs w:val="13"/>
                <w:color w:val="auto"/>
              </w:rPr>
              <w:t>-1.9%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-18.1%</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Investments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1,778,292</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1,548,424</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1,526,954</w:t>
            </w:r>
          </w:p>
        </w:tc>
        <w:tc>
          <w:tcPr>
            <w:tcW w:w="740" w:type="dxa"/>
            <w:vAlign w:val="bottom"/>
          </w:tcPr>
          <w:p>
            <w:pPr>
              <w:jc w:val="center"/>
              <w:spacing w:after="0"/>
              <w:rPr>
                <w:sz w:val="20"/>
                <w:szCs w:val="20"/>
                <w:color w:val="auto"/>
              </w:rPr>
            </w:pPr>
            <w:r>
              <w:rPr>
                <w:rFonts w:ascii="Arial" w:cs="Arial" w:eastAsia="Arial" w:hAnsi="Arial"/>
                <w:sz w:val="13"/>
                <w:szCs w:val="13"/>
                <w:color w:val="auto"/>
              </w:rPr>
              <w:t>-1.4%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-14.1%</w:t>
            </w: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3"/>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loans</w:t>
            </w:r>
          </w:p>
        </w:tc>
        <w:tc>
          <w:tcPr>
            <w:tcW w:w="1140" w:type="dxa"/>
            <w:vAlign w:val="bottom"/>
          </w:tcPr>
          <w:p>
            <w:pPr>
              <w:jc w:val="right"/>
              <w:ind w:right="113"/>
              <w:spacing w:after="0"/>
              <w:rPr>
                <w:sz w:val="20"/>
                <w:szCs w:val="20"/>
                <w:color w:val="auto"/>
              </w:rPr>
            </w:pPr>
            <w:r>
              <w:rPr>
                <w:rFonts w:ascii="Arial" w:cs="Arial" w:eastAsia="Arial" w:hAnsi="Arial"/>
                <w:sz w:val="13"/>
                <w:szCs w:val="13"/>
                <w:b w:val="1"/>
                <w:bCs w:val="1"/>
                <w:color w:val="auto"/>
              </w:rPr>
              <w:t>9,596,816</w:t>
            </w:r>
          </w:p>
        </w:tc>
        <w:tc>
          <w:tcPr>
            <w:tcW w:w="1020" w:type="dxa"/>
            <w:vAlign w:val="bottom"/>
          </w:tcPr>
          <w:p>
            <w:pPr>
              <w:jc w:val="right"/>
              <w:ind w:right="113"/>
              <w:spacing w:after="0"/>
              <w:rPr>
                <w:sz w:val="20"/>
                <w:szCs w:val="20"/>
                <w:color w:val="auto"/>
              </w:rPr>
            </w:pPr>
            <w:r>
              <w:rPr>
                <w:rFonts w:ascii="Arial" w:cs="Arial" w:eastAsia="Arial" w:hAnsi="Arial"/>
                <w:sz w:val="13"/>
                <w:szCs w:val="13"/>
                <w:b w:val="1"/>
                <w:bCs w:val="1"/>
                <w:color w:val="auto"/>
              </w:rPr>
              <w:t>9,642,982</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9,253,908</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-4.0%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-3.6%</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Current</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9,471,577</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9,411,840</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8,997,604</w:t>
            </w:r>
          </w:p>
        </w:tc>
        <w:tc>
          <w:tcPr>
            <w:tcW w:w="740" w:type="dxa"/>
            <w:vAlign w:val="bottom"/>
          </w:tcPr>
          <w:p>
            <w:pPr>
              <w:jc w:val="center"/>
              <w:spacing w:after="0"/>
              <w:rPr>
                <w:sz w:val="20"/>
                <w:szCs w:val="20"/>
                <w:color w:val="auto"/>
              </w:rPr>
            </w:pPr>
            <w:r>
              <w:rPr>
                <w:rFonts w:ascii="Arial" w:cs="Arial" w:eastAsia="Arial" w:hAnsi="Arial"/>
                <w:sz w:val="13"/>
                <w:szCs w:val="13"/>
                <w:color w:val="auto"/>
              </w:rPr>
              <w:t>-4.4%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-5.0%</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Internal overdue loans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89,850</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203,915</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231,247</w:t>
            </w:r>
          </w:p>
        </w:tc>
        <w:tc>
          <w:tcPr>
            <w:tcW w:w="740" w:type="dxa"/>
            <w:vAlign w:val="bottom"/>
          </w:tcPr>
          <w:p>
            <w:pPr>
              <w:jc w:val="center"/>
              <w:spacing w:after="0"/>
              <w:rPr>
                <w:sz w:val="20"/>
                <w:szCs w:val="20"/>
                <w:color w:val="auto"/>
              </w:rPr>
            </w:pPr>
            <w:r>
              <w:rPr>
                <w:rFonts w:ascii="Arial" w:cs="Arial" w:eastAsia="Arial" w:hAnsi="Arial"/>
                <w:sz w:val="13"/>
                <w:szCs w:val="13"/>
                <w:color w:val="auto"/>
              </w:rPr>
              <w:t>13.4%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157.4%</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Refinanced</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35,390</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27,227</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25,057</w:t>
            </w:r>
          </w:p>
        </w:tc>
        <w:tc>
          <w:tcPr>
            <w:tcW w:w="740" w:type="dxa"/>
            <w:vAlign w:val="bottom"/>
          </w:tcPr>
          <w:p>
            <w:pPr>
              <w:jc w:val="center"/>
              <w:spacing w:after="0"/>
              <w:rPr>
                <w:sz w:val="20"/>
                <w:szCs w:val="20"/>
                <w:color w:val="auto"/>
              </w:rPr>
            </w:pPr>
            <w:r>
              <w:rPr>
                <w:rFonts w:ascii="Arial" w:cs="Arial" w:eastAsia="Arial" w:hAnsi="Arial"/>
                <w:sz w:val="13"/>
                <w:szCs w:val="13"/>
                <w:color w:val="auto"/>
              </w:rPr>
              <w:t>-8.0%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-29.2%</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Allowance for loan losses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(448,075)</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(414,697)</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(397,602)</w:t>
            </w:r>
          </w:p>
        </w:tc>
        <w:tc>
          <w:tcPr>
            <w:tcW w:w="740" w:type="dxa"/>
            <w:vAlign w:val="bottom"/>
          </w:tcPr>
          <w:p>
            <w:pPr>
              <w:jc w:val="center"/>
              <w:spacing w:after="0"/>
              <w:rPr>
                <w:sz w:val="20"/>
                <w:szCs w:val="20"/>
                <w:color w:val="auto"/>
              </w:rPr>
            </w:pPr>
            <w:r>
              <w:rPr>
                <w:rFonts w:ascii="Arial" w:cs="Arial" w:eastAsia="Arial" w:hAnsi="Arial"/>
                <w:sz w:val="13"/>
                <w:szCs w:val="13"/>
                <w:color w:val="auto"/>
              </w:rPr>
              <w:t>-4.1%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-11.3%</w:t>
            </w: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3"/>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loans</w:t>
            </w:r>
          </w:p>
        </w:tc>
        <w:tc>
          <w:tcPr>
            <w:tcW w:w="1140" w:type="dxa"/>
            <w:vAlign w:val="bottom"/>
          </w:tcPr>
          <w:p>
            <w:pPr>
              <w:jc w:val="right"/>
              <w:ind w:right="113"/>
              <w:spacing w:after="0"/>
              <w:rPr>
                <w:sz w:val="20"/>
                <w:szCs w:val="20"/>
                <w:color w:val="auto"/>
              </w:rPr>
            </w:pPr>
            <w:r>
              <w:rPr>
                <w:rFonts w:ascii="Arial" w:cs="Arial" w:eastAsia="Arial" w:hAnsi="Arial"/>
                <w:sz w:val="13"/>
                <w:szCs w:val="13"/>
                <w:b w:val="1"/>
                <w:bCs w:val="1"/>
                <w:color w:val="auto"/>
              </w:rPr>
              <w:t>9,148,741</w:t>
            </w:r>
          </w:p>
        </w:tc>
        <w:tc>
          <w:tcPr>
            <w:tcW w:w="1020" w:type="dxa"/>
            <w:vAlign w:val="bottom"/>
          </w:tcPr>
          <w:p>
            <w:pPr>
              <w:jc w:val="right"/>
              <w:ind w:right="113"/>
              <w:spacing w:after="0"/>
              <w:rPr>
                <w:sz w:val="20"/>
                <w:szCs w:val="20"/>
                <w:color w:val="auto"/>
              </w:rPr>
            </w:pPr>
            <w:r>
              <w:rPr>
                <w:rFonts w:ascii="Arial" w:cs="Arial" w:eastAsia="Arial" w:hAnsi="Arial"/>
                <w:sz w:val="13"/>
                <w:szCs w:val="13"/>
                <w:b w:val="1"/>
                <w:bCs w:val="1"/>
                <w:color w:val="auto"/>
              </w:rPr>
              <w:t>9,228,285</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8,856,305</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-4.0%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-3.2%</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Property, plant and equipment, net</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67,170</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66,016</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63,957</w:t>
            </w:r>
          </w:p>
        </w:tc>
        <w:tc>
          <w:tcPr>
            <w:tcW w:w="740" w:type="dxa"/>
            <w:vAlign w:val="bottom"/>
          </w:tcPr>
          <w:p>
            <w:pPr>
              <w:jc w:val="center"/>
              <w:spacing w:after="0"/>
              <w:rPr>
                <w:sz w:val="20"/>
                <w:szCs w:val="20"/>
                <w:color w:val="auto"/>
              </w:rPr>
            </w:pPr>
            <w:r>
              <w:rPr>
                <w:rFonts w:ascii="Arial" w:cs="Arial" w:eastAsia="Arial" w:hAnsi="Arial"/>
                <w:sz w:val="13"/>
                <w:szCs w:val="13"/>
                <w:color w:val="auto"/>
              </w:rPr>
              <w:t>-3.1%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-4.8%</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Other assets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430,775</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316,286</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304,873</w:t>
            </w:r>
          </w:p>
        </w:tc>
        <w:tc>
          <w:tcPr>
            <w:tcW w:w="740" w:type="dxa"/>
            <w:vAlign w:val="bottom"/>
          </w:tcPr>
          <w:p>
            <w:pPr>
              <w:jc w:val="center"/>
              <w:spacing w:after="0"/>
              <w:rPr>
                <w:sz w:val="20"/>
                <w:szCs w:val="20"/>
                <w:color w:val="auto"/>
              </w:rPr>
            </w:pPr>
            <w:r>
              <w:rPr>
                <w:rFonts w:ascii="Arial" w:cs="Arial" w:eastAsia="Arial" w:hAnsi="Arial"/>
                <w:sz w:val="13"/>
                <w:szCs w:val="13"/>
                <w:color w:val="auto"/>
              </w:rPr>
              <w:t>-3.6%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-29.2%</w:t>
            </w: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5"/>
        </w:trPr>
        <w:tc>
          <w:tcPr>
            <w:tcW w:w="40" w:type="dxa"/>
            <w:vAlign w:val="bottom"/>
            <w:tcBorders>
              <w:right w:val="single" w:sz="8" w:color="auto"/>
            </w:tcBorders>
            <w:shd w:val="clear" w:color="auto" w:fill="000000"/>
          </w:tcPr>
          <w:p>
            <w:pPr>
              <w:spacing w:after="0"/>
              <w:rPr>
                <w:sz w:val="16"/>
                <w:szCs w:val="16"/>
                <w:color w:val="auto"/>
              </w:rPr>
            </w:pPr>
          </w:p>
        </w:tc>
        <w:tc>
          <w:tcPr>
            <w:tcW w:w="3820" w:type="dxa"/>
            <w:vAlign w:val="bottom"/>
            <w:tcBorders>
              <w:right w:val="single" w:sz="8" w:color="auto"/>
            </w:tcBorders>
          </w:tcPr>
          <w:p>
            <w:pPr>
              <w:ind w:left="1520"/>
              <w:spacing w:after="0"/>
              <w:rPr>
                <w:sz w:val="20"/>
                <w:szCs w:val="20"/>
                <w:color w:val="auto"/>
              </w:rPr>
            </w:pPr>
            <w:r>
              <w:rPr>
                <w:rFonts w:ascii="Arial" w:cs="Arial" w:eastAsia="Arial" w:hAnsi="Arial"/>
                <w:sz w:val="13"/>
                <w:szCs w:val="13"/>
                <w:b w:val="1"/>
                <w:bCs w:val="1"/>
                <w:color w:val="auto"/>
              </w:rPr>
              <w:t>Total assets</w:t>
            </w:r>
          </w:p>
        </w:tc>
        <w:tc>
          <w:tcPr>
            <w:tcW w:w="1140" w:type="dxa"/>
            <w:vAlign w:val="bottom"/>
          </w:tcPr>
          <w:p>
            <w:pPr>
              <w:jc w:val="right"/>
              <w:ind w:right="113"/>
              <w:spacing w:after="0"/>
              <w:rPr>
                <w:sz w:val="20"/>
                <w:szCs w:val="20"/>
                <w:color w:val="auto"/>
              </w:rPr>
            </w:pPr>
            <w:r>
              <w:rPr>
                <w:rFonts w:ascii="Arial" w:cs="Arial" w:eastAsia="Arial" w:hAnsi="Arial"/>
                <w:sz w:val="13"/>
                <w:szCs w:val="13"/>
                <w:b w:val="1"/>
                <w:bCs w:val="1"/>
                <w:color w:val="auto"/>
              </w:rPr>
              <w:t>13,799,816</w:t>
            </w:r>
          </w:p>
        </w:tc>
        <w:tc>
          <w:tcPr>
            <w:tcW w:w="1020" w:type="dxa"/>
            <w:vAlign w:val="bottom"/>
          </w:tcPr>
          <w:p>
            <w:pPr>
              <w:jc w:val="right"/>
              <w:ind w:right="113"/>
              <w:spacing w:after="0"/>
              <w:rPr>
                <w:sz w:val="20"/>
                <w:szCs w:val="20"/>
                <w:color w:val="auto"/>
              </w:rPr>
            </w:pPr>
            <w:r>
              <w:rPr>
                <w:rFonts w:ascii="Arial" w:cs="Arial" w:eastAsia="Arial" w:hAnsi="Arial"/>
                <w:sz w:val="13"/>
                <w:szCs w:val="13"/>
                <w:b w:val="1"/>
                <w:bCs w:val="1"/>
                <w:color w:val="auto"/>
              </w:rPr>
              <w:t>13,143,378</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12,697,793</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-3.4%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-8.0%</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0"/>
        </w:trPr>
        <w:tc>
          <w:tcPr>
            <w:tcW w:w="40" w:type="dxa"/>
            <w:vAlign w:val="bottom"/>
            <w:tcBorders>
              <w:right w:val="single" w:sz="8" w:color="auto"/>
            </w:tcBorders>
            <w:shd w:val="clear" w:color="auto" w:fill="000000"/>
          </w:tcPr>
          <w:p>
            <w:pPr>
              <w:spacing w:after="0"/>
              <w:rPr>
                <w:sz w:val="23"/>
                <w:szCs w:val="2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LIABILITIES AND NET SHAREHOLDERS' EQUITY</w:t>
            </w:r>
          </w:p>
        </w:tc>
        <w:tc>
          <w:tcPr>
            <w:tcW w:w="1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1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Deposits and obligations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11,554,075</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11,173,682</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10,985,892</w:t>
            </w:r>
          </w:p>
        </w:tc>
        <w:tc>
          <w:tcPr>
            <w:tcW w:w="740" w:type="dxa"/>
            <w:vAlign w:val="bottom"/>
          </w:tcPr>
          <w:p>
            <w:pPr>
              <w:jc w:val="center"/>
              <w:spacing w:after="0"/>
              <w:rPr>
                <w:sz w:val="20"/>
                <w:szCs w:val="20"/>
                <w:color w:val="auto"/>
              </w:rPr>
            </w:pPr>
            <w:r>
              <w:rPr>
                <w:rFonts w:ascii="Arial" w:cs="Arial" w:eastAsia="Arial" w:hAnsi="Arial"/>
                <w:sz w:val="13"/>
                <w:szCs w:val="13"/>
                <w:color w:val="auto"/>
              </w:rPr>
              <w:t>-1.7%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-4.9%</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Due to banks and correspondents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106,430</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86,986</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77,909</w:t>
            </w:r>
          </w:p>
        </w:tc>
        <w:tc>
          <w:tcPr>
            <w:tcW w:w="740" w:type="dxa"/>
            <w:vAlign w:val="bottom"/>
          </w:tcPr>
          <w:p>
            <w:pPr>
              <w:jc w:val="center"/>
              <w:spacing w:after="0"/>
              <w:rPr>
                <w:sz w:val="20"/>
                <w:szCs w:val="20"/>
                <w:color w:val="auto"/>
              </w:rPr>
            </w:pPr>
            <w:r>
              <w:rPr>
                <w:rFonts w:ascii="Arial" w:cs="Arial" w:eastAsia="Arial" w:hAnsi="Arial"/>
                <w:sz w:val="13"/>
                <w:szCs w:val="13"/>
                <w:color w:val="auto"/>
              </w:rPr>
              <w:t>-10.4%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-26.8%</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Bonds and subordinated debt</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185,592</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101,757</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99,065</w:t>
            </w:r>
          </w:p>
        </w:tc>
        <w:tc>
          <w:tcPr>
            <w:tcW w:w="740" w:type="dxa"/>
            <w:vAlign w:val="bottom"/>
          </w:tcPr>
          <w:p>
            <w:pPr>
              <w:jc w:val="center"/>
              <w:spacing w:after="0"/>
              <w:rPr>
                <w:sz w:val="20"/>
                <w:szCs w:val="20"/>
                <w:color w:val="auto"/>
              </w:rPr>
            </w:pPr>
            <w:r>
              <w:rPr>
                <w:rFonts w:ascii="Arial" w:cs="Arial" w:eastAsia="Arial" w:hAnsi="Arial"/>
                <w:sz w:val="13"/>
                <w:szCs w:val="13"/>
                <w:color w:val="auto"/>
              </w:rPr>
              <w:t>-2.6%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-46.6%</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Other liabilities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1,119,145</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909,268</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675,099</w:t>
            </w:r>
          </w:p>
        </w:tc>
        <w:tc>
          <w:tcPr>
            <w:tcW w:w="740" w:type="dxa"/>
            <w:vAlign w:val="bottom"/>
          </w:tcPr>
          <w:p>
            <w:pPr>
              <w:jc w:val="center"/>
              <w:spacing w:after="0"/>
              <w:rPr>
                <w:sz w:val="20"/>
                <w:szCs w:val="20"/>
                <w:color w:val="auto"/>
              </w:rPr>
            </w:pPr>
            <w:r>
              <w:rPr>
                <w:rFonts w:ascii="Arial" w:cs="Arial" w:eastAsia="Arial" w:hAnsi="Arial"/>
                <w:sz w:val="13"/>
                <w:szCs w:val="13"/>
                <w:color w:val="auto"/>
              </w:rPr>
              <w:t>-25.8%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-39.7%</w:t>
            </w: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5"/>
        </w:trPr>
        <w:tc>
          <w:tcPr>
            <w:tcW w:w="40" w:type="dxa"/>
            <w:vAlign w:val="bottom"/>
            <w:tcBorders>
              <w:right w:val="single" w:sz="8" w:color="auto"/>
            </w:tcBorders>
            <w:shd w:val="clear" w:color="auto" w:fill="000000"/>
          </w:tcPr>
          <w:p>
            <w:pPr>
              <w:spacing w:after="0"/>
              <w:rPr>
                <w:sz w:val="16"/>
                <w:szCs w:val="16"/>
                <w:color w:val="auto"/>
              </w:rPr>
            </w:pPr>
          </w:p>
        </w:tc>
        <w:tc>
          <w:tcPr>
            <w:tcW w:w="3820" w:type="dxa"/>
            <w:vAlign w:val="bottom"/>
            <w:tcBorders>
              <w:right w:val="single" w:sz="8" w:color="auto"/>
            </w:tcBorders>
          </w:tcPr>
          <w:p>
            <w:pPr>
              <w:ind w:left="1440"/>
              <w:spacing w:after="0"/>
              <w:rPr>
                <w:sz w:val="20"/>
                <w:szCs w:val="20"/>
                <w:color w:val="auto"/>
              </w:rPr>
            </w:pPr>
            <w:r>
              <w:rPr>
                <w:rFonts w:ascii="Arial" w:cs="Arial" w:eastAsia="Arial" w:hAnsi="Arial"/>
                <w:sz w:val="13"/>
                <w:szCs w:val="13"/>
                <w:b w:val="1"/>
                <w:bCs w:val="1"/>
                <w:color w:val="auto"/>
              </w:rPr>
              <w:t>Total liabilities</w:t>
            </w:r>
          </w:p>
        </w:tc>
        <w:tc>
          <w:tcPr>
            <w:tcW w:w="1140" w:type="dxa"/>
            <w:vAlign w:val="bottom"/>
          </w:tcPr>
          <w:p>
            <w:pPr>
              <w:jc w:val="right"/>
              <w:ind w:right="113"/>
              <w:spacing w:after="0"/>
              <w:rPr>
                <w:sz w:val="20"/>
                <w:szCs w:val="20"/>
                <w:color w:val="auto"/>
              </w:rPr>
            </w:pPr>
            <w:r>
              <w:rPr>
                <w:rFonts w:ascii="Arial" w:cs="Arial" w:eastAsia="Arial" w:hAnsi="Arial"/>
                <w:sz w:val="13"/>
                <w:szCs w:val="13"/>
                <w:b w:val="1"/>
                <w:bCs w:val="1"/>
                <w:color w:val="auto"/>
              </w:rPr>
              <w:t>12,965,242</w:t>
            </w:r>
          </w:p>
        </w:tc>
        <w:tc>
          <w:tcPr>
            <w:tcW w:w="1020" w:type="dxa"/>
            <w:vAlign w:val="bottom"/>
          </w:tcPr>
          <w:p>
            <w:pPr>
              <w:jc w:val="right"/>
              <w:ind w:right="113"/>
              <w:spacing w:after="0"/>
              <w:rPr>
                <w:sz w:val="20"/>
                <w:szCs w:val="20"/>
                <w:color w:val="auto"/>
              </w:rPr>
            </w:pPr>
            <w:r>
              <w:rPr>
                <w:rFonts w:ascii="Arial" w:cs="Arial" w:eastAsia="Arial" w:hAnsi="Arial"/>
                <w:sz w:val="13"/>
                <w:szCs w:val="13"/>
                <w:b w:val="1"/>
                <w:bCs w:val="1"/>
                <w:color w:val="auto"/>
              </w:rPr>
              <w:t>12,271,692</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11,837,965</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-3.5%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-8.7%</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02"/>
        </w:trPr>
        <w:tc>
          <w:tcPr>
            <w:tcW w:w="40" w:type="dxa"/>
            <w:vAlign w:val="bottom"/>
            <w:tcBorders>
              <w:right w:val="single" w:sz="8" w:color="auto"/>
            </w:tcBorders>
            <w:shd w:val="clear" w:color="auto" w:fill="000000"/>
          </w:tcPr>
          <w:p>
            <w:pPr>
              <w:spacing w:after="0"/>
              <w:rPr>
                <w:sz w:val="24"/>
                <w:szCs w:val="24"/>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equity</w:t>
            </w:r>
          </w:p>
        </w:tc>
        <w:tc>
          <w:tcPr>
            <w:tcW w:w="1140" w:type="dxa"/>
            <w:vAlign w:val="bottom"/>
          </w:tcPr>
          <w:p>
            <w:pPr>
              <w:jc w:val="right"/>
              <w:ind w:right="113"/>
              <w:spacing w:after="0"/>
              <w:rPr>
                <w:sz w:val="20"/>
                <w:szCs w:val="20"/>
                <w:color w:val="auto"/>
              </w:rPr>
            </w:pPr>
            <w:r>
              <w:rPr>
                <w:rFonts w:ascii="Arial" w:cs="Arial" w:eastAsia="Arial" w:hAnsi="Arial"/>
                <w:sz w:val="13"/>
                <w:szCs w:val="13"/>
                <w:b w:val="1"/>
                <w:bCs w:val="1"/>
                <w:color w:val="auto"/>
              </w:rPr>
              <w:t>834,574</w:t>
            </w:r>
          </w:p>
        </w:tc>
        <w:tc>
          <w:tcPr>
            <w:tcW w:w="1020" w:type="dxa"/>
            <w:vAlign w:val="bottom"/>
          </w:tcPr>
          <w:p>
            <w:pPr>
              <w:jc w:val="right"/>
              <w:ind w:right="113"/>
              <w:spacing w:after="0"/>
              <w:rPr>
                <w:sz w:val="20"/>
                <w:szCs w:val="20"/>
                <w:color w:val="auto"/>
              </w:rPr>
            </w:pPr>
            <w:r>
              <w:rPr>
                <w:rFonts w:ascii="Arial" w:cs="Arial" w:eastAsia="Arial" w:hAnsi="Arial"/>
                <w:sz w:val="13"/>
                <w:szCs w:val="13"/>
                <w:b w:val="1"/>
                <w:bCs w:val="1"/>
                <w:color w:val="auto"/>
              </w:rPr>
              <w:t>871,686</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859,828</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-1.4%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3.0%</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 LIABILITIES AND NET SHAREHOLDERS' EQUITY</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13,799,816</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13,143,378</w:t>
            </w:r>
          </w:p>
        </w:tc>
        <w:tc>
          <w:tcPr>
            <w:tcW w:w="9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12,697,793</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-8.0%</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7"/>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41"/>
        </w:trPr>
        <w:tc>
          <w:tcPr>
            <w:tcW w:w="40" w:type="dxa"/>
            <w:vAlign w:val="bottom"/>
          </w:tcPr>
          <w:p>
            <w:pPr>
              <w:spacing w:after="0"/>
              <w:rPr>
                <w:sz w:val="12"/>
                <w:szCs w:val="12"/>
                <w:color w:val="auto"/>
              </w:rPr>
            </w:pPr>
          </w:p>
        </w:tc>
        <w:tc>
          <w:tcPr>
            <w:tcW w:w="3820" w:type="dxa"/>
            <w:vAlign w:val="bottom"/>
            <w:tcBorders>
              <w:right w:val="single" w:sz="8" w:color="auto"/>
            </w:tcBorders>
          </w:tcPr>
          <w:p>
            <w:pPr>
              <w:spacing w:after="0"/>
              <w:rPr>
                <w:sz w:val="12"/>
                <w:szCs w:val="12"/>
                <w:color w:val="auto"/>
              </w:rPr>
            </w:pPr>
          </w:p>
        </w:tc>
        <w:tc>
          <w:tcPr>
            <w:tcW w:w="1140" w:type="dxa"/>
            <w:vAlign w:val="bottom"/>
            <w:shd w:val="clear" w:color="auto" w:fill="2AD2C9"/>
          </w:tcPr>
          <w:p>
            <w:pPr>
              <w:spacing w:after="0"/>
              <w:rPr>
                <w:sz w:val="12"/>
                <w:szCs w:val="12"/>
                <w:color w:val="auto"/>
              </w:rPr>
            </w:pPr>
          </w:p>
        </w:tc>
        <w:tc>
          <w:tcPr>
            <w:tcW w:w="1020" w:type="dxa"/>
            <w:vAlign w:val="bottom"/>
            <w:shd w:val="clear" w:color="auto" w:fill="2AD2C9"/>
          </w:tcPr>
          <w:p>
            <w:pPr>
              <w:jc w:val="right"/>
              <w:ind w:right="333"/>
              <w:spacing w:after="0" w:line="142" w:lineRule="exact"/>
              <w:rPr>
                <w:sz w:val="20"/>
                <w:szCs w:val="20"/>
                <w:color w:val="auto"/>
              </w:rPr>
            </w:pPr>
            <w:r>
              <w:rPr>
                <w:rFonts w:ascii="Arial" w:cs="Arial" w:eastAsia="Arial" w:hAnsi="Arial"/>
                <w:sz w:val="13"/>
                <w:szCs w:val="13"/>
                <w:b w:val="1"/>
                <w:bCs w:val="1"/>
                <w:color w:val="FFFFFF"/>
              </w:rPr>
              <w:t>Quarter</w:t>
            </w:r>
          </w:p>
        </w:tc>
        <w:tc>
          <w:tcPr>
            <w:tcW w:w="920" w:type="dxa"/>
            <w:vAlign w:val="bottom"/>
            <w:tcBorders>
              <w:right w:val="single" w:sz="8" w:color="auto"/>
            </w:tcBorders>
            <w:shd w:val="clear" w:color="auto" w:fill="2AD2C9"/>
          </w:tcPr>
          <w:p>
            <w:pPr>
              <w:spacing w:after="0"/>
              <w:rPr>
                <w:sz w:val="12"/>
                <w:szCs w:val="12"/>
                <w:color w:val="auto"/>
              </w:rPr>
            </w:pPr>
          </w:p>
        </w:tc>
        <w:tc>
          <w:tcPr>
            <w:tcW w:w="1540" w:type="dxa"/>
            <w:vAlign w:val="bottom"/>
            <w:tcBorders>
              <w:right w:val="single" w:sz="8" w:color="auto"/>
            </w:tcBorders>
            <w:gridSpan w:val="2"/>
            <w:shd w:val="clear" w:color="auto" w:fill="2AD2C9"/>
          </w:tcPr>
          <w:p>
            <w:pPr>
              <w:ind w:left="440"/>
              <w:spacing w:after="0" w:line="142" w:lineRule="exact"/>
              <w:rPr>
                <w:sz w:val="20"/>
                <w:szCs w:val="20"/>
                <w:color w:val="auto"/>
              </w:rPr>
            </w:pPr>
            <w:r>
              <w:rPr>
                <w:rFonts w:ascii="Arial" w:cs="Arial" w:eastAsia="Arial" w:hAnsi="Arial"/>
                <w:sz w:val="13"/>
                <w:szCs w:val="13"/>
                <w:b w:val="1"/>
                <w:bCs w:val="1"/>
                <w:color w:val="FFFFFF"/>
              </w:rPr>
              <w:t>% change</w:t>
            </w:r>
          </w:p>
        </w:tc>
        <w:tc>
          <w:tcPr>
            <w:tcW w:w="1260" w:type="dxa"/>
            <w:vAlign w:val="bottom"/>
            <w:shd w:val="clear" w:color="auto" w:fill="2AD2C9"/>
          </w:tcPr>
          <w:p>
            <w:pPr>
              <w:jc w:val="right"/>
              <w:ind w:right="33"/>
              <w:spacing w:after="0" w:line="142" w:lineRule="exact"/>
              <w:rPr>
                <w:sz w:val="20"/>
                <w:szCs w:val="20"/>
                <w:color w:val="auto"/>
              </w:rPr>
            </w:pPr>
            <w:r>
              <w:rPr>
                <w:rFonts w:ascii="Arial" w:cs="Arial" w:eastAsia="Arial" w:hAnsi="Arial"/>
                <w:sz w:val="13"/>
                <w:szCs w:val="13"/>
                <w:b w:val="1"/>
                <w:bCs w:val="1"/>
                <w:color w:val="FFFFFF"/>
              </w:rPr>
              <w:t>As of</w:t>
            </w:r>
          </w:p>
        </w:tc>
        <w:tc>
          <w:tcPr>
            <w:tcW w:w="760" w:type="dxa"/>
            <w:vAlign w:val="bottom"/>
            <w:tcBorders>
              <w:right w:val="single" w:sz="8" w:color="auto"/>
            </w:tcBorders>
            <w:shd w:val="clear" w:color="auto" w:fill="2AD2C9"/>
          </w:tcPr>
          <w:p>
            <w:pPr>
              <w:spacing w:after="0"/>
              <w:rPr>
                <w:sz w:val="12"/>
                <w:szCs w:val="12"/>
                <w:color w:val="auto"/>
              </w:rPr>
            </w:pPr>
          </w:p>
        </w:tc>
        <w:tc>
          <w:tcPr>
            <w:tcW w:w="800" w:type="dxa"/>
            <w:vAlign w:val="bottom"/>
            <w:tcBorders>
              <w:right w:val="single" w:sz="8" w:color="auto"/>
            </w:tcBorders>
            <w:shd w:val="clear" w:color="auto" w:fill="2AD2C9"/>
          </w:tcPr>
          <w:p>
            <w:pPr>
              <w:jc w:val="center"/>
              <w:spacing w:after="0" w:line="142" w:lineRule="exact"/>
              <w:rPr>
                <w:sz w:val="20"/>
                <w:szCs w:val="20"/>
                <w:color w:val="auto"/>
              </w:rPr>
            </w:pPr>
            <w:r>
              <w:rPr>
                <w:rFonts w:ascii="Arial" w:cs="Arial" w:eastAsia="Arial" w:hAnsi="Arial"/>
                <w:sz w:val="13"/>
                <w:szCs w:val="13"/>
                <w:b w:val="1"/>
                <w:bCs w:val="1"/>
                <w:color w:val="FFFFFF"/>
              </w:rPr>
              <w:t>% change</w:t>
            </w:r>
          </w:p>
        </w:tc>
      </w:tr>
      <w:tr>
        <w:trPr>
          <w:trHeight w:val="166"/>
        </w:trPr>
        <w:tc>
          <w:tcPr>
            <w:tcW w:w="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shd w:val="clear" w:color="auto" w:fill="2AD2C9"/>
          </w:tcPr>
          <w:p>
            <w:pPr>
              <w:jc w:val="right"/>
              <w:ind w:right="433"/>
              <w:spacing w:after="0"/>
              <w:rPr>
                <w:sz w:val="20"/>
                <w:szCs w:val="20"/>
                <w:color w:val="auto"/>
              </w:rPr>
            </w:pPr>
            <w:r>
              <w:rPr>
                <w:rFonts w:ascii="Arial" w:cs="Arial" w:eastAsia="Arial" w:hAnsi="Arial"/>
                <w:sz w:val="13"/>
                <w:szCs w:val="13"/>
                <w:b w:val="1"/>
                <w:bCs w:val="1"/>
                <w:color w:val="FFFFFF"/>
              </w:rPr>
              <w:t>4Q21</w:t>
            </w:r>
          </w:p>
        </w:tc>
        <w:tc>
          <w:tcPr>
            <w:tcW w:w="1020" w:type="dxa"/>
            <w:vAlign w:val="bottom"/>
            <w:tcBorders>
              <w:bottom w:val="single" w:sz="8" w:color="auto"/>
            </w:tcBorders>
            <w:shd w:val="clear" w:color="auto" w:fill="2AD2C9"/>
          </w:tcPr>
          <w:p>
            <w:pPr>
              <w:jc w:val="right"/>
              <w:ind w:right="433"/>
              <w:spacing w:after="0"/>
              <w:rPr>
                <w:sz w:val="20"/>
                <w:szCs w:val="20"/>
                <w:color w:val="auto"/>
              </w:rPr>
            </w:pPr>
            <w:r>
              <w:rPr>
                <w:rFonts w:ascii="Arial" w:cs="Arial" w:eastAsia="Arial" w:hAnsi="Arial"/>
                <w:sz w:val="13"/>
                <w:szCs w:val="13"/>
                <w:b w:val="1"/>
                <w:bCs w:val="1"/>
                <w:color w:val="FFFFFF"/>
              </w:rPr>
              <w:t>3Q22</w:t>
            </w:r>
          </w:p>
        </w:tc>
        <w:tc>
          <w:tcPr>
            <w:tcW w:w="920" w:type="dxa"/>
            <w:vAlign w:val="bottom"/>
            <w:tcBorders>
              <w:bottom w:val="single" w:sz="8" w:color="auto"/>
              <w:right w:val="single" w:sz="8" w:color="auto"/>
            </w:tcBorders>
            <w:shd w:val="clear" w:color="auto" w:fill="2AD2C9"/>
          </w:tcPr>
          <w:p>
            <w:pPr>
              <w:jc w:val="right"/>
              <w:ind w:right="313"/>
              <w:spacing w:after="0"/>
              <w:rPr>
                <w:sz w:val="20"/>
                <w:szCs w:val="20"/>
                <w:color w:val="auto"/>
              </w:rPr>
            </w:pPr>
            <w:r>
              <w:rPr>
                <w:rFonts w:ascii="Arial" w:cs="Arial" w:eastAsia="Arial" w:hAnsi="Arial"/>
                <w:sz w:val="13"/>
                <w:szCs w:val="13"/>
                <w:b w:val="1"/>
                <w:bCs w:val="1"/>
                <w:color w:val="FFFFFF"/>
              </w:rPr>
              <w:t>4Q22</w:t>
            </w:r>
          </w:p>
        </w:tc>
        <w:tc>
          <w:tcPr>
            <w:tcW w:w="7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YoY</w:t>
            </w:r>
          </w:p>
        </w:tc>
        <w:tc>
          <w:tcPr>
            <w:tcW w:w="1260" w:type="dxa"/>
            <w:vAlign w:val="bottom"/>
            <w:tcBorders>
              <w:bottom w:val="single" w:sz="8" w:color="auto"/>
            </w:tcBorders>
            <w:shd w:val="clear" w:color="auto" w:fill="2AD2C9"/>
          </w:tcPr>
          <w:p>
            <w:pPr>
              <w:jc w:val="right"/>
              <w:ind w:right="573"/>
              <w:spacing w:after="0"/>
              <w:rPr>
                <w:sz w:val="20"/>
                <w:szCs w:val="20"/>
                <w:color w:val="auto"/>
              </w:rPr>
            </w:pPr>
            <w:r>
              <w:rPr>
                <w:rFonts w:ascii="Arial" w:cs="Arial" w:eastAsia="Arial" w:hAnsi="Arial"/>
                <w:sz w:val="13"/>
                <w:szCs w:val="13"/>
                <w:b w:val="1"/>
                <w:bCs w:val="1"/>
                <w:color w:val="FFFFFF"/>
              </w:rPr>
              <w:t>2021</w:t>
            </w:r>
          </w:p>
        </w:tc>
        <w:tc>
          <w:tcPr>
            <w:tcW w:w="760" w:type="dxa"/>
            <w:vAlign w:val="bottom"/>
            <w:tcBorders>
              <w:bottom w:val="single" w:sz="8" w:color="auto"/>
              <w:right w:val="single" w:sz="8" w:color="auto"/>
            </w:tcBorders>
            <w:shd w:val="clear" w:color="auto" w:fill="2AD2C9"/>
          </w:tcPr>
          <w:p>
            <w:pPr>
              <w:jc w:val="right"/>
              <w:ind w:right="313"/>
              <w:spacing w:after="0"/>
              <w:rPr>
                <w:sz w:val="20"/>
                <w:szCs w:val="20"/>
                <w:color w:val="auto"/>
              </w:rPr>
            </w:pPr>
            <w:r>
              <w:rPr>
                <w:rFonts w:ascii="Arial" w:cs="Arial" w:eastAsia="Arial" w:hAnsi="Arial"/>
                <w:sz w:val="13"/>
                <w:szCs w:val="13"/>
                <w:b w:val="1"/>
                <w:bCs w:val="1"/>
                <w:color w:val="FFFFFF"/>
              </w:rPr>
              <w:t>2022</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43"/>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Net interest income</w:t>
            </w:r>
          </w:p>
        </w:tc>
        <w:tc>
          <w:tcPr>
            <w:tcW w:w="1140" w:type="dxa"/>
            <w:vAlign w:val="bottom"/>
          </w:tcPr>
          <w:p>
            <w:pPr>
              <w:jc w:val="right"/>
              <w:ind w:right="113"/>
              <w:spacing w:after="0" w:line="144" w:lineRule="exact"/>
              <w:rPr>
                <w:sz w:val="20"/>
                <w:szCs w:val="20"/>
                <w:color w:val="auto"/>
              </w:rPr>
            </w:pPr>
            <w:r>
              <w:rPr>
                <w:rFonts w:ascii="Arial" w:cs="Arial" w:eastAsia="Arial" w:hAnsi="Arial"/>
                <w:sz w:val="13"/>
                <w:szCs w:val="13"/>
                <w:color w:val="auto"/>
              </w:rPr>
              <w:t>83,842</w:t>
            </w:r>
          </w:p>
        </w:tc>
        <w:tc>
          <w:tcPr>
            <w:tcW w:w="1020" w:type="dxa"/>
            <w:vAlign w:val="bottom"/>
          </w:tcPr>
          <w:p>
            <w:pPr>
              <w:jc w:val="right"/>
              <w:ind w:right="113"/>
              <w:spacing w:after="0" w:line="144" w:lineRule="exact"/>
              <w:rPr>
                <w:sz w:val="20"/>
                <w:szCs w:val="20"/>
                <w:color w:val="auto"/>
              </w:rPr>
            </w:pPr>
            <w:r>
              <w:rPr>
                <w:rFonts w:ascii="Arial" w:cs="Arial" w:eastAsia="Arial" w:hAnsi="Arial"/>
                <w:sz w:val="13"/>
                <w:szCs w:val="13"/>
                <w:color w:val="auto"/>
              </w:rPr>
              <w:t>82,407</w:t>
            </w:r>
          </w:p>
        </w:tc>
        <w:tc>
          <w:tcPr>
            <w:tcW w:w="920" w:type="dxa"/>
            <w:vAlign w:val="bottom"/>
            <w:tcBorders>
              <w:right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78,977</w:t>
            </w:r>
          </w:p>
        </w:tc>
        <w:tc>
          <w:tcPr>
            <w:tcW w:w="740" w:type="dxa"/>
            <w:vAlign w:val="bottom"/>
          </w:tcPr>
          <w:p>
            <w:pPr>
              <w:jc w:val="center"/>
              <w:spacing w:after="0" w:line="144" w:lineRule="exact"/>
              <w:rPr>
                <w:sz w:val="20"/>
                <w:szCs w:val="20"/>
                <w:color w:val="auto"/>
              </w:rPr>
            </w:pPr>
            <w:r>
              <w:rPr>
                <w:rFonts w:ascii="Arial" w:cs="Arial" w:eastAsia="Arial" w:hAnsi="Arial"/>
                <w:sz w:val="13"/>
                <w:szCs w:val="13"/>
                <w:color w:val="auto"/>
              </w:rPr>
              <w:t>-4.2%</w:t>
            </w:r>
          </w:p>
        </w:tc>
        <w:tc>
          <w:tcPr>
            <w:tcW w:w="8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-5.8%</w:t>
            </w:r>
          </w:p>
        </w:tc>
        <w:tc>
          <w:tcPr>
            <w:tcW w:w="1260" w:type="dxa"/>
            <w:vAlign w:val="bottom"/>
          </w:tcPr>
          <w:p>
            <w:pPr>
              <w:jc w:val="right"/>
              <w:ind w:right="233"/>
              <w:spacing w:after="0" w:line="144" w:lineRule="exact"/>
              <w:rPr>
                <w:sz w:val="20"/>
                <w:szCs w:val="20"/>
                <w:color w:val="auto"/>
              </w:rPr>
            </w:pPr>
            <w:r>
              <w:rPr>
                <w:rFonts w:ascii="Arial" w:cs="Arial" w:eastAsia="Arial" w:hAnsi="Arial"/>
                <w:sz w:val="13"/>
                <w:szCs w:val="13"/>
                <w:color w:val="auto"/>
              </w:rPr>
              <w:t>336,530</w:t>
            </w:r>
          </w:p>
        </w:tc>
        <w:tc>
          <w:tcPr>
            <w:tcW w:w="760" w:type="dxa"/>
            <w:vAlign w:val="bottom"/>
            <w:tcBorders>
              <w:right w:val="single" w:sz="8" w:color="auto"/>
            </w:tcBorders>
          </w:tcPr>
          <w:p>
            <w:pPr>
              <w:jc w:val="right"/>
              <w:ind w:right="13"/>
              <w:spacing w:after="0" w:line="144" w:lineRule="exact"/>
              <w:rPr>
                <w:sz w:val="20"/>
                <w:szCs w:val="20"/>
                <w:color w:val="auto"/>
              </w:rPr>
            </w:pPr>
            <w:r>
              <w:rPr>
                <w:rFonts w:ascii="Arial" w:cs="Arial" w:eastAsia="Arial" w:hAnsi="Arial"/>
                <w:sz w:val="13"/>
                <w:szCs w:val="13"/>
                <w:color w:val="auto"/>
              </w:rPr>
              <w:t>324,626</w:t>
            </w:r>
          </w:p>
        </w:tc>
        <w:tc>
          <w:tcPr>
            <w:tcW w:w="8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-3.5%</w:t>
            </w:r>
          </w:p>
        </w:tc>
      </w:tr>
      <w:tr>
        <w:trPr>
          <w:trHeight w:val="149"/>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Provision for loan losses, net of recoveries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(7,908)</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(9,200)</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(17,126)</w:t>
            </w:r>
          </w:p>
        </w:tc>
        <w:tc>
          <w:tcPr>
            <w:tcW w:w="740" w:type="dxa"/>
            <w:vAlign w:val="bottom"/>
          </w:tcPr>
          <w:p>
            <w:pPr>
              <w:jc w:val="center"/>
              <w:spacing w:after="0"/>
              <w:rPr>
                <w:sz w:val="20"/>
                <w:szCs w:val="20"/>
                <w:color w:val="auto"/>
              </w:rPr>
            </w:pPr>
            <w:r>
              <w:rPr>
                <w:rFonts w:ascii="Arial" w:cs="Arial" w:eastAsia="Arial" w:hAnsi="Arial"/>
                <w:sz w:val="13"/>
                <w:szCs w:val="13"/>
                <w:color w:val="auto"/>
              </w:rPr>
              <w:t>86.2%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116.6%</w:t>
            </w:r>
          </w:p>
        </w:tc>
        <w:tc>
          <w:tcPr>
            <w:tcW w:w="1260" w:type="dxa"/>
            <w:vAlign w:val="bottom"/>
          </w:tcPr>
          <w:p>
            <w:pPr>
              <w:jc w:val="right"/>
              <w:ind w:right="193"/>
              <w:spacing w:after="0"/>
              <w:rPr>
                <w:sz w:val="20"/>
                <w:szCs w:val="20"/>
                <w:color w:val="auto"/>
              </w:rPr>
            </w:pPr>
            <w:r>
              <w:rPr>
                <w:rFonts w:ascii="Arial" w:cs="Arial" w:eastAsia="Arial" w:hAnsi="Arial"/>
                <w:sz w:val="13"/>
                <w:szCs w:val="13"/>
                <w:color w:val="auto"/>
              </w:rPr>
              <w:t>(5,535)</w:t>
            </w:r>
          </w:p>
        </w:tc>
        <w:tc>
          <w:tcPr>
            <w:tcW w:w="7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(54,977)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r>
      <w:tr>
        <w:trPr>
          <w:trHeight w:val="153"/>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interest income after provisions</w:t>
            </w:r>
          </w:p>
        </w:tc>
        <w:tc>
          <w:tcPr>
            <w:tcW w:w="1140" w:type="dxa"/>
            <w:vAlign w:val="bottom"/>
          </w:tcPr>
          <w:p>
            <w:pPr>
              <w:jc w:val="right"/>
              <w:ind w:right="113"/>
              <w:spacing w:after="0"/>
              <w:rPr>
                <w:sz w:val="20"/>
                <w:szCs w:val="20"/>
                <w:color w:val="auto"/>
              </w:rPr>
            </w:pPr>
            <w:r>
              <w:rPr>
                <w:rFonts w:ascii="Arial" w:cs="Arial" w:eastAsia="Arial" w:hAnsi="Arial"/>
                <w:sz w:val="13"/>
                <w:szCs w:val="13"/>
                <w:b w:val="1"/>
                <w:bCs w:val="1"/>
                <w:color w:val="auto"/>
              </w:rPr>
              <w:t>75,934</w:t>
            </w:r>
          </w:p>
        </w:tc>
        <w:tc>
          <w:tcPr>
            <w:tcW w:w="1020" w:type="dxa"/>
            <w:vAlign w:val="bottom"/>
          </w:tcPr>
          <w:p>
            <w:pPr>
              <w:jc w:val="right"/>
              <w:ind w:right="113"/>
              <w:spacing w:after="0"/>
              <w:rPr>
                <w:sz w:val="20"/>
                <w:szCs w:val="20"/>
                <w:color w:val="auto"/>
              </w:rPr>
            </w:pPr>
            <w:r>
              <w:rPr>
                <w:rFonts w:ascii="Arial" w:cs="Arial" w:eastAsia="Arial" w:hAnsi="Arial"/>
                <w:sz w:val="13"/>
                <w:szCs w:val="13"/>
                <w:b w:val="1"/>
                <w:bCs w:val="1"/>
                <w:color w:val="auto"/>
              </w:rPr>
              <w:t>73,207</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61,850</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-15.5%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-18.5%</w:t>
            </w:r>
          </w:p>
        </w:tc>
        <w:tc>
          <w:tcPr>
            <w:tcW w:w="1260" w:type="dxa"/>
            <w:vAlign w:val="bottom"/>
          </w:tcPr>
          <w:p>
            <w:pPr>
              <w:jc w:val="right"/>
              <w:ind w:right="233"/>
              <w:spacing w:after="0"/>
              <w:rPr>
                <w:sz w:val="20"/>
                <w:szCs w:val="20"/>
                <w:color w:val="auto"/>
              </w:rPr>
            </w:pPr>
            <w:r>
              <w:rPr>
                <w:rFonts w:ascii="Arial" w:cs="Arial" w:eastAsia="Arial" w:hAnsi="Arial"/>
                <w:sz w:val="13"/>
                <w:szCs w:val="13"/>
                <w:b w:val="1"/>
                <w:bCs w:val="1"/>
                <w:color w:val="auto"/>
              </w:rPr>
              <w:t>330,995</w:t>
            </w:r>
          </w:p>
        </w:tc>
        <w:tc>
          <w:tcPr>
            <w:tcW w:w="7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269,649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-18.5%</w:t>
            </w: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Non-financial income</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48,202</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47,041</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46,134</w:t>
            </w:r>
          </w:p>
        </w:tc>
        <w:tc>
          <w:tcPr>
            <w:tcW w:w="740" w:type="dxa"/>
            <w:vAlign w:val="bottom"/>
          </w:tcPr>
          <w:p>
            <w:pPr>
              <w:jc w:val="center"/>
              <w:spacing w:after="0"/>
              <w:rPr>
                <w:sz w:val="20"/>
                <w:szCs w:val="20"/>
                <w:color w:val="auto"/>
              </w:rPr>
            </w:pPr>
            <w:r>
              <w:rPr>
                <w:rFonts w:ascii="Arial" w:cs="Arial" w:eastAsia="Arial" w:hAnsi="Arial"/>
                <w:sz w:val="13"/>
                <w:szCs w:val="13"/>
                <w:color w:val="auto"/>
              </w:rPr>
              <w:t>-1.9%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-4.3%</w:t>
            </w:r>
          </w:p>
        </w:tc>
        <w:tc>
          <w:tcPr>
            <w:tcW w:w="1260" w:type="dxa"/>
            <w:vAlign w:val="bottom"/>
          </w:tcPr>
          <w:p>
            <w:pPr>
              <w:jc w:val="right"/>
              <w:ind w:right="233"/>
              <w:spacing w:after="0"/>
              <w:rPr>
                <w:sz w:val="20"/>
                <w:szCs w:val="20"/>
                <w:color w:val="auto"/>
              </w:rPr>
            </w:pPr>
            <w:r>
              <w:rPr>
                <w:rFonts w:ascii="Arial" w:cs="Arial" w:eastAsia="Arial" w:hAnsi="Arial"/>
                <w:sz w:val="13"/>
                <w:szCs w:val="13"/>
                <w:color w:val="auto"/>
              </w:rPr>
              <w:t>166,326</w:t>
            </w:r>
          </w:p>
        </w:tc>
        <w:tc>
          <w:tcPr>
            <w:tcW w:w="7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color w:val="auto"/>
              </w:rPr>
              <w:t>176,802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6.3%</w:t>
            </w: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Total expenses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(90,747)</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(65,850)</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(84,186)</w:t>
            </w:r>
          </w:p>
        </w:tc>
        <w:tc>
          <w:tcPr>
            <w:tcW w:w="740" w:type="dxa"/>
            <w:vAlign w:val="bottom"/>
          </w:tcPr>
          <w:p>
            <w:pPr>
              <w:jc w:val="center"/>
              <w:spacing w:after="0"/>
              <w:rPr>
                <w:sz w:val="20"/>
                <w:szCs w:val="20"/>
                <w:color w:val="auto"/>
              </w:rPr>
            </w:pPr>
            <w:r>
              <w:rPr>
                <w:rFonts w:ascii="Arial" w:cs="Arial" w:eastAsia="Arial" w:hAnsi="Arial"/>
                <w:sz w:val="13"/>
                <w:szCs w:val="13"/>
                <w:color w:val="auto"/>
              </w:rPr>
              <w:t>27.8%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-7.2%</w:t>
            </w:r>
          </w:p>
        </w:tc>
        <w:tc>
          <w:tcPr>
            <w:tcW w:w="1260" w:type="dxa"/>
            <w:vAlign w:val="bottom"/>
          </w:tcPr>
          <w:p>
            <w:pPr>
              <w:jc w:val="right"/>
              <w:ind w:right="193"/>
              <w:spacing w:after="0"/>
              <w:rPr>
                <w:sz w:val="20"/>
                <w:szCs w:val="20"/>
                <w:color w:val="auto"/>
              </w:rPr>
            </w:pPr>
            <w:r>
              <w:rPr>
                <w:rFonts w:ascii="Arial" w:cs="Arial" w:eastAsia="Arial" w:hAnsi="Arial"/>
                <w:sz w:val="13"/>
                <w:szCs w:val="13"/>
                <w:color w:val="auto"/>
              </w:rPr>
              <w:t>(361,989)</w:t>
            </w:r>
          </w:p>
        </w:tc>
        <w:tc>
          <w:tcPr>
            <w:tcW w:w="7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(266,895)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-26.3%</w:t>
            </w: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Translation result</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10</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(69)</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188</w:t>
            </w:r>
          </w:p>
        </w:tc>
        <w:tc>
          <w:tcPr>
            <w:tcW w:w="740" w:type="dxa"/>
            <w:vAlign w:val="bottom"/>
          </w:tcPr>
          <w:p>
            <w:pPr>
              <w:jc w:val="center"/>
              <w:spacing w:after="0"/>
              <w:rPr>
                <w:sz w:val="20"/>
                <w:szCs w:val="20"/>
                <w:color w:val="auto"/>
              </w:rPr>
            </w:pPr>
            <w:r>
              <w:rPr>
                <w:rFonts w:ascii="Arial" w:cs="Arial" w:eastAsia="Arial" w:hAnsi="Arial"/>
                <w:sz w:val="13"/>
                <w:szCs w:val="13"/>
                <w:color w:val="auto"/>
              </w:rPr>
              <w:t>-371.4%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1260" w:type="dxa"/>
            <w:vAlign w:val="bottom"/>
          </w:tcPr>
          <w:p>
            <w:pPr>
              <w:jc w:val="right"/>
              <w:ind w:right="193"/>
              <w:spacing w:after="0"/>
              <w:rPr>
                <w:sz w:val="20"/>
                <w:szCs w:val="20"/>
                <w:color w:val="auto"/>
              </w:rPr>
            </w:pPr>
            <w:r>
              <w:rPr>
                <w:rFonts w:ascii="Arial" w:cs="Arial" w:eastAsia="Arial" w:hAnsi="Arial"/>
                <w:sz w:val="13"/>
                <w:szCs w:val="13"/>
                <w:color w:val="auto"/>
              </w:rPr>
              <w:t>(70)</w:t>
            </w:r>
          </w:p>
        </w:tc>
        <w:tc>
          <w:tcPr>
            <w:tcW w:w="7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95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-234.8%</w:t>
            </w:r>
          </w:p>
        </w:tc>
      </w:tr>
      <w:tr>
        <w:trPr>
          <w:trHeight w:val="149"/>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Income taxes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(10,866)</w:t>
            </w:r>
          </w:p>
        </w:tc>
        <w:tc>
          <w:tcPr>
            <w:tcW w:w="1020" w:type="dxa"/>
            <w:vAlign w:val="bottom"/>
          </w:tcPr>
          <w:p>
            <w:pPr>
              <w:jc w:val="right"/>
              <w:ind w:right="73"/>
              <w:spacing w:after="0"/>
              <w:rPr>
                <w:sz w:val="20"/>
                <w:szCs w:val="20"/>
                <w:color w:val="auto"/>
              </w:rPr>
            </w:pPr>
            <w:r>
              <w:rPr>
                <w:rFonts w:ascii="Arial" w:cs="Arial" w:eastAsia="Arial" w:hAnsi="Arial"/>
                <w:sz w:val="13"/>
                <w:szCs w:val="13"/>
                <w:color w:val="auto"/>
              </w:rPr>
              <w:t>(40,406)</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(7,228)</w:t>
            </w:r>
          </w:p>
        </w:tc>
        <w:tc>
          <w:tcPr>
            <w:tcW w:w="740" w:type="dxa"/>
            <w:vAlign w:val="bottom"/>
          </w:tcPr>
          <w:p>
            <w:pPr>
              <w:jc w:val="center"/>
              <w:spacing w:after="0"/>
              <w:rPr>
                <w:sz w:val="20"/>
                <w:szCs w:val="20"/>
                <w:color w:val="auto"/>
              </w:rPr>
            </w:pPr>
            <w:r>
              <w:rPr>
                <w:rFonts w:ascii="Arial" w:cs="Arial" w:eastAsia="Arial" w:hAnsi="Arial"/>
                <w:sz w:val="13"/>
                <w:szCs w:val="13"/>
                <w:color w:val="auto"/>
              </w:rPr>
              <w:t>-82.1%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-33.5%</w:t>
            </w:r>
          </w:p>
        </w:tc>
        <w:tc>
          <w:tcPr>
            <w:tcW w:w="1260" w:type="dxa"/>
            <w:vAlign w:val="bottom"/>
          </w:tcPr>
          <w:p>
            <w:pPr>
              <w:jc w:val="right"/>
              <w:ind w:right="193"/>
              <w:spacing w:after="0"/>
              <w:rPr>
                <w:sz w:val="20"/>
                <w:szCs w:val="20"/>
                <w:color w:val="auto"/>
              </w:rPr>
            </w:pPr>
            <w:r>
              <w:rPr>
                <w:rFonts w:ascii="Arial" w:cs="Arial" w:eastAsia="Arial" w:hAnsi="Arial"/>
                <w:sz w:val="13"/>
                <w:szCs w:val="13"/>
                <w:color w:val="auto"/>
              </w:rPr>
              <w:t>(62,994)</w:t>
            </w:r>
          </w:p>
        </w:tc>
        <w:tc>
          <w:tcPr>
            <w:tcW w:w="7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(111,638)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77.2%</w:t>
            </w:r>
          </w:p>
        </w:tc>
      </w:tr>
      <w:tr>
        <w:trPr>
          <w:trHeight w:val="166"/>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income</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22,532</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13,921</w:t>
            </w:r>
          </w:p>
        </w:tc>
        <w:tc>
          <w:tcPr>
            <w:tcW w:w="9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16,759</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-25.6%</w:t>
            </w: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72,267</w:t>
            </w:r>
          </w:p>
        </w:tc>
        <w:tc>
          <w:tcPr>
            <w:tcW w:w="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68,013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-5.9%</w:t>
            </w:r>
          </w:p>
        </w:tc>
      </w:tr>
      <w:tr>
        <w:trPr>
          <w:trHeight w:val="156"/>
        </w:trPr>
        <w:tc>
          <w:tcPr>
            <w:tcW w:w="4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43"/>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Efficiency ratio</w:t>
            </w:r>
          </w:p>
        </w:tc>
        <w:tc>
          <w:tcPr>
            <w:tcW w:w="1140" w:type="dxa"/>
            <w:vAlign w:val="bottom"/>
          </w:tcPr>
          <w:p>
            <w:pPr>
              <w:jc w:val="right"/>
              <w:ind w:right="113"/>
              <w:spacing w:after="0" w:line="144" w:lineRule="exact"/>
              <w:rPr>
                <w:sz w:val="20"/>
                <w:szCs w:val="20"/>
                <w:color w:val="auto"/>
              </w:rPr>
            </w:pPr>
            <w:r>
              <w:rPr>
                <w:rFonts w:ascii="Arial" w:cs="Arial" w:eastAsia="Arial" w:hAnsi="Arial"/>
                <w:sz w:val="13"/>
                <w:szCs w:val="13"/>
                <w:color w:val="auto"/>
              </w:rPr>
              <w:t>70.2%</w:t>
            </w:r>
          </w:p>
        </w:tc>
        <w:tc>
          <w:tcPr>
            <w:tcW w:w="1020" w:type="dxa"/>
            <w:vAlign w:val="bottom"/>
          </w:tcPr>
          <w:p>
            <w:pPr>
              <w:jc w:val="right"/>
              <w:ind w:right="113"/>
              <w:spacing w:after="0" w:line="144" w:lineRule="exact"/>
              <w:rPr>
                <w:sz w:val="20"/>
                <w:szCs w:val="20"/>
                <w:color w:val="auto"/>
              </w:rPr>
            </w:pPr>
            <w:r>
              <w:rPr>
                <w:rFonts w:ascii="Arial" w:cs="Arial" w:eastAsia="Arial" w:hAnsi="Arial"/>
                <w:sz w:val="13"/>
                <w:szCs w:val="13"/>
                <w:color w:val="auto"/>
              </w:rPr>
              <w:t>60.4%</w:t>
            </w:r>
          </w:p>
        </w:tc>
        <w:tc>
          <w:tcPr>
            <w:tcW w:w="920" w:type="dxa"/>
            <w:vAlign w:val="bottom"/>
            <w:tcBorders>
              <w:right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63.4%</w:t>
            </w:r>
          </w:p>
        </w:tc>
        <w:tc>
          <w:tcPr>
            <w:tcW w:w="740" w:type="dxa"/>
            <w:vAlign w:val="bottom"/>
          </w:tcPr>
          <w:p>
            <w:pPr>
              <w:jc w:val="center"/>
              <w:spacing w:after="0" w:line="144" w:lineRule="exact"/>
              <w:rPr>
                <w:sz w:val="20"/>
                <w:szCs w:val="20"/>
                <w:color w:val="auto"/>
              </w:rPr>
            </w:pPr>
            <w:r>
              <w:rPr>
                <w:rFonts w:ascii="Arial" w:cs="Arial" w:eastAsia="Arial" w:hAnsi="Arial"/>
                <w:sz w:val="13"/>
                <w:szCs w:val="13"/>
                <w:color w:val="auto"/>
              </w:rPr>
              <w:t>300 pbs</w:t>
            </w:r>
          </w:p>
        </w:tc>
        <w:tc>
          <w:tcPr>
            <w:tcW w:w="8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-680 pbs</w:t>
            </w:r>
          </w:p>
        </w:tc>
        <w:tc>
          <w:tcPr>
            <w:tcW w:w="1260" w:type="dxa"/>
            <w:vAlign w:val="bottom"/>
          </w:tcPr>
          <w:p>
            <w:pPr>
              <w:jc w:val="right"/>
              <w:ind w:right="233"/>
              <w:spacing w:after="0" w:line="144" w:lineRule="exact"/>
              <w:rPr>
                <w:sz w:val="20"/>
                <w:szCs w:val="20"/>
                <w:color w:val="auto"/>
              </w:rPr>
            </w:pPr>
            <w:r>
              <w:rPr>
                <w:rFonts w:ascii="Arial" w:cs="Arial" w:eastAsia="Arial" w:hAnsi="Arial"/>
                <w:sz w:val="13"/>
                <w:szCs w:val="13"/>
                <w:color w:val="auto"/>
              </w:rPr>
              <w:t>59.6%</w:t>
            </w:r>
          </w:p>
        </w:tc>
        <w:tc>
          <w:tcPr>
            <w:tcW w:w="760" w:type="dxa"/>
            <w:vAlign w:val="bottom"/>
            <w:tcBorders>
              <w:right w:val="single" w:sz="8" w:color="auto"/>
            </w:tcBorders>
          </w:tcPr>
          <w:p>
            <w:pPr>
              <w:jc w:val="right"/>
              <w:ind w:right="13"/>
              <w:spacing w:after="0" w:line="144" w:lineRule="exact"/>
              <w:rPr>
                <w:sz w:val="20"/>
                <w:szCs w:val="20"/>
                <w:color w:val="auto"/>
              </w:rPr>
            </w:pPr>
            <w:r>
              <w:rPr>
                <w:rFonts w:ascii="Arial" w:cs="Arial" w:eastAsia="Arial" w:hAnsi="Arial"/>
                <w:sz w:val="13"/>
                <w:szCs w:val="13"/>
                <w:color w:val="auto"/>
              </w:rPr>
              <w:t>59.8%</w:t>
            </w:r>
          </w:p>
        </w:tc>
        <w:tc>
          <w:tcPr>
            <w:tcW w:w="8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20 pbs</w:t>
            </w:r>
          </w:p>
        </w:tc>
      </w:tr>
      <w:tr>
        <w:trPr>
          <w:trHeight w:val="164"/>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ROAE</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10.8%</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6.6%</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7.7%</w:t>
            </w:r>
          </w:p>
        </w:tc>
        <w:tc>
          <w:tcPr>
            <w:tcW w:w="740" w:type="dxa"/>
            <w:vAlign w:val="bottom"/>
          </w:tcPr>
          <w:p>
            <w:pPr>
              <w:jc w:val="center"/>
              <w:spacing w:after="0"/>
              <w:rPr>
                <w:sz w:val="20"/>
                <w:szCs w:val="20"/>
                <w:color w:val="auto"/>
              </w:rPr>
            </w:pPr>
            <w:r>
              <w:rPr>
                <w:rFonts w:ascii="Arial" w:cs="Arial" w:eastAsia="Arial" w:hAnsi="Arial"/>
                <w:sz w:val="13"/>
                <w:szCs w:val="13"/>
                <w:color w:val="auto"/>
                <w:w w:val="99"/>
              </w:rPr>
              <w:t>110 pbs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-301 pbs</w:t>
            </w:r>
          </w:p>
        </w:tc>
        <w:tc>
          <w:tcPr>
            <w:tcW w:w="12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9.5%</w:t>
            </w:r>
          </w:p>
        </w:tc>
        <w:tc>
          <w:tcPr>
            <w:tcW w:w="7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8.0%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-144 pbs</w:t>
            </w:r>
          </w:p>
        </w:tc>
      </w:tr>
      <w:tr>
        <w:trPr>
          <w:trHeight w:val="143"/>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3"/>
                <w:szCs w:val="13"/>
                <w:color w:val="auto"/>
              </w:rPr>
              <w:t>L/D ratio</w:t>
            </w:r>
          </w:p>
        </w:tc>
        <w:tc>
          <w:tcPr>
            <w:tcW w:w="1140" w:type="dxa"/>
            <w:vAlign w:val="bottom"/>
          </w:tcPr>
          <w:p>
            <w:pPr>
              <w:jc w:val="right"/>
              <w:ind w:right="113"/>
              <w:spacing w:after="0" w:line="144" w:lineRule="exact"/>
              <w:rPr>
                <w:sz w:val="20"/>
                <w:szCs w:val="20"/>
                <w:color w:val="auto"/>
              </w:rPr>
            </w:pPr>
            <w:r>
              <w:rPr>
                <w:rFonts w:ascii="Arial" w:cs="Arial" w:eastAsia="Arial" w:hAnsi="Arial"/>
                <w:sz w:val="13"/>
                <w:szCs w:val="13"/>
                <w:color w:val="auto"/>
              </w:rPr>
              <w:t>81.9%</w:t>
            </w:r>
          </w:p>
        </w:tc>
        <w:tc>
          <w:tcPr>
            <w:tcW w:w="1020" w:type="dxa"/>
            <w:vAlign w:val="bottom"/>
          </w:tcPr>
          <w:p>
            <w:pPr>
              <w:jc w:val="right"/>
              <w:ind w:right="113"/>
              <w:spacing w:after="0" w:line="144" w:lineRule="exact"/>
              <w:rPr>
                <w:sz w:val="20"/>
                <w:szCs w:val="20"/>
                <w:color w:val="auto"/>
              </w:rPr>
            </w:pPr>
            <w:r>
              <w:rPr>
                <w:rFonts w:ascii="Arial" w:cs="Arial" w:eastAsia="Arial" w:hAnsi="Arial"/>
                <w:sz w:val="13"/>
                <w:szCs w:val="13"/>
                <w:color w:val="auto"/>
              </w:rPr>
              <w:t>84.0%</w:t>
            </w:r>
          </w:p>
        </w:tc>
        <w:tc>
          <w:tcPr>
            <w:tcW w:w="920" w:type="dxa"/>
            <w:vAlign w:val="bottom"/>
            <w:tcBorders>
              <w:right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86.3%</w:t>
            </w:r>
          </w:p>
        </w:tc>
        <w:tc>
          <w:tcPr>
            <w:tcW w:w="740" w:type="dxa"/>
            <w:vAlign w:val="bottom"/>
          </w:tcPr>
          <w:p>
            <w:pPr>
              <w:jc w:val="center"/>
              <w:spacing w:after="0" w:line="144" w:lineRule="exact"/>
              <w:rPr>
                <w:sz w:val="20"/>
                <w:szCs w:val="20"/>
                <w:color w:val="auto"/>
              </w:rPr>
            </w:pPr>
            <w:r>
              <w:rPr>
                <w:rFonts w:ascii="Arial" w:cs="Arial" w:eastAsia="Arial" w:hAnsi="Arial"/>
                <w:sz w:val="13"/>
                <w:szCs w:val="13"/>
                <w:color w:val="auto"/>
              </w:rPr>
              <w:t>230 pbs</w:t>
            </w:r>
          </w:p>
        </w:tc>
        <w:tc>
          <w:tcPr>
            <w:tcW w:w="8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442 pbs</w:t>
            </w: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IOL ratio</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0.97%</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2.07%</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2.11%</w:t>
            </w:r>
          </w:p>
        </w:tc>
        <w:tc>
          <w:tcPr>
            <w:tcW w:w="740" w:type="dxa"/>
            <w:vAlign w:val="bottom"/>
          </w:tcPr>
          <w:p>
            <w:pPr>
              <w:jc w:val="center"/>
              <w:spacing w:after="0"/>
              <w:rPr>
                <w:sz w:val="20"/>
                <w:szCs w:val="20"/>
                <w:color w:val="auto"/>
              </w:rPr>
            </w:pPr>
            <w:r>
              <w:rPr>
                <w:rFonts w:ascii="Arial" w:cs="Arial" w:eastAsia="Arial" w:hAnsi="Arial"/>
                <w:sz w:val="13"/>
                <w:szCs w:val="13"/>
                <w:color w:val="auto"/>
              </w:rPr>
              <w:t>0 pbs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114 pbs</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NPL ratio</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1.37%</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2.40%</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2.40%</w:t>
            </w:r>
          </w:p>
        </w:tc>
        <w:tc>
          <w:tcPr>
            <w:tcW w:w="740" w:type="dxa"/>
            <w:vAlign w:val="bottom"/>
          </w:tcPr>
          <w:p>
            <w:pPr>
              <w:jc w:val="center"/>
              <w:spacing w:after="0"/>
              <w:rPr>
                <w:sz w:val="20"/>
                <w:szCs w:val="20"/>
                <w:color w:val="auto"/>
              </w:rPr>
            </w:pPr>
            <w:r>
              <w:rPr>
                <w:rFonts w:ascii="Arial" w:cs="Arial" w:eastAsia="Arial" w:hAnsi="Arial"/>
                <w:sz w:val="13"/>
                <w:szCs w:val="13"/>
                <w:color w:val="auto"/>
              </w:rPr>
              <w:t>0 pbs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103 pbs</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Coverage of IOLs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488.3%</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216.5%</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203.4%</w:t>
            </w:r>
          </w:p>
        </w:tc>
        <w:tc>
          <w:tcPr>
            <w:tcW w:w="740" w:type="dxa"/>
            <w:vAlign w:val="bottom"/>
          </w:tcPr>
          <w:p>
            <w:pPr>
              <w:jc w:val="center"/>
              <w:spacing w:after="0"/>
              <w:rPr>
                <w:sz w:val="20"/>
                <w:szCs w:val="20"/>
                <w:color w:val="auto"/>
              </w:rPr>
            </w:pPr>
            <w:r>
              <w:rPr>
                <w:rFonts w:ascii="Arial" w:cs="Arial" w:eastAsia="Arial" w:hAnsi="Arial"/>
                <w:sz w:val="13"/>
                <w:szCs w:val="13"/>
                <w:color w:val="auto"/>
              </w:rPr>
              <w:t>-1310 pbs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-28496 pbs</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Coverage of NPLs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343.0%</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187.4%</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179.4%</w:t>
            </w:r>
          </w:p>
        </w:tc>
        <w:tc>
          <w:tcPr>
            <w:tcW w:w="740" w:type="dxa"/>
            <w:vAlign w:val="bottom"/>
          </w:tcPr>
          <w:p>
            <w:pPr>
              <w:jc w:val="center"/>
              <w:spacing w:after="0"/>
              <w:rPr>
                <w:sz w:val="20"/>
                <w:szCs w:val="20"/>
                <w:color w:val="auto"/>
              </w:rPr>
            </w:pPr>
            <w:r>
              <w:rPr>
                <w:rFonts w:ascii="Arial" w:cs="Arial" w:eastAsia="Arial" w:hAnsi="Arial"/>
                <w:sz w:val="13"/>
                <w:szCs w:val="13"/>
                <w:color w:val="auto"/>
              </w:rPr>
              <w:t>-800 pbs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-16359 pbs</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Branches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45</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45</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45</w:t>
            </w:r>
          </w:p>
        </w:tc>
        <w:tc>
          <w:tcPr>
            <w:tcW w:w="740" w:type="dxa"/>
            <w:vAlign w:val="bottom"/>
          </w:tcPr>
          <w:p>
            <w:pPr>
              <w:jc w:val="center"/>
              <w:spacing w:after="0"/>
              <w:rPr>
                <w:sz w:val="20"/>
                <w:szCs w:val="20"/>
                <w:color w:val="auto"/>
              </w:rPr>
            </w:pPr>
            <w:r>
              <w:rPr>
                <w:rFonts w:ascii="Arial" w:cs="Arial" w:eastAsia="Arial" w:hAnsi="Arial"/>
                <w:sz w:val="13"/>
                <w:szCs w:val="13"/>
                <w:color w:val="auto"/>
              </w:rPr>
              <w:t>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Agentes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1011</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1177</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1355</w:t>
            </w:r>
          </w:p>
        </w:tc>
        <w:tc>
          <w:tcPr>
            <w:tcW w:w="740" w:type="dxa"/>
            <w:vAlign w:val="bottom"/>
          </w:tcPr>
          <w:p>
            <w:pPr>
              <w:jc w:val="center"/>
              <w:spacing w:after="0"/>
              <w:rPr>
                <w:sz w:val="20"/>
                <w:szCs w:val="20"/>
                <w:color w:val="auto"/>
              </w:rPr>
            </w:pPr>
            <w:r>
              <w:rPr>
                <w:rFonts w:ascii="Arial" w:cs="Arial" w:eastAsia="Arial" w:hAnsi="Arial"/>
                <w:sz w:val="13"/>
                <w:szCs w:val="13"/>
                <w:color w:val="auto"/>
              </w:rPr>
              <w:t>178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344</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ATMs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310</w:t>
            </w:r>
          </w:p>
        </w:tc>
        <w:tc>
          <w:tcPr>
            <w:tcW w:w="1020" w:type="dxa"/>
            <w:vAlign w:val="bottom"/>
          </w:tcPr>
          <w:p>
            <w:pPr>
              <w:jc w:val="right"/>
              <w:ind w:right="113"/>
              <w:spacing w:after="0"/>
              <w:rPr>
                <w:sz w:val="20"/>
                <w:szCs w:val="20"/>
                <w:color w:val="auto"/>
              </w:rPr>
            </w:pPr>
            <w:r>
              <w:rPr>
                <w:rFonts w:ascii="Arial" w:cs="Arial" w:eastAsia="Arial" w:hAnsi="Arial"/>
                <w:sz w:val="13"/>
                <w:szCs w:val="13"/>
                <w:color w:val="auto"/>
              </w:rPr>
              <w:t>311</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312</w:t>
            </w:r>
          </w:p>
        </w:tc>
        <w:tc>
          <w:tcPr>
            <w:tcW w:w="740" w:type="dxa"/>
            <w:vAlign w:val="bottom"/>
          </w:tcPr>
          <w:p>
            <w:pPr>
              <w:jc w:val="center"/>
              <w:spacing w:after="0"/>
              <w:rPr>
                <w:sz w:val="20"/>
                <w:szCs w:val="20"/>
                <w:color w:val="auto"/>
              </w:rPr>
            </w:pPr>
            <w:r>
              <w:rPr>
                <w:rFonts w:ascii="Arial" w:cs="Arial" w:eastAsia="Arial" w:hAnsi="Arial"/>
                <w:sz w:val="13"/>
                <w:szCs w:val="13"/>
                <w:color w:val="auto"/>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Employees</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1,568</w:t>
            </w: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1,622</w:t>
            </w:r>
          </w:p>
        </w:tc>
        <w:tc>
          <w:tcPr>
            <w:tcW w:w="9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1,696</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74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128</w:t>
            </w: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1"/>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39"/>
        </w:trPr>
        <w:tc>
          <w:tcPr>
            <w:tcW w:w="4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bl>
    <w:p>
      <w:pPr>
        <w:sectPr>
          <w:pgSz w:w="11900" w:h="16838" w:orient="portrait"/>
          <w:cols w:equalWidth="0" w:num="1">
            <w:col w:w="11280"/>
          </w:cols>
          <w:pgMar w:left="300" w:top="823" w:right="319" w:bottom="1440" w:gutter="0" w:footer="0" w:header="0"/>
        </w:sectPr>
      </w:pPr>
    </w:p>
    <w:bookmarkStart w:id="65" w:name="page66"/>
    <w:bookmarkEnd w:id="65"/>
    <w:p>
      <w:pPr>
        <w:ind w:left="2980"/>
        <w:spacing w:after="0"/>
        <w:tabs>
          <w:tab w:leader="none" w:pos="752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88900</wp:posOffset>
            </wp:positionV>
            <wp:extent cx="7141845" cy="535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41845" cy="3517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1845" cy="3517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FFFFFF"/>
        </w:rPr>
        <w:t>12. Appendix</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12.5.6. Mibanco</w:t>
      </w:r>
    </w:p>
    <w:p>
      <w:pPr>
        <w:spacing w:after="0" w:line="220" w:lineRule="exact"/>
        <w:rPr>
          <w:sz w:val="20"/>
          <w:szCs w:val="20"/>
          <w:color w:val="auto"/>
        </w:rPr>
      </w:pPr>
    </w:p>
    <w:p>
      <w:pPr>
        <w:jc w:val="center"/>
        <w:ind w:right="2760"/>
        <w:spacing w:after="0"/>
        <w:rPr>
          <w:sz w:val="20"/>
          <w:szCs w:val="20"/>
          <w:color w:val="auto"/>
        </w:rPr>
      </w:pPr>
      <w:r>
        <w:rPr>
          <w:rFonts w:ascii="Arial" w:cs="Arial" w:eastAsia="Arial" w:hAnsi="Arial"/>
          <w:sz w:val="17"/>
          <w:szCs w:val="17"/>
          <w:b w:val="1"/>
          <w:bCs w:val="1"/>
          <w:color w:val="auto"/>
        </w:rPr>
        <w:t>MIBANCO</w:t>
      </w:r>
    </w:p>
    <w:p>
      <w:pPr>
        <w:spacing w:after="0" w:line="9" w:lineRule="exact"/>
        <w:rPr>
          <w:sz w:val="20"/>
          <w:szCs w:val="20"/>
          <w:color w:val="auto"/>
        </w:rPr>
      </w:pPr>
    </w:p>
    <w:p>
      <w:pPr>
        <w:jc w:val="center"/>
        <w:ind w:right="2760"/>
        <w:spacing w:after="0"/>
        <w:rPr>
          <w:sz w:val="20"/>
          <w:szCs w:val="20"/>
          <w:color w:val="auto"/>
        </w:rPr>
      </w:pPr>
      <w:r>
        <w:rPr>
          <w:rFonts w:ascii="Arial" w:cs="Arial" w:eastAsia="Arial" w:hAnsi="Arial"/>
          <w:sz w:val="17"/>
          <w:szCs w:val="17"/>
          <w:b w:val="1"/>
          <w:bCs w:val="1"/>
          <w:color w:val="auto"/>
        </w:rPr>
        <w:t>(In S/ thousands, IFRS)</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860" w:type="dxa"/>
            <w:vAlign w:val="bottom"/>
            <w:tcBorders>
              <w:right w:val="single" w:sz="8" w:color="auto"/>
            </w:tcBorders>
          </w:tcPr>
          <w:p>
            <w:pPr>
              <w:spacing w:after="0"/>
              <w:rPr>
                <w:sz w:val="14"/>
                <w:szCs w:val="14"/>
                <w:color w:val="auto"/>
              </w:rPr>
            </w:pPr>
          </w:p>
        </w:tc>
        <w:tc>
          <w:tcPr>
            <w:tcW w:w="1120" w:type="dxa"/>
            <w:vAlign w:val="bottom"/>
            <w:tcBorders>
              <w:top w:val="single" w:sz="8" w:color="auto"/>
            </w:tcBorders>
            <w:shd w:val="clear" w:color="auto" w:fill="2AD2C9"/>
          </w:tcPr>
          <w:p>
            <w:pPr>
              <w:spacing w:after="0"/>
              <w:rPr>
                <w:sz w:val="14"/>
                <w:szCs w:val="14"/>
                <w:color w:val="auto"/>
              </w:rPr>
            </w:pPr>
          </w:p>
        </w:tc>
        <w:tc>
          <w:tcPr>
            <w:tcW w:w="1000" w:type="dxa"/>
            <w:vAlign w:val="bottom"/>
            <w:tcBorders>
              <w:top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As of</w:t>
            </w:r>
          </w:p>
        </w:tc>
        <w:tc>
          <w:tcPr>
            <w:tcW w:w="960" w:type="dxa"/>
            <w:vAlign w:val="bottom"/>
            <w:tcBorders>
              <w:top w:val="single" w:sz="8" w:color="auto"/>
              <w:right w:val="single" w:sz="8" w:color="auto"/>
            </w:tcBorders>
            <w:shd w:val="clear" w:color="auto" w:fill="2AD2C9"/>
          </w:tcPr>
          <w:p>
            <w:pPr>
              <w:spacing w:after="0"/>
              <w:rPr>
                <w:sz w:val="14"/>
                <w:szCs w:val="14"/>
                <w:color w:val="auto"/>
              </w:rPr>
            </w:pPr>
          </w:p>
        </w:tc>
        <w:tc>
          <w:tcPr>
            <w:tcW w:w="1540" w:type="dxa"/>
            <w:vAlign w:val="bottom"/>
            <w:tcBorders>
              <w:top w:val="single" w:sz="8" w:color="auto"/>
              <w:right w:val="single" w:sz="8" w:color="auto"/>
            </w:tcBorders>
            <w:gridSpan w:val="2"/>
            <w:shd w:val="clear" w:color="auto" w:fill="2AD2C9"/>
          </w:tcPr>
          <w:p>
            <w:pPr>
              <w:ind w:left="440"/>
              <w:spacing w:after="0"/>
              <w:rPr>
                <w:sz w:val="20"/>
                <w:szCs w:val="20"/>
                <w:color w:val="auto"/>
              </w:rPr>
            </w:pPr>
            <w:r>
              <w:rPr>
                <w:rFonts w:ascii="Arial" w:cs="Arial" w:eastAsia="Arial" w:hAnsi="Arial"/>
                <w:sz w:val="13"/>
                <w:szCs w:val="13"/>
                <w:b w:val="1"/>
                <w:bCs w:val="1"/>
                <w:color w:val="FFFFFF"/>
              </w:rPr>
              <w:t>% change</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38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Dec 21</w:t>
            </w:r>
          </w:p>
        </w:tc>
        <w:tc>
          <w:tcPr>
            <w:tcW w:w="1000" w:type="dxa"/>
            <w:vAlign w:val="bottom"/>
            <w:tcBorders>
              <w:bottom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Sep 22</w:t>
            </w:r>
          </w:p>
        </w:tc>
        <w:tc>
          <w:tcPr>
            <w:tcW w:w="960" w:type="dxa"/>
            <w:vAlign w:val="bottom"/>
            <w:tcBorders>
              <w:bottom w:val="single" w:sz="8" w:color="auto"/>
              <w:right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Dec 22</w:t>
            </w:r>
          </w:p>
        </w:tc>
        <w:tc>
          <w:tcPr>
            <w:tcW w:w="7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YoY</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3"/>
        </w:trPr>
        <w:tc>
          <w:tcPr>
            <w:tcW w:w="3860" w:type="dxa"/>
            <w:vAlign w:val="bottom"/>
            <w:tcBorders>
              <w:left w:val="single" w:sz="8" w:color="auto"/>
              <w:right w:val="single" w:sz="8" w:color="auto"/>
            </w:tcBorders>
          </w:tcPr>
          <w:p>
            <w:pPr>
              <w:ind w:left="60"/>
              <w:spacing w:after="0" w:line="144" w:lineRule="exact"/>
              <w:rPr>
                <w:sz w:val="20"/>
                <w:szCs w:val="20"/>
                <w:color w:val="auto"/>
              </w:rPr>
            </w:pPr>
            <w:r>
              <w:rPr>
                <w:rFonts w:ascii="Arial" w:cs="Arial" w:eastAsia="Arial" w:hAnsi="Arial"/>
                <w:sz w:val="13"/>
                <w:szCs w:val="13"/>
                <w:b w:val="1"/>
                <w:bCs w:val="1"/>
                <w:color w:val="auto"/>
              </w:rPr>
              <w:t>ASSETS</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Cash and due from banks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1,107,339</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1,869,624</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1,850,881</w:t>
            </w:r>
          </w:p>
        </w:tc>
        <w:tc>
          <w:tcPr>
            <w:tcW w:w="740" w:type="dxa"/>
            <w:vAlign w:val="bottom"/>
          </w:tcPr>
          <w:p>
            <w:pPr>
              <w:jc w:val="center"/>
              <w:spacing w:after="0"/>
              <w:rPr>
                <w:sz w:val="20"/>
                <w:szCs w:val="20"/>
                <w:color w:val="auto"/>
              </w:rPr>
            </w:pPr>
            <w:r>
              <w:rPr>
                <w:rFonts w:ascii="Arial" w:cs="Arial" w:eastAsia="Arial" w:hAnsi="Arial"/>
                <w:sz w:val="13"/>
                <w:szCs w:val="13"/>
                <w:color w:val="auto"/>
              </w:rPr>
              <w:t>-1.0%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67.1%</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Investments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1,591,562</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1,771,298</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1,459,434</w:t>
            </w:r>
          </w:p>
        </w:tc>
        <w:tc>
          <w:tcPr>
            <w:tcW w:w="740" w:type="dxa"/>
            <w:vAlign w:val="bottom"/>
          </w:tcPr>
          <w:p>
            <w:pPr>
              <w:jc w:val="center"/>
              <w:spacing w:after="0"/>
              <w:rPr>
                <w:sz w:val="20"/>
                <w:szCs w:val="20"/>
                <w:color w:val="auto"/>
              </w:rPr>
            </w:pPr>
            <w:r>
              <w:rPr>
                <w:rFonts w:ascii="Arial" w:cs="Arial" w:eastAsia="Arial" w:hAnsi="Arial"/>
                <w:sz w:val="13"/>
                <w:szCs w:val="13"/>
                <w:color w:val="auto"/>
              </w:rPr>
              <w:t>-17.6%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-8.3%</w:t>
            </w: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3"/>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Total loans</w:t>
            </w:r>
          </w:p>
        </w:tc>
        <w:tc>
          <w:tcPr>
            <w:tcW w:w="1120" w:type="dxa"/>
            <w:vAlign w:val="bottom"/>
          </w:tcPr>
          <w:p>
            <w:pPr>
              <w:jc w:val="right"/>
              <w:ind w:right="93"/>
              <w:spacing w:after="0"/>
              <w:rPr>
                <w:sz w:val="20"/>
                <w:szCs w:val="20"/>
                <w:color w:val="auto"/>
              </w:rPr>
            </w:pPr>
            <w:r>
              <w:rPr>
                <w:rFonts w:ascii="Arial" w:cs="Arial" w:eastAsia="Arial" w:hAnsi="Arial"/>
                <w:sz w:val="13"/>
                <w:szCs w:val="13"/>
                <w:b w:val="1"/>
                <w:bCs w:val="1"/>
                <w:color w:val="auto"/>
              </w:rPr>
              <w:t>13,512,892</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14,228,231</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14,089,071</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-1.0%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4.3%</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38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Current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12,544,853</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13,213,979</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13,228,543</w:t>
            </w:r>
          </w:p>
        </w:tc>
        <w:tc>
          <w:tcPr>
            <w:tcW w:w="740" w:type="dxa"/>
            <w:vAlign w:val="bottom"/>
          </w:tcPr>
          <w:p>
            <w:pPr>
              <w:jc w:val="center"/>
              <w:spacing w:after="0"/>
              <w:rPr>
                <w:sz w:val="20"/>
                <w:szCs w:val="20"/>
                <w:color w:val="auto"/>
              </w:rPr>
            </w:pPr>
            <w:r>
              <w:rPr>
                <w:rFonts w:ascii="Arial" w:cs="Arial" w:eastAsia="Arial" w:hAnsi="Arial"/>
                <w:sz w:val="13"/>
                <w:szCs w:val="13"/>
                <w:color w:val="auto"/>
              </w:rPr>
              <w:t>0.1%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5.4%</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38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Internal overdue loans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905,082</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933,425</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776,023</w:t>
            </w:r>
          </w:p>
        </w:tc>
        <w:tc>
          <w:tcPr>
            <w:tcW w:w="740" w:type="dxa"/>
            <w:vAlign w:val="bottom"/>
          </w:tcPr>
          <w:p>
            <w:pPr>
              <w:jc w:val="center"/>
              <w:spacing w:after="0"/>
              <w:rPr>
                <w:sz w:val="20"/>
                <w:szCs w:val="20"/>
                <w:color w:val="auto"/>
              </w:rPr>
            </w:pPr>
            <w:r>
              <w:rPr>
                <w:rFonts w:ascii="Arial" w:cs="Arial" w:eastAsia="Arial" w:hAnsi="Arial"/>
                <w:sz w:val="13"/>
                <w:szCs w:val="13"/>
                <w:color w:val="auto"/>
              </w:rPr>
              <w:t>-16.9%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-14.3%</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38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Refinanced</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62,957</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80,827</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84,505</w:t>
            </w:r>
          </w:p>
        </w:tc>
        <w:tc>
          <w:tcPr>
            <w:tcW w:w="740" w:type="dxa"/>
            <w:vAlign w:val="bottom"/>
          </w:tcPr>
          <w:p>
            <w:pPr>
              <w:jc w:val="center"/>
              <w:spacing w:after="0"/>
              <w:rPr>
                <w:sz w:val="20"/>
                <w:szCs w:val="20"/>
                <w:color w:val="auto"/>
              </w:rPr>
            </w:pPr>
            <w:r>
              <w:rPr>
                <w:rFonts w:ascii="Arial" w:cs="Arial" w:eastAsia="Arial" w:hAnsi="Arial"/>
                <w:sz w:val="13"/>
                <w:szCs w:val="13"/>
                <w:color w:val="auto"/>
              </w:rPr>
              <w:t>4.5%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34.2%</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386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Allowance for loan losses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-1,145,702</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-1,083,337</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-998,261</w:t>
            </w:r>
          </w:p>
        </w:tc>
        <w:tc>
          <w:tcPr>
            <w:tcW w:w="740" w:type="dxa"/>
            <w:vAlign w:val="bottom"/>
          </w:tcPr>
          <w:p>
            <w:pPr>
              <w:jc w:val="center"/>
              <w:spacing w:after="0"/>
              <w:rPr>
                <w:sz w:val="20"/>
                <w:szCs w:val="20"/>
                <w:color w:val="auto"/>
              </w:rPr>
            </w:pPr>
            <w:r>
              <w:rPr>
                <w:rFonts w:ascii="Arial" w:cs="Arial" w:eastAsia="Arial" w:hAnsi="Arial"/>
                <w:sz w:val="13"/>
                <w:szCs w:val="13"/>
                <w:color w:val="auto"/>
              </w:rPr>
              <w:t>-7.9%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-12.9%</w:t>
            </w: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3"/>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Net loans</w:t>
            </w:r>
          </w:p>
        </w:tc>
        <w:tc>
          <w:tcPr>
            <w:tcW w:w="1120" w:type="dxa"/>
            <w:vAlign w:val="bottom"/>
          </w:tcPr>
          <w:p>
            <w:pPr>
              <w:jc w:val="right"/>
              <w:ind w:right="93"/>
              <w:spacing w:after="0"/>
              <w:rPr>
                <w:sz w:val="20"/>
                <w:szCs w:val="20"/>
                <w:color w:val="auto"/>
              </w:rPr>
            </w:pPr>
            <w:r>
              <w:rPr>
                <w:rFonts w:ascii="Arial" w:cs="Arial" w:eastAsia="Arial" w:hAnsi="Arial"/>
                <w:sz w:val="13"/>
                <w:szCs w:val="13"/>
                <w:b w:val="1"/>
                <w:bCs w:val="1"/>
                <w:color w:val="auto"/>
              </w:rPr>
              <w:t>12,367,190</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13,144,894</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13,090,810</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-0.4%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5.9%</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Property, plant and equipment, net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144,237</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132,815</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133,756</w:t>
            </w:r>
          </w:p>
        </w:tc>
        <w:tc>
          <w:tcPr>
            <w:tcW w:w="740" w:type="dxa"/>
            <w:vAlign w:val="bottom"/>
          </w:tcPr>
          <w:p>
            <w:pPr>
              <w:jc w:val="center"/>
              <w:spacing w:after="0"/>
              <w:rPr>
                <w:sz w:val="20"/>
                <w:szCs w:val="20"/>
                <w:color w:val="auto"/>
              </w:rPr>
            </w:pPr>
            <w:r>
              <w:rPr>
                <w:rFonts w:ascii="Arial" w:cs="Arial" w:eastAsia="Arial" w:hAnsi="Arial"/>
                <w:sz w:val="13"/>
                <w:szCs w:val="13"/>
                <w:color w:val="auto"/>
              </w:rPr>
              <w:t>0.7%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-7.3%</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Other assets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952,303</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689,100</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691,093</w:t>
            </w:r>
          </w:p>
        </w:tc>
        <w:tc>
          <w:tcPr>
            <w:tcW w:w="740" w:type="dxa"/>
            <w:vAlign w:val="bottom"/>
          </w:tcPr>
          <w:p>
            <w:pPr>
              <w:jc w:val="center"/>
              <w:spacing w:after="0"/>
              <w:rPr>
                <w:sz w:val="20"/>
                <w:szCs w:val="20"/>
                <w:color w:val="auto"/>
              </w:rPr>
            </w:pPr>
            <w:r>
              <w:rPr>
                <w:rFonts w:ascii="Arial" w:cs="Arial" w:eastAsia="Arial" w:hAnsi="Arial"/>
                <w:sz w:val="13"/>
                <w:szCs w:val="13"/>
                <w:color w:val="auto"/>
              </w:rPr>
              <w:t>0.3%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-27.4%</w:t>
            </w: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5"/>
        </w:trPr>
        <w:tc>
          <w:tcPr>
            <w:tcW w:w="3860" w:type="dxa"/>
            <w:vAlign w:val="bottom"/>
            <w:tcBorders>
              <w:left w:val="single" w:sz="8" w:color="auto"/>
              <w:right w:val="single" w:sz="8" w:color="auto"/>
            </w:tcBorders>
          </w:tcPr>
          <w:p>
            <w:pPr>
              <w:ind w:left="1560"/>
              <w:spacing w:after="0"/>
              <w:rPr>
                <w:sz w:val="20"/>
                <w:szCs w:val="20"/>
                <w:color w:val="auto"/>
              </w:rPr>
            </w:pPr>
            <w:r>
              <w:rPr>
                <w:rFonts w:ascii="Arial" w:cs="Arial" w:eastAsia="Arial" w:hAnsi="Arial"/>
                <w:sz w:val="13"/>
                <w:szCs w:val="13"/>
                <w:b w:val="1"/>
                <w:bCs w:val="1"/>
                <w:color w:val="auto"/>
              </w:rPr>
              <w:t>Total assets</w:t>
            </w:r>
          </w:p>
        </w:tc>
        <w:tc>
          <w:tcPr>
            <w:tcW w:w="1120" w:type="dxa"/>
            <w:vAlign w:val="bottom"/>
          </w:tcPr>
          <w:p>
            <w:pPr>
              <w:jc w:val="right"/>
              <w:ind w:right="93"/>
              <w:spacing w:after="0"/>
              <w:rPr>
                <w:sz w:val="20"/>
                <w:szCs w:val="20"/>
                <w:color w:val="auto"/>
              </w:rPr>
            </w:pPr>
            <w:r>
              <w:rPr>
                <w:rFonts w:ascii="Arial" w:cs="Arial" w:eastAsia="Arial" w:hAnsi="Arial"/>
                <w:sz w:val="13"/>
                <w:szCs w:val="13"/>
                <w:b w:val="1"/>
                <w:bCs w:val="1"/>
                <w:color w:val="auto"/>
              </w:rPr>
              <w:t>16,162,630</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17,607,731</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17,225,973</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-2.2%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6.6%</w:t>
            </w: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0"/>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LIABILITIES AND NET SHAREHOLDERS' EQUITY</w:t>
            </w:r>
          </w:p>
        </w:tc>
        <w:tc>
          <w:tcPr>
            <w:tcW w:w="1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1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Deposits and obligations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8,426,058</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9,185,353</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9,315,188</w:t>
            </w:r>
          </w:p>
        </w:tc>
        <w:tc>
          <w:tcPr>
            <w:tcW w:w="740" w:type="dxa"/>
            <w:vAlign w:val="bottom"/>
          </w:tcPr>
          <w:p>
            <w:pPr>
              <w:jc w:val="center"/>
              <w:spacing w:after="0"/>
              <w:rPr>
                <w:sz w:val="20"/>
                <w:szCs w:val="20"/>
                <w:color w:val="auto"/>
              </w:rPr>
            </w:pPr>
            <w:r>
              <w:rPr>
                <w:rFonts w:ascii="Arial" w:cs="Arial" w:eastAsia="Arial" w:hAnsi="Arial"/>
                <w:sz w:val="13"/>
                <w:szCs w:val="13"/>
                <w:color w:val="auto"/>
              </w:rPr>
              <w:t>1.4%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10.6%</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Due to banks and correspondents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2,413,663</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3,315,936</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3,074,234</w:t>
            </w:r>
          </w:p>
        </w:tc>
        <w:tc>
          <w:tcPr>
            <w:tcW w:w="740" w:type="dxa"/>
            <w:vAlign w:val="bottom"/>
          </w:tcPr>
          <w:p>
            <w:pPr>
              <w:jc w:val="center"/>
              <w:spacing w:after="0"/>
              <w:rPr>
                <w:sz w:val="20"/>
                <w:szCs w:val="20"/>
                <w:color w:val="auto"/>
              </w:rPr>
            </w:pPr>
            <w:r>
              <w:rPr>
                <w:rFonts w:ascii="Arial" w:cs="Arial" w:eastAsia="Arial" w:hAnsi="Arial"/>
                <w:sz w:val="13"/>
                <w:szCs w:val="13"/>
                <w:color w:val="auto"/>
              </w:rPr>
              <w:t>-7.3%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27.4%</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Bonds and subordinated debt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188,310</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452,100</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552,728</w:t>
            </w:r>
          </w:p>
        </w:tc>
        <w:tc>
          <w:tcPr>
            <w:tcW w:w="740" w:type="dxa"/>
            <w:vAlign w:val="bottom"/>
          </w:tcPr>
          <w:p>
            <w:pPr>
              <w:jc w:val="center"/>
              <w:spacing w:after="0"/>
              <w:rPr>
                <w:sz w:val="20"/>
                <w:szCs w:val="20"/>
                <w:color w:val="auto"/>
              </w:rPr>
            </w:pPr>
            <w:r>
              <w:rPr>
                <w:rFonts w:ascii="Arial" w:cs="Arial" w:eastAsia="Arial" w:hAnsi="Arial"/>
                <w:sz w:val="13"/>
                <w:szCs w:val="13"/>
                <w:color w:val="auto"/>
              </w:rPr>
              <w:t>22.3%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193.5%</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Other liabilities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2,771,810</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1,923,119</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1,502,258</w:t>
            </w:r>
          </w:p>
        </w:tc>
        <w:tc>
          <w:tcPr>
            <w:tcW w:w="740" w:type="dxa"/>
            <w:vAlign w:val="bottom"/>
          </w:tcPr>
          <w:p>
            <w:pPr>
              <w:jc w:val="center"/>
              <w:spacing w:after="0"/>
              <w:rPr>
                <w:sz w:val="20"/>
                <w:szCs w:val="20"/>
                <w:color w:val="auto"/>
              </w:rPr>
            </w:pPr>
            <w:r>
              <w:rPr>
                <w:rFonts w:ascii="Arial" w:cs="Arial" w:eastAsia="Arial" w:hAnsi="Arial"/>
                <w:sz w:val="13"/>
                <w:szCs w:val="13"/>
                <w:color w:val="auto"/>
              </w:rPr>
              <w:t>-21.9%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-45.8%</w:t>
            </w: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5"/>
        </w:trPr>
        <w:tc>
          <w:tcPr>
            <w:tcW w:w="3860" w:type="dxa"/>
            <w:vAlign w:val="bottom"/>
            <w:tcBorders>
              <w:left w:val="single" w:sz="8" w:color="auto"/>
              <w:right w:val="single" w:sz="8" w:color="auto"/>
            </w:tcBorders>
          </w:tcPr>
          <w:p>
            <w:pPr>
              <w:ind w:left="1480"/>
              <w:spacing w:after="0"/>
              <w:rPr>
                <w:sz w:val="20"/>
                <w:szCs w:val="20"/>
                <w:color w:val="auto"/>
              </w:rPr>
            </w:pPr>
            <w:r>
              <w:rPr>
                <w:rFonts w:ascii="Arial" w:cs="Arial" w:eastAsia="Arial" w:hAnsi="Arial"/>
                <w:sz w:val="13"/>
                <w:szCs w:val="13"/>
                <w:b w:val="1"/>
                <w:bCs w:val="1"/>
                <w:color w:val="auto"/>
              </w:rPr>
              <w:t>Total liabilities</w:t>
            </w:r>
          </w:p>
        </w:tc>
        <w:tc>
          <w:tcPr>
            <w:tcW w:w="1120" w:type="dxa"/>
            <w:vAlign w:val="bottom"/>
          </w:tcPr>
          <w:p>
            <w:pPr>
              <w:jc w:val="right"/>
              <w:ind w:right="93"/>
              <w:spacing w:after="0"/>
              <w:rPr>
                <w:sz w:val="20"/>
                <w:szCs w:val="20"/>
                <w:color w:val="auto"/>
              </w:rPr>
            </w:pPr>
            <w:r>
              <w:rPr>
                <w:rFonts w:ascii="Arial" w:cs="Arial" w:eastAsia="Arial" w:hAnsi="Arial"/>
                <w:sz w:val="13"/>
                <w:szCs w:val="13"/>
                <w:b w:val="1"/>
                <w:bCs w:val="1"/>
                <w:color w:val="auto"/>
              </w:rPr>
              <w:t>13,799,841</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14,876,508</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14,444,408</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-2.9%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4.7%</w:t>
            </w: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02"/>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Net equity</w:t>
            </w:r>
          </w:p>
        </w:tc>
        <w:tc>
          <w:tcPr>
            <w:tcW w:w="1120" w:type="dxa"/>
            <w:vAlign w:val="bottom"/>
          </w:tcPr>
          <w:p>
            <w:pPr>
              <w:jc w:val="right"/>
              <w:ind w:right="93"/>
              <w:spacing w:after="0"/>
              <w:rPr>
                <w:sz w:val="20"/>
                <w:szCs w:val="20"/>
                <w:color w:val="auto"/>
              </w:rPr>
            </w:pPr>
            <w:r>
              <w:rPr>
                <w:rFonts w:ascii="Arial" w:cs="Arial" w:eastAsia="Arial" w:hAnsi="Arial"/>
                <w:sz w:val="13"/>
                <w:szCs w:val="13"/>
                <w:b w:val="1"/>
                <w:bCs w:val="1"/>
                <w:color w:val="auto"/>
              </w:rPr>
              <w:t>2,362,789</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2,731,223</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2,781,565</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1.8%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17.7%</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TOTAL LIABILITIES AND NET SHAREHOLDERS' EQUITY</w:t>
            </w: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16,162,630</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17,607,731</w:t>
            </w:r>
          </w:p>
        </w:tc>
        <w:tc>
          <w:tcPr>
            <w:tcW w:w="9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17,225,973</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6.6%</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7"/>
        </w:trPr>
        <w:tc>
          <w:tcPr>
            <w:tcW w:w="38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41"/>
        </w:trPr>
        <w:tc>
          <w:tcPr>
            <w:tcW w:w="3860" w:type="dxa"/>
            <w:vAlign w:val="bottom"/>
            <w:tcBorders>
              <w:right w:val="single" w:sz="8" w:color="auto"/>
            </w:tcBorders>
          </w:tcPr>
          <w:p>
            <w:pPr>
              <w:spacing w:after="0"/>
              <w:rPr>
                <w:sz w:val="12"/>
                <w:szCs w:val="12"/>
                <w:color w:val="auto"/>
              </w:rPr>
            </w:pPr>
          </w:p>
        </w:tc>
        <w:tc>
          <w:tcPr>
            <w:tcW w:w="1120" w:type="dxa"/>
            <w:vAlign w:val="bottom"/>
            <w:shd w:val="clear" w:color="auto" w:fill="2AD2C9"/>
          </w:tcPr>
          <w:p>
            <w:pPr>
              <w:spacing w:after="0"/>
              <w:rPr>
                <w:sz w:val="12"/>
                <w:szCs w:val="12"/>
                <w:color w:val="auto"/>
              </w:rPr>
            </w:pPr>
          </w:p>
        </w:tc>
        <w:tc>
          <w:tcPr>
            <w:tcW w:w="1000" w:type="dxa"/>
            <w:vAlign w:val="bottom"/>
            <w:shd w:val="clear" w:color="auto" w:fill="2AD2C9"/>
          </w:tcPr>
          <w:p>
            <w:pPr>
              <w:jc w:val="right"/>
              <w:ind w:right="293"/>
              <w:spacing w:after="0" w:line="142" w:lineRule="exact"/>
              <w:rPr>
                <w:sz w:val="20"/>
                <w:szCs w:val="20"/>
                <w:color w:val="auto"/>
              </w:rPr>
            </w:pPr>
            <w:r>
              <w:rPr>
                <w:rFonts w:ascii="Arial" w:cs="Arial" w:eastAsia="Arial" w:hAnsi="Arial"/>
                <w:sz w:val="13"/>
                <w:szCs w:val="13"/>
                <w:b w:val="1"/>
                <w:bCs w:val="1"/>
                <w:color w:val="FFFFFF"/>
              </w:rPr>
              <w:t>Quarter</w:t>
            </w:r>
          </w:p>
        </w:tc>
        <w:tc>
          <w:tcPr>
            <w:tcW w:w="960" w:type="dxa"/>
            <w:vAlign w:val="bottom"/>
            <w:tcBorders>
              <w:right w:val="single" w:sz="8" w:color="auto"/>
            </w:tcBorders>
            <w:shd w:val="clear" w:color="auto" w:fill="2AD2C9"/>
          </w:tcPr>
          <w:p>
            <w:pPr>
              <w:spacing w:after="0"/>
              <w:rPr>
                <w:sz w:val="12"/>
                <w:szCs w:val="12"/>
                <w:color w:val="auto"/>
              </w:rPr>
            </w:pPr>
          </w:p>
        </w:tc>
        <w:tc>
          <w:tcPr>
            <w:tcW w:w="1540" w:type="dxa"/>
            <w:vAlign w:val="bottom"/>
            <w:tcBorders>
              <w:right w:val="single" w:sz="8" w:color="auto"/>
            </w:tcBorders>
            <w:gridSpan w:val="2"/>
            <w:shd w:val="clear" w:color="auto" w:fill="2AD2C9"/>
          </w:tcPr>
          <w:p>
            <w:pPr>
              <w:ind w:left="440"/>
              <w:spacing w:after="0" w:line="142" w:lineRule="exact"/>
              <w:rPr>
                <w:sz w:val="20"/>
                <w:szCs w:val="20"/>
                <w:color w:val="auto"/>
              </w:rPr>
            </w:pPr>
            <w:r>
              <w:rPr>
                <w:rFonts w:ascii="Arial" w:cs="Arial" w:eastAsia="Arial" w:hAnsi="Arial"/>
                <w:sz w:val="13"/>
                <w:szCs w:val="13"/>
                <w:b w:val="1"/>
                <w:bCs w:val="1"/>
                <w:color w:val="FFFFFF"/>
              </w:rPr>
              <w:t>% change</w:t>
            </w:r>
          </w:p>
        </w:tc>
        <w:tc>
          <w:tcPr>
            <w:tcW w:w="1240" w:type="dxa"/>
            <w:vAlign w:val="bottom"/>
            <w:shd w:val="clear" w:color="auto" w:fill="2AD2C9"/>
          </w:tcPr>
          <w:p>
            <w:pPr>
              <w:jc w:val="right"/>
              <w:ind w:right="13"/>
              <w:spacing w:after="0" w:line="142" w:lineRule="exact"/>
              <w:rPr>
                <w:sz w:val="20"/>
                <w:szCs w:val="20"/>
                <w:color w:val="auto"/>
              </w:rPr>
            </w:pPr>
            <w:r>
              <w:rPr>
                <w:rFonts w:ascii="Arial" w:cs="Arial" w:eastAsia="Arial" w:hAnsi="Arial"/>
                <w:sz w:val="13"/>
                <w:szCs w:val="13"/>
                <w:b w:val="1"/>
                <w:bCs w:val="1"/>
                <w:color w:val="FFFFFF"/>
              </w:rPr>
              <w:t>As of</w:t>
            </w:r>
          </w:p>
        </w:tc>
        <w:tc>
          <w:tcPr>
            <w:tcW w:w="780" w:type="dxa"/>
            <w:vAlign w:val="bottom"/>
            <w:tcBorders>
              <w:right w:val="single" w:sz="8" w:color="auto"/>
            </w:tcBorders>
            <w:shd w:val="clear" w:color="auto" w:fill="2AD2C9"/>
          </w:tcPr>
          <w:p>
            <w:pPr>
              <w:spacing w:after="0"/>
              <w:rPr>
                <w:sz w:val="12"/>
                <w:szCs w:val="12"/>
                <w:color w:val="auto"/>
              </w:rPr>
            </w:pPr>
          </w:p>
        </w:tc>
        <w:tc>
          <w:tcPr>
            <w:tcW w:w="800" w:type="dxa"/>
            <w:vAlign w:val="bottom"/>
            <w:tcBorders>
              <w:right w:val="single" w:sz="8" w:color="auto"/>
            </w:tcBorders>
            <w:shd w:val="clear" w:color="auto" w:fill="2AD2C9"/>
          </w:tcPr>
          <w:p>
            <w:pPr>
              <w:jc w:val="center"/>
              <w:spacing w:after="0" w:line="142" w:lineRule="exact"/>
              <w:rPr>
                <w:sz w:val="20"/>
                <w:szCs w:val="20"/>
                <w:color w:val="auto"/>
              </w:rPr>
            </w:pPr>
            <w:r>
              <w:rPr>
                <w:rFonts w:ascii="Arial" w:cs="Arial" w:eastAsia="Arial" w:hAnsi="Arial"/>
                <w:sz w:val="13"/>
                <w:szCs w:val="13"/>
                <w:b w:val="1"/>
                <w:bCs w:val="1"/>
                <w:color w:val="FFFFFF"/>
              </w:rPr>
              <w:t>% change</w:t>
            </w:r>
          </w:p>
        </w:tc>
      </w:tr>
      <w:tr>
        <w:trPr>
          <w:trHeight w:val="166"/>
        </w:trPr>
        <w:tc>
          <w:tcPr>
            <w:tcW w:w="38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shd w:val="clear" w:color="auto" w:fill="2AD2C9"/>
          </w:tcPr>
          <w:p>
            <w:pPr>
              <w:jc w:val="right"/>
              <w:ind w:right="413"/>
              <w:spacing w:after="0"/>
              <w:rPr>
                <w:sz w:val="20"/>
                <w:szCs w:val="20"/>
                <w:color w:val="auto"/>
              </w:rPr>
            </w:pPr>
            <w:r>
              <w:rPr>
                <w:rFonts w:ascii="Arial" w:cs="Arial" w:eastAsia="Arial" w:hAnsi="Arial"/>
                <w:sz w:val="13"/>
                <w:szCs w:val="13"/>
                <w:b w:val="1"/>
                <w:bCs w:val="1"/>
                <w:color w:val="FFFFFF"/>
              </w:rPr>
              <w:t>4Q21</w:t>
            </w:r>
          </w:p>
        </w:tc>
        <w:tc>
          <w:tcPr>
            <w:tcW w:w="1000" w:type="dxa"/>
            <w:vAlign w:val="bottom"/>
            <w:tcBorders>
              <w:bottom w:val="single" w:sz="8" w:color="auto"/>
            </w:tcBorders>
            <w:shd w:val="clear" w:color="auto" w:fill="2AD2C9"/>
          </w:tcPr>
          <w:p>
            <w:pPr>
              <w:jc w:val="right"/>
              <w:ind w:right="393"/>
              <w:spacing w:after="0"/>
              <w:rPr>
                <w:sz w:val="20"/>
                <w:szCs w:val="20"/>
                <w:color w:val="auto"/>
              </w:rPr>
            </w:pPr>
            <w:r>
              <w:rPr>
                <w:rFonts w:ascii="Arial" w:cs="Arial" w:eastAsia="Arial" w:hAnsi="Arial"/>
                <w:sz w:val="13"/>
                <w:szCs w:val="13"/>
                <w:b w:val="1"/>
                <w:bCs w:val="1"/>
                <w:color w:val="FFFFFF"/>
              </w:rPr>
              <w:t>3Q22</w:t>
            </w:r>
          </w:p>
        </w:tc>
        <w:tc>
          <w:tcPr>
            <w:tcW w:w="960" w:type="dxa"/>
            <w:vAlign w:val="bottom"/>
            <w:tcBorders>
              <w:bottom w:val="single" w:sz="8" w:color="auto"/>
              <w:right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4Q22</w:t>
            </w:r>
          </w:p>
        </w:tc>
        <w:tc>
          <w:tcPr>
            <w:tcW w:w="7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YoY</w:t>
            </w:r>
          </w:p>
        </w:tc>
        <w:tc>
          <w:tcPr>
            <w:tcW w:w="1240" w:type="dxa"/>
            <w:vAlign w:val="bottom"/>
            <w:tcBorders>
              <w:bottom w:val="single" w:sz="8" w:color="auto"/>
            </w:tcBorders>
            <w:shd w:val="clear" w:color="auto" w:fill="2AD2C9"/>
          </w:tcPr>
          <w:p>
            <w:pPr>
              <w:jc w:val="right"/>
              <w:ind w:right="553"/>
              <w:spacing w:after="0"/>
              <w:rPr>
                <w:sz w:val="20"/>
                <w:szCs w:val="20"/>
                <w:color w:val="auto"/>
              </w:rPr>
            </w:pPr>
            <w:r>
              <w:rPr>
                <w:rFonts w:ascii="Arial" w:cs="Arial" w:eastAsia="Arial" w:hAnsi="Arial"/>
                <w:sz w:val="13"/>
                <w:szCs w:val="13"/>
                <w:b w:val="1"/>
                <w:bCs w:val="1"/>
                <w:color w:val="FFFFFF"/>
              </w:rPr>
              <w:t>2021</w:t>
            </w:r>
          </w:p>
        </w:tc>
        <w:tc>
          <w:tcPr>
            <w:tcW w:w="780" w:type="dxa"/>
            <w:vAlign w:val="bottom"/>
            <w:tcBorders>
              <w:bottom w:val="single" w:sz="8" w:color="auto"/>
              <w:right w:val="single" w:sz="8" w:color="auto"/>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2022</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43"/>
        </w:trPr>
        <w:tc>
          <w:tcPr>
            <w:tcW w:w="3860" w:type="dxa"/>
            <w:vAlign w:val="bottom"/>
            <w:tcBorders>
              <w:left w:val="single" w:sz="8" w:color="auto"/>
              <w:right w:val="single" w:sz="8" w:color="auto"/>
            </w:tcBorders>
          </w:tcPr>
          <w:p>
            <w:pPr>
              <w:ind w:left="60"/>
              <w:spacing w:after="0" w:line="144" w:lineRule="exact"/>
              <w:rPr>
                <w:sz w:val="20"/>
                <w:szCs w:val="20"/>
                <w:color w:val="auto"/>
              </w:rPr>
            </w:pPr>
            <w:r>
              <w:rPr>
                <w:rFonts w:ascii="Arial" w:cs="Arial" w:eastAsia="Arial" w:hAnsi="Arial"/>
                <w:sz w:val="13"/>
                <w:szCs w:val="13"/>
                <w:color w:val="auto"/>
              </w:rPr>
              <w:t>Net interest income</w:t>
            </w:r>
          </w:p>
        </w:tc>
        <w:tc>
          <w:tcPr>
            <w:tcW w:w="1120" w:type="dxa"/>
            <w:vAlign w:val="bottom"/>
          </w:tcPr>
          <w:p>
            <w:pPr>
              <w:jc w:val="right"/>
              <w:ind w:right="93"/>
              <w:spacing w:after="0" w:line="144" w:lineRule="exact"/>
              <w:rPr>
                <w:sz w:val="20"/>
                <w:szCs w:val="20"/>
                <w:color w:val="auto"/>
              </w:rPr>
            </w:pPr>
            <w:r>
              <w:rPr>
                <w:rFonts w:ascii="Arial" w:cs="Arial" w:eastAsia="Arial" w:hAnsi="Arial"/>
                <w:sz w:val="13"/>
                <w:szCs w:val="13"/>
                <w:color w:val="auto"/>
              </w:rPr>
              <w:t>505,001</w:t>
            </w:r>
          </w:p>
        </w:tc>
        <w:tc>
          <w:tcPr>
            <w:tcW w:w="1000" w:type="dxa"/>
            <w:vAlign w:val="bottom"/>
          </w:tcPr>
          <w:p>
            <w:pPr>
              <w:jc w:val="right"/>
              <w:ind w:right="73"/>
              <w:spacing w:after="0" w:line="144" w:lineRule="exact"/>
              <w:rPr>
                <w:sz w:val="20"/>
                <w:szCs w:val="20"/>
                <w:color w:val="auto"/>
              </w:rPr>
            </w:pPr>
            <w:r>
              <w:rPr>
                <w:rFonts w:ascii="Arial" w:cs="Arial" w:eastAsia="Arial" w:hAnsi="Arial"/>
                <w:sz w:val="13"/>
                <w:szCs w:val="13"/>
                <w:color w:val="auto"/>
              </w:rPr>
              <w:t>550,121</w:t>
            </w:r>
          </w:p>
        </w:tc>
        <w:tc>
          <w:tcPr>
            <w:tcW w:w="960" w:type="dxa"/>
            <w:vAlign w:val="bottom"/>
            <w:tcBorders>
              <w:right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539,510</w:t>
            </w:r>
          </w:p>
        </w:tc>
        <w:tc>
          <w:tcPr>
            <w:tcW w:w="740" w:type="dxa"/>
            <w:vAlign w:val="bottom"/>
          </w:tcPr>
          <w:p>
            <w:pPr>
              <w:jc w:val="center"/>
              <w:spacing w:after="0" w:line="144" w:lineRule="exact"/>
              <w:rPr>
                <w:sz w:val="20"/>
                <w:szCs w:val="20"/>
                <w:color w:val="auto"/>
              </w:rPr>
            </w:pPr>
            <w:r>
              <w:rPr>
                <w:rFonts w:ascii="Arial" w:cs="Arial" w:eastAsia="Arial" w:hAnsi="Arial"/>
                <w:sz w:val="13"/>
                <w:szCs w:val="13"/>
                <w:color w:val="auto"/>
              </w:rPr>
              <w:t>-1.9%</w:t>
            </w:r>
          </w:p>
        </w:tc>
        <w:tc>
          <w:tcPr>
            <w:tcW w:w="8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6.8%</w:t>
            </w:r>
          </w:p>
        </w:tc>
        <w:tc>
          <w:tcPr>
            <w:tcW w:w="1240" w:type="dxa"/>
            <w:vAlign w:val="bottom"/>
          </w:tcPr>
          <w:p>
            <w:pPr>
              <w:jc w:val="right"/>
              <w:ind w:right="213"/>
              <w:spacing w:after="0" w:line="144" w:lineRule="exact"/>
              <w:rPr>
                <w:sz w:val="20"/>
                <w:szCs w:val="20"/>
                <w:color w:val="auto"/>
              </w:rPr>
            </w:pPr>
            <w:r>
              <w:rPr>
                <w:rFonts w:ascii="Arial" w:cs="Arial" w:eastAsia="Arial" w:hAnsi="Arial"/>
                <w:sz w:val="13"/>
                <w:szCs w:val="13"/>
                <w:color w:val="auto"/>
              </w:rPr>
              <w:t>1,860,353</w:t>
            </w:r>
          </w:p>
        </w:tc>
        <w:tc>
          <w:tcPr>
            <w:tcW w:w="780" w:type="dxa"/>
            <w:vAlign w:val="bottom"/>
            <w:tcBorders>
              <w:right w:val="single" w:sz="8" w:color="auto"/>
            </w:tcBorders>
          </w:tcPr>
          <w:p>
            <w:pPr>
              <w:jc w:val="right"/>
              <w:ind w:right="13"/>
              <w:spacing w:after="0" w:line="144" w:lineRule="exact"/>
              <w:rPr>
                <w:sz w:val="20"/>
                <w:szCs w:val="20"/>
                <w:color w:val="auto"/>
              </w:rPr>
            </w:pPr>
            <w:r>
              <w:rPr>
                <w:rFonts w:ascii="Arial" w:cs="Arial" w:eastAsia="Arial" w:hAnsi="Arial"/>
                <w:sz w:val="13"/>
                <w:szCs w:val="13"/>
                <w:color w:val="auto"/>
              </w:rPr>
              <w:t>2,139,116</w:t>
            </w:r>
          </w:p>
        </w:tc>
        <w:tc>
          <w:tcPr>
            <w:tcW w:w="8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15.0%</w:t>
            </w:r>
          </w:p>
        </w:tc>
      </w:tr>
      <w:tr>
        <w:trPr>
          <w:trHeight w:val="149"/>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Provision for loan losses, net of recoveries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-40,058</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-84,932</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-194,245</w:t>
            </w:r>
          </w:p>
        </w:tc>
        <w:tc>
          <w:tcPr>
            <w:tcW w:w="740" w:type="dxa"/>
            <w:vAlign w:val="bottom"/>
          </w:tcPr>
          <w:p>
            <w:pPr>
              <w:jc w:val="center"/>
              <w:spacing w:after="0"/>
              <w:rPr>
                <w:sz w:val="20"/>
                <w:szCs w:val="20"/>
                <w:color w:val="auto"/>
              </w:rPr>
            </w:pPr>
            <w:r>
              <w:rPr>
                <w:rFonts w:ascii="Arial" w:cs="Arial" w:eastAsia="Arial" w:hAnsi="Arial"/>
                <w:sz w:val="13"/>
                <w:szCs w:val="13"/>
                <w:color w:val="auto"/>
              </w:rPr>
              <w:t>128.7%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384.9%</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-425,938</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-490,035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15.0%</w:t>
            </w:r>
          </w:p>
        </w:tc>
      </w:tr>
      <w:tr>
        <w:trPr>
          <w:trHeight w:val="153"/>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Net interest income after provisions</w:t>
            </w:r>
          </w:p>
        </w:tc>
        <w:tc>
          <w:tcPr>
            <w:tcW w:w="1120" w:type="dxa"/>
            <w:vAlign w:val="bottom"/>
          </w:tcPr>
          <w:p>
            <w:pPr>
              <w:jc w:val="right"/>
              <w:ind w:right="93"/>
              <w:spacing w:after="0"/>
              <w:rPr>
                <w:sz w:val="20"/>
                <w:szCs w:val="20"/>
                <w:color w:val="auto"/>
              </w:rPr>
            </w:pPr>
            <w:r>
              <w:rPr>
                <w:rFonts w:ascii="Arial" w:cs="Arial" w:eastAsia="Arial" w:hAnsi="Arial"/>
                <w:sz w:val="13"/>
                <w:szCs w:val="13"/>
                <w:b w:val="1"/>
                <w:bCs w:val="1"/>
                <w:color w:val="auto"/>
              </w:rPr>
              <w:t>464,943</w:t>
            </w:r>
          </w:p>
        </w:tc>
        <w:tc>
          <w:tcPr>
            <w:tcW w:w="1000" w:type="dxa"/>
            <w:vAlign w:val="bottom"/>
          </w:tcPr>
          <w:p>
            <w:pPr>
              <w:jc w:val="right"/>
              <w:ind w:right="73"/>
              <w:spacing w:after="0"/>
              <w:rPr>
                <w:sz w:val="20"/>
                <w:szCs w:val="20"/>
                <w:color w:val="auto"/>
              </w:rPr>
            </w:pPr>
            <w:r>
              <w:rPr>
                <w:rFonts w:ascii="Arial" w:cs="Arial" w:eastAsia="Arial" w:hAnsi="Arial"/>
                <w:sz w:val="13"/>
                <w:szCs w:val="13"/>
                <w:b w:val="1"/>
                <w:bCs w:val="1"/>
                <w:color w:val="auto"/>
              </w:rPr>
              <w:t>465,189</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345,266</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-25.8%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-25.7%</w:t>
            </w:r>
          </w:p>
        </w:tc>
        <w:tc>
          <w:tcPr>
            <w:tcW w:w="1240" w:type="dxa"/>
            <w:vAlign w:val="bottom"/>
          </w:tcPr>
          <w:p>
            <w:pPr>
              <w:jc w:val="right"/>
              <w:ind w:right="213"/>
              <w:spacing w:after="0"/>
              <w:rPr>
                <w:sz w:val="20"/>
                <w:szCs w:val="20"/>
                <w:color w:val="auto"/>
              </w:rPr>
            </w:pPr>
            <w:r>
              <w:rPr>
                <w:rFonts w:ascii="Arial" w:cs="Arial" w:eastAsia="Arial" w:hAnsi="Arial"/>
                <w:sz w:val="13"/>
                <w:szCs w:val="13"/>
                <w:b w:val="1"/>
                <w:bCs w:val="1"/>
                <w:color w:val="auto"/>
              </w:rPr>
              <w:t>1,434,415</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1,649,081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15.0%</w:t>
            </w: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Non-financial income</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31,668</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30,844</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35,755</w:t>
            </w:r>
          </w:p>
        </w:tc>
        <w:tc>
          <w:tcPr>
            <w:tcW w:w="740" w:type="dxa"/>
            <w:vAlign w:val="bottom"/>
          </w:tcPr>
          <w:p>
            <w:pPr>
              <w:jc w:val="center"/>
              <w:spacing w:after="0"/>
              <w:rPr>
                <w:sz w:val="20"/>
                <w:szCs w:val="20"/>
                <w:color w:val="auto"/>
              </w:rPr>
            </w:pPr>
            <w:r>
              <w:rPr>
                <w:rFonts w:ascii="Arial" w:cs="Arial" w:eastAsia="Arial" w:hAnsi="Arial"/>
                <w:sz w:val="13"/>
                <w:szCs w:val="13"/>
                <w:color w:val="auto"/>
              </w:rPr>
              <w:t>15.9%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12.9%</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98,766</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126,927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28.5%</w:t>
            </w: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Total expenses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-314,635</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-291,817</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-316,253</w:t>
            </w:r>
          </w:p>
        </w:tc>
        <w:tc>
          <w:tcPr>
            <w:tcW w:w="740" w:type="dxa"/>
            <w:vAlign w:val="bottom"/>
          </w:tcPr>
          <w:p>
            <w:pPr>
              <w:jc w:val="center"/>
              <w:spacing w:after="0"/>
              <w:rPr>
                <w:sz w:val="20"/>
                <w:szCs w:val="20"/>
                <w:color w:val="auto"/>
              </w:rPr>
            </w:pPr>
            <w:r>
              <w:rPr>
                <w:rFonts w:ascii="Arial" w:cs="Arial" w:eastAsia="Arial" w:hAnsi="Arial"/>
                <w:sz w:val="13"/>
                <w:szCs w:val="13"/>
                <w:color w:val="auto"/>
              </w:rPr>
              <w:t>8.4%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0.5%</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-1,124,072</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-1,186,392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5.5%</w:t>
            </w: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Translation result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center"/>
              <w:spacing w:after="0"/>
              <w:rPr>
                <w:sz w:val="20"/>
                <w:szCs w:val="20"/>
                <w:color w:val="auto"/>
              </w:rPr>
            </w:pPr>
            <w:r>
              <w:rPr>
                <w:rFonts w:ascii="Arial" w:cs="Arial" w:eastAsia="Arial" w:hAnsi="Arial"/>
                <w:sz w:val="13"/>
                <w:szCs w:val="13"/>
                <w:color w:val="auto"/>
              </w:rPr>
              <w:t>0.0%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w:t>
            </w:r>
          </w:p>
        </w:tc>
      </w:tr>
      <w:tr>
        <w:trPr>
          <w:trHeight w:val="149"/>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Income taxes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-62,113</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-57,174</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-17,814</w:t>
            </w:r>
          </w:p>
        </w:tc>
        <w:tc>
          <w:tcPr>
            <w:tcW w:w="740" w:type="dxa"/>
            <w:vAlign w:val="bottom"/>
          </w:tcPr>
          <w:p>
            <w:pPr>
              <w:jc w:val="center"/>
              <w:spacing w:after="0"/>
              <w:rPr>
                <w:sz w:val="20"/>
                <w:szCs w:val="20"/>
                <w:color w:val="auto"/>
              </w:rPr>
            </w:pPr>
            <w:r>
              <w:rPr>
                <w:rFonts w:ascii="Arial" w:cs="Arial" w:eastAsia="Arial" w:hAnsi="Arial"/>
                <w:sz w:val="13"/>
                <w:szCs w:val="13"/>
                <w:color w:val="auto"/>
              </w:rPr>
              <w:t>-68.8%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-71.3%</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-142,971</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-164,702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15.2%</w:t>
            </w:r>
          </w:p>
        </w:tc>
      </w:tr>
      <w:tr>
        <w:trPr>
          <w:trHeight w:val="166"/>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Net income</w:t>
            </w: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119,863</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147,042</w:t>
            </w:r>
          </w:p>
        </w:tc>
        <w:tc>
          <w:tcPr>
            <w:tcW w:w="9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46,954</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-68.1%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-60.8%</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266,138</w:t>
            </w:r>
          </w:p>
        </w:tc>
        <w:tc>
          <w:tcPr>
            <w:tcW w:w="7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424,914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59.7%</w:t>
            </w:r>
          </w:p>
        </w:tc>
      </w:tr>
      <w:tr>
        <w:trPr>
          <w:trHeight w:val="156"/>
        </w:trPr>
        <w:tc>
          <w:tcPr>
            <w:tcW w:w="3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43"/>
        </w:trPr>
        <w:tc>
          <w:tcPr>
            <w:tcW w:w="3860" w:type="dxa"/>
            <w:vAlign w:val="bottom"/>
            <w:tcBorders>
              <w:left w:val="single" w:sz="8" w:color="auto"/>
              <w:right w:val="single" w:sz="8" w:color="auto"/>
            </w:tcBorders>
          </w:tcPr>
          <w:p>
            <w:pPr>
              <w:ind w:left="60"/>
              <w:spacing w:after="0" w:line="144" w:lineRule="exact"/>
              <w:rPr>
                <w:sz w:val="20"/>
                <w:szCs w:val="20"/>
                <w:color w:val="auto"/>
              </w:rPr>
            </w:pPr>
            <w:r>
              <w:rPr>
                <w:rFonts w:ascii="Arial" w:cs="Arial" w:eastAsia="Arial" w:hAnsi="Arial"/>
                <w:sz w:val="13"/>
                <w:szCs w:val="13"/>
                <w:color w:val="auto"/>
              </w:rPr>
              <w:t>Efficiency ratio</w:t>
            </w:r>
          </w:p>
        </w:tc>
        <w:tc>
          <w:tcPr>
            <w:tcW w:w="1120" w:type="dxa"/>
            <w:vAlign w:val="bottom"/>
          </w:tcPr>
          <w:p>
            <w:pPr>
              <w:jc w:val="right"/>
              <w:ind w:right="93"/>
              <w:spacing w:after="0" w:line="144" w:lineRule="exact"/>
              <w:rPr>
                <w:sz w:val="20"/>
                <w:szCs w:val="20"/>
                <w:color w:val="auto"/>
              </w:rPr>
            </w:pPr>
            <w:r>
              <w:rPr>
                <w:rFonts w:ascii="Arial" w:cs="Arial" w:eastAsia="Arial" w:hAnsi="Arial"/>
                <w:sz w:val="13"/>
                <w:szCs w:val="13"/>
                <w:color w:val="auto"/>
              </w:rPr>
              <w:t>55.6%</w:t>
            </w:r>
          </w:p>
        </w:tc>
        <w:tc>
          <w:tcPr>
            <w:tcW w:w="1000" w:type="dxa"/>
            <w:vAlign w:val="bottom"/>
          </w:tcPr>
          <w:p>
            <w:pPr>
              <w:jc w:val="right"/>
              <w:ind w:right="73"/>
              <w:spacing w:after="0" w:line="144" w:lineRule="exact"/>
              <w:rPr>
                <w:sz w:val="20"/>
                <w:szCs w:val="20"/>
                <w:color w:val="auto"/>
              </w:rPr>
            </w:pPr>
            <w:r>
              <w:rPr>
                <w:rFonts w:ascii="Arial" w:cs="Arial" w:eastAsia="Arial" w:hAnsi="Arial"/>
                <w:sz w:val="13"/>
                <w:szCs w:val="13"/>
                <w:color w:val="auto"/>
              </w:rPr>
              <w:t>49.6%</w:t>
            </w:r>
          </w:p>
        </w:tc>
        <w:tc>
          <w:tcPr>
            <w:tcW w:w="960" w:type="dxa"/>
            <w:vAlign w:val="bottom"/>
            <w:tcBorders>
              <w:right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52.3%</w:t>
            </w:r>
          </w:p>
        </w:tc>
        <w:tc>
          <w:tcPr>
            <w:tcW w:w="740" w:type="dxa"/>
            <w:vAlign w:val="bottom"/>
          </w:tcPr>
          <w:p>
            <w:pPr>
              <w:jc w:val="center"/>
              <w:spacing w:after="0" w:line="144" w:lineRule="exact"/>
              <w:rPr>
                <w:sz w:val="20"/>
                <w:szCs w:val="20"/>
                <w:color w:val="auto"/>
              </w:rPr>
            </w:pPr>
            <w:r>
              <w:rPr>
                <w:rFonts w:ascii="Arial" w:cs="Arial" w:eastAsia="Arial" w:hAnsi="Arial"/>
                <w:sz w:val="13"/>
                <w:szCs w:val="13"/>
                <w:color w:val="auto"/>
              </w:rPr>
              <w:t>-74 bps</w:t>
            </w:r>
          </w:p>
        </w:tc>
        <w:tc>
          <w:tcPr>
            <w:tcW w:w="8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w w:val="99"/>
              </w:rPr>
              <w:t>-7 bps</w:t>
            </w:r>
          </w:p>
        </w:tc>
        <w:tc>
          <w:tcPr>
            <w:tcW w:w="1240" w:type="dxa"/>
            <w:vAlign w:val="bottom"/>
          </w:tcPr>
          <w:p>
            <w:pPr>
              <w:jc w:val="right"/>
              <w:ind w:right="213"/>
              <w:spacing w:after="0" w:line="144" w:lineRule="exact"/>
              <w:rPr>
                <w:sz w:val="20"/>
                <w:szCs w:val="20"/>
                <w:color w:val="auto"/>
              </w:rPr>
            </w:pPr>
            <w:r>
              <w:rPr>
                <w:rFonts w:ascii="Arial" w:cs="Arial" w:eastAsia="Arial" w:hAnsi="Arial"/>
                <w:sz w:val="13"/>
                <w:szCs w:val="13"/>
                <w:color w:val="auto"/>
              </w:rPr>
              <w:t>55.40%</w:t>
            </w:r>
          </w:p>
        </w:tc>
        <w:tc>
          <w:tcPr>
            <w:tcW w:w="780" w:type="dxa"/>
            <w:vAlign w:val="bottom"/>
            <w:tcBorders>
              <w:right w:val="single" w:sz="8" w:color="auto"/>
            </w:tcBorders>
          </w:tcPr>
          <w:p>
            <w:pPr>
              <w:jc w:val="right"/>
              <w:ind w:right="13"/>
              <w:spacing w:after="0" w:line="144" w:lineRule="exact"/>
              <w:rPr>
                <w:sz w:val="20"/>
                <w:szCs w:val="20"/>
                <w:color w:val="auto"/>
              </w:rPr>
            </w:pPr>
            <w:r>
              <w:rPr>
                <w:rFonts w:ascii="Arial" w:cs="Arial" w:eastAsia="Arial" w:hAnsi="Arial"/>
                <w:sz w:val="13"/>
                <w:szCs w:val="13"/>
                <w:color w:val="auto"/>
              </w:rPr>
              <w:t>51.30%</w:t>
            </w:r>
          </w:p>
        </w:tc>
        <w:tc>
          <w:tcPr>
            <w:tcW w:w="8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-410 bps</w:t>
            </w: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ROAE</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20.8%</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22.1%</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6.8%</w:t>
            </w:r>
          </w:p>
        </w:tc>
        <w:tc>
          <w:tcPr>
            <w:tcW w:w="740" w:type="dxa"/>
            <w:vAlign w:val="bottom"/>
          </w:tcPr>
          <w:p>
            <w:pPr>
              <w:jc w:val="center"/>
              <w:spacing w:after="0"/>
              <w:rPr>
                <w:sz w:val="20"/>
                <w:szCs w:val="20"/>
                <w:color w:val="auto"/>
              </w:rPr>
            </w:pPr>
            <w:r>
              <w:rPr>
                <w:rFonts w:ascii="Arial" w:cs="Arial" w:eastAsia="Arial" w:hAnsi="Arial"/>
                <w:sz w:val="13"/>
                <w:szCs w:val="13"/>
                <w:color w:val="auto"/>
              </w:rPr>
              <w:t>184 bps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816 bps</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12.13%</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16.42%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430 bps</w:t>
            </w:r>
          </w:p>
        </w:tc>
      </w:tr>
      <w:tr>
        <w:trPr>
          <w:trHeight w:val="164"/>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ROAE incl. Goowdill</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19.6%</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21.0%</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6.5%</w:t>
            </w:r>
          </w:p>
        </w:tc>
        <w:tc>
          <w:tcPr>
            <w:tcW w:w="740" w:type="dxa"/>
            <w:vAlign w:val="bottom"/>
          </w:tcPr>
          <w:p>
            <w:pPr>
              <w:jc w:val="center"/>
              <w:spacing w:after="0"/>
              <w:rPr>
                <w:sz w:val="20"/>
                <w:szCs w:val="20"/>
                <w:color w:val="auto"/>
              </w:rPr>
            </w:pPr>
            <w:r>
              <w:rPr>
                <w:rFonts w:ascii="Arial" w:cs="Arial" w:eastAsia="Arial" w:hAnsi="Arial"/>
                <w:sz w:val="13"/>
                <w:szCs w:val="13"/>
                <w:color w:val="auto"/>
              </w:rPr>
              <w:t>178 bps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792 bps</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11.39%</w:t>
            </w:r>
          </w:p>
        </w:tc>
        <w:tc>
          <w:tcPr>
            <w:tcW w:w="7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15.57%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420 bps</w:t>
            </w:r>
          </w:p>
        </w:tc>
      </w:tr>
      <w:tr>
        <w:trPr>
          <w:trHeight w:val="143"/>
        </w:trPr>
        <w:tc>
          <w:tcPr>
            <w:tcW w:w="3860" w:type="dxa"/>
            <w:vAlign w:val="bottom"/>
            <w:tcBorders>
              <w:left w:val="single" w:sz="8" w:color="auto"/>
              <w:right w:val="single" w:sz="8" w:color="auto"/>
            </w:tcBorders>
          </w:tcPr>
          <w:p>
            <w:pPr>
              <w:ind w:left="60"/>
              <w:spacing w:after="0" w:line="144" w:lineRule="exact"/>
              <w:rPr>
                <w:sz w:val="20"/>
                <w:szCs w:val="20"/>
                <w:color w:val="auto"/>
              </w:rPr>
            </w:pPr>
            <w:r>
              <w:rPr>
                <w:rFonts w:ascii="Arial" w:cs="Arial" w:eastAsia="Arial" w:hAnsi="Arial"/>
                <w:sz w:val="13"/>
                <w:szCs w:val="13"/>
                <w:color w:val="auto"/>
              </w:rPr>
              <w:t>L/D ratio</w:t>
            </w:r>
          </w:p>
        </w:tc>
        <w:tc>
          <w:tcPr>
            <w:tcW w:w="1120" w:type="dxa"/>
            <w:vAlign w:val="bottom"/>
          </w:tcPr>
          <w:p>
            <w:pPr>
              <w:jc w:val="right"/>
              <w:ind w:right="93"/>
              <w:spacing w:after="0" w:line="144" w:lineRule="exact"/>
              <w:rPr>
                <w:sz w:val="20"/>
                <w:szCs w:val="20"/>
                <w:color w:val="auto"/>
              </w:rPr>
            </w:pPr>
            <w:r>
              <w:rPr>
                <w:rFonts w:ascii="Arial" w:cs="Arial" w:eastAsia="Arial" w:hAnsi="Arial"/>
                <w:sz w:val="13"/>
                <w:szCs w:val="13"/>
                <w:color w:val="auto"/>
              </w:rPr>
              <w:t>160.4%</w:t>
            </w:r>
          </w:p>
        </w:tc>
        <w:tc>
          <w:tcPr>
            <w:tcW w:w="1000" w:type="dxa"/>
            <w:vAlign w:val="bottom"/>
          </w:tcPr>
          <w:p>
            <w:pPr>
              <w:jc w:val="right"/>
              <w:ind w:right="73"/>
              <w:spacing w:after="0" w:line="144" w:lineRule="exact"/>
              <w:rPr>
                <w:sz w:val="20"/>
                <w:szCs w:val="20"/>
                <w:color w:val="auto"/>
              </w:rPr>
            </w:pPr>
            <w:r>
              <w:rPr>
                <w:rFonts w:ascii="Arial" w:cs="Arial" w:eastAsia="Arial" w:hAnsi="Arial"/>
                <w:sz w:val="13"/>
                <w:szCs w:val="13"/>
                <w:color w:val="auto"/>
              </w:rPr>
              <w:t>154.9%</w:t>
            </w:r>
          </w:p>
        </w:tc>
        <w:tc>
          <w:tcPr>
            <w:tcW w:w="960" w:type="dxa"/>
            <w:vAlign w:val="bottom"/>
            <w:tcBorders>
              <w:right w:val="single" w:sz="8" w:color="auto"/>
            </w:tcBorders>
          </w:tcPr>
          <w:p>
            <w:pPr>
              <w:jc w:val="right"/>
              <w:ind w:right="33"/>
              <w:spacing w:after="0" w:line="144" w:lineRule="exact"/>
              <w:rPr>
                <w:sz w:val="20"/>
                <w:szCs w:val="20"/>
                <w:color w:val="auto"/>
              </w:rPr>
            </w:pPr>
            <w:r>
              <w:rPr>
                <w:rFonts w:ascii="Arial" w:cs="Arial" w:eastAsia="Arial" w:hAnsi="Arial"/>
                <w:sz w:val="13"/>
                <w:szCs w:val="13"/>
                <w:color w:val="auto"/>
              </w:rPr>
              <w:t>151.2%</w:t>
            </w:r>
          </w:p>
        </w:tc>
        <w:tc>
          <w:tcPr>
            <w:tcW w:w="740" w:type="dxa"/>
            <w:vAlign w:val="bottom"/>
          </w:tcPr>
          <w:p>
            <w:pPr>
              <w:jc w:val="center"/>
              <w:spacing w:after="0" w:line="144" w:lineRule="exact"/>
              <w:rPr>
                <w:sz w:val="20"/>
                <w:szCs w:val="20"/>
                <w:color w:val="auto"/>
              </w:rPr>
            </w:pPr>
            <w:r>
              <w:rPr>
                <w:rFonts w:ascii="Arial" w:cs="Arial" w:eastAsia="Arial" w:hAnsi="Arial"/>
                <w:sz w:val="13"/>
                <w:szCs w:val="13"/>
                <w:color w:val="auto"/>
              </w:rPr>
              <w:t>-626 bps</w:t>
            </w:r>
          </w:p>
        </w:tc>
        <w:tc>
          <w:tcPr>
            <w:tcW w:w="8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74 bps</w:t>
            </w: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IOL ratio</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6.7%</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6.6%</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5.5%</w:t>
            </w:r>
          </w:p>
        </w:tc>
        <w:tc>
          <w:tcPr>
            <w:tcW w:w="740" w:type="dxa"/>
            <w:vAlign w:val="bottom"/>
          </w:tcPr>
          <w:p>
            <w:pPr>
              <w:jc w:val="center"/>
              <w:spacing w:after="0"/>
              <w:rPr>
                <w:sz w:val="20"/>
                <w:szCs w:val="20"/>
                <w:color w:val="auto"/>
              </w:rPr>
            </w:pPr>
            <w:r>
              <w:rPr>
                <w:rFonts w:ascii="Arial" w:cs="Arial" w:eastAsia="Arial" w:hAnsi="Arial"/>
                <w:sz w:val="13"/>
                <w:szCs w:val="13"/>
                <w:color w:val="auto"/>
              </w:rPr>
              <w:t>-23 bps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-147 bps</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NPL ratio</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7.2%</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7.1%</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6.1%</w:t>
            </w:r>
          </w:p>
        </w:tc>
        <w:tc>
          <w:tcPr>
            <w:tcW w:w="740" w:type="dxa"/>
            <w:vAlign w:val="bottom"/>
          </w:tcPr>
          <w:p>
            <w:pPr>
              <w:jc w:val="center"/>
              <w:spacing w:after="0"/>
              <w:rPr>
                <w:sz w:val="20"/>
                <w:szCs w:val="20"/>
                <w:color w:val="auto"/>
              </w:rPr>
            </w:pPr>
            <w:r>
              <w:rPr>
                <w:rFonts w:ascii="Arial" w:cs="Arial" w:eastAsia="Arial" w:hAnsi="Arial"/>
                <w:sz w:val="13"/>
                <w:szCs w:val="13"/>
                <w:color w:val="auto"/>
              </w:rPr>
              <w:t>-19 bps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-127 bps</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Coverage of IOLs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126.6%</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116.1%</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128.6%</w:t>
            </w:r>
          </w:p>
        </w:tc>
        <w:tc>
          <w:tcPr>
            <w:tcW w:w="740" w:type="dxa"/>
            <w:vAlign w:val="bottom"/>
          </w:tcPr>
          <w:p>
            <w:pPr>
              <w:jc w:val="center"/>
              <w:spacing w:after="0"/>
              <w:rPr>
                <w:sz w:val="20"/>
                <w:szCs w:val="20"/>
                <w:color w:val="auto"/>
              </w:rPr>
            </w:pPr>
            <w:r>
              <w:rPr>
                <w:rFonts w:ascii="Arial" w:cs="Arial" w:eastAsia="Arial" w:hAnsi="Arial"/>
                <w:sz w:val="13"/>
                <w:szCs w:val="13"/>
                <w:color w:val="auto"/>
              </w:rPr>
              <w:t>-322 bps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-2336 bps</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5"/>
        </w:trPr>
        <w:tc>
          <w:tcPr>
            <w:tcW w:w="3860" w:type="dxa"/>
            <w:vAlign w:val="bottom"/>
            <w:tcBorders>
              <w:left w:val="single" w:sz="8" w:color="auto"/>
              <w:right w:val="single" w:sz="8" w:color="auto"/>
            </w:tcBorders>
          </w:tcPr>
          <w:p>
            <w:pPr>
              <w:ind w:left="60"/>
              <w:spacing w:after="0" w:line="136" w:lineRule="exact"/>
              <w:rPr>
                <w:sz w:val="20"/>
                <w:szCs w:val="20"/>
                <w:color w:val="auto"/>
              </w:rPr>
            </w:pPr>
            <w:r>
              <w:rPr>
                <w:rFonts w:ascii="Arial" w:cs="Arial" w:eastAsia="Arial" w:hAnsi="Arial"/>
                <w:sz w:val="13"/>
                <w:szCs w:val="13"/>
                <w:color w:val="auto"/>
              </w:rPr>
              <w:t>Coverage of NPLs</w:t>
            </w:r>
          </w:p>
        </w:tc>
        <w:tc>
          <w:tcPr>
            <w:tcW w:w="1120" w:type="dxa"/>
            <w:vAlign w:val="bottom"/>
          </w:tcPr>
          <w:p>
            <w:pPr>
              <w:jc w:val="right"/>
              <w:ind w:right="93"/>
              <w:spacing w:after="0" w:line="136" w:lineRule="exact"/>
              <w:rPr>
                <w:sz w:val="20"/>
                <w:szCs w:val="20"/>
                <w:color w:val="auto"/>
              </w:rPr>
            </w:pPr>
            <w:r>
              <w:rPr>
                <w:rFonts w:ascii="Arial" w:cs="Arial" w:eastAsia="Arial" w:hAnsi="Arial"/>
                <w:sz w:val="13"/>
                <w:szCs w:val="13"/>
                <w:color w:val="auto"/>
              </w:rPr>
              <w:t>118.4%</w:t>
            </w:r>
          </w:p>
        </w:tc>
        <w:tc>
          <w:tcPr>
            <w:tcW w:w="1000" w:type="dxa"/>
            <w:vAlign w:val="bottom"/>
          </w:tcPr>
          <w:p>
            <w:pPr>
              <w:jc w:val="right"/>
              <w:ind w:right="73"/>
              <w:spacing w:after="0" w:line="136" w:lineRule="exact"/>
              <w:rPr>
                <w:sz w:val="20"/>
                <w:szCs w:val="20"/>
                <w:color w:val="auto"/>
              </w:rPr>
            </w:pPr>
            <w:r>
              <w:rPr>
                <w:rFonts w:ascii="Arial" w:cs="Arial" w:eastAsia="Arial" w:hAnsi="Arial"/>
                <w:sz w:val="13"/>
                <w:szCs w:val="13"/>
                <w:color w:val="auto"/>
              </w:rPr>
              <w:t>106.8%</w:t>
            </w:r>
          </w:p>
        </w:tc>
        <w:tc>
          <w:tcPr>
            <w:tcW w:w="96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116.0%</w:t>
            </w:r>
          </w:p>
        </w:tc>
        <w:tc>
          <w:tcPr>
            <w:tcW w:w="740" w:type="dxa"/>
            <w:vAlign w:val="bottom"/>
          </w:tcPr>
          <w:p>
            <w:pPr>
              <w:jc w:val="center"/>
              <w:spacing w:after="0" w:line="136" w:lineRule="exact"/>
              <w:rPr>
                <w:sz w:val="20"/>
                <w:szCs w:val="20"/>
                <w:color w:val="auto"/>
              </w:rPr>
            </w:pPr>
            <w:r>
              <w:rPr>
                <w:rFonts w:ascii="Arial" w:cs="Arial" w:eastAsia="Arial" w:hAnsi="Arial"/>
                <w:sz w:val="13"/>
                <w:szCs w:val="13"/>
                <w:color w:val="auto"/>
              </w:rPr>
              <w:t>-387 bps</w:t>
            </w:r>
          </w:p>
        </w:tc>
        <w:tc>
          <w:tcPr>
            <w:tcW w:w="8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-2644 bps</w:t>
            </w: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6"/>
        </w:trPr>
        <w:tc>
          <w:tcPr>
            <w:tcW w:w="3860" w:type="dxa"/>
            <w:vAlign w:val="bottom"/>
            <w:tcBorders>
              <w:left w:val="single" w:sz="8" w:color="auto"/>
              <w:right w:val="single" w:sz="8" w:color="auto"/>
            </w:tcBorders>
          </w:tcPr>
          <w:p>
            <w:pPr>
              <w:ind w:left="60"/>
              <w:spacing w:after="0" w:line="166" w:lineRule="exact"/>
              <w:rPr>
                <w:sz w:val="20"/>
                <w:szCs w:val="20"/>
                <w:color w:val="auto"/>
              </w:rPr>
            </w:pPr>
            <w:r>
              <w:rPr>
                <w:rFonts w:ascii="Arial" w:cs="Arial" w:eastAsia="Arial" w:hAnsi="Arial"/>
                <w:sz w:val="12"/>
                <w:szCs w:val="12"/>
                <w:color w:val="auto"/>
              </w:rPr>
              <w:t xml:space="preserve">Branches </w:t>
            </w:r>
            <w:r>
              <w:rPr>
                <w:rFonts w:ascii="Arial" w:cs="Arial" w:eastAsia="Arial" w:hAnsi="Arial"/>
                <w:sz w:val="19"/>
                <w:szCs w:val="19"/>
                <w:color w:val="auto"/>
                <w:vertAlign w:val="superscript"/>
              </w:rPr>
              <w:t>(1)</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315</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297</w:t>
            </w:r>
          </w:p>
        </w:tc>
        <w:tc>
          <w:tcPr>
            <w:tcW w:w="9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297</w:t>
            </w:r>
          </w:p>
        </w:tc>
        <w:tc>
          <w:tcPr>
            <w:tcW w:w="7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Employees</w:t>
            </w: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9,878</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9,596</w:t>
            </w:r>
          </w:p>
        </w:tc>
        <w:tc>
          <w:tcPr>
            <w:tcW w:w="9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9,725</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129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-153</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73"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Includes Banco de la Nacion branches, which in December 21, September 22 and December 22 were 34.</w:t>
      </w:r>
    </w:p>
    <w:p>
      <w:pPr>
        <w:spacing w:after="0" w:line="159" w:lineRule="exact"/>
        <w:rPr>
          <w:sz w:val="20"/>
          <w:szCs w:val="20"/>
          <w:color w:val="auto"/>
        </w:rPr>
      </w:pPr>
    </w:p>
    <w:p>
      <w:pPr>
        <w:ind w:left="111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41845" cy="15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80"/>
          </w:cols>
          <w:pgMar w:left="300" w:top="433" w:right="319" w:bottom="1440" w:gutter="0" w:footer="0" w:header="0"/>
        </w:sectPr>
      </w:pPr>
    </w:p>
    <w:bookmarkStart w:id="66" w:name="page67"/>
    <w:bookmarkEnd w:id="66"/>
    <w:p>
      <w:pPr>
        <w:ind w:left="2980"/>
        <w:spacing w:after="0"/>
        <w:tabs>
          <w:tab w:leader="none" w:pos="752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88900</wp:posOffset>
            </wp:positionV>
            <wp:extent cx="7141845" cy="535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41845" cy="3517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1845" cy="3517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FFFFFF"/>
        </w:rPr>
        <w:t>12. Appendix</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12.5.7. Prima AFP</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800" w:type="dxa"/>
            <w:vAlign w:val="bottom"/>
            <w:tcBorders>
              <w:right w:val="single" w:sz="8" w:color="auto"/>
            </w:tcBorders>
          </w:tcPr>
          <w:p>
            <w:pPr>
              <w:spacing w:after="0"/>
              <w:rPr>
                <w:sz w:val="14"/>
                <w:szCs w:val="14"/>
                <w:color w:val="auto"/>
              </w:rPr>
            </w:pPr>
          </w:p>
        </w:tc>
        <w:tc>
          <w:tcPr>
            <w:tcW w:w="1120" w:type="dxa"/>
            <w:vAlign w:val="bottom"/>
            <w:tcBorders>
              <w:top w:val="single" w:sz="8" w:color="auto"/>
            </w:tcBorders>
            <w:shd w:val="clear" w:color="auto" w:fill="2AD2C9"/>
          </w:tcPr>
          <w:p>
            <w:pPr>
              <w:spacing w:after="0"/>
              <w:rPr>
                <w:sz w:val="14"/>
                <w:szCs w:val="14"/>
                <w:color w:val="auto"/>
              </w:rPr>
            </w:pPr>
          </w:p>
        </w:tc>
        <w:tc>
          <w:tcPr>
            <w:tcW w:w="1020" w:type="dxa"/>
            <w:vAlign w:val="bottom"/>
            <w:tcBorders>
              <w:top w:val="single" w:sz="8" w:color="auto"/>
            </w:tcBorders>
            <w:shd w:val="clear" w:color="auto" w:fill="2AD2C9"/>
          </w:tcPr>
          <w:p>
            <w:pPr>
              <w:jc w:val="right"/>
              <w:ind w:right="413"/>
              <w:spacing w:after="0"/>
              <w:rPr>
                <w:sz w:val="20"/>
                <w:szCs w:val="20"/>
                <w:color w:val="auto"/>
              </w:rPr>
            </w:pPr>
            <w:r>
              <w:rPr>
                <w:rFonts w:ascii="Arial" w:cs="Arial" w:eastAsia="Arial" w:hAnsi="Arial"/>
                <w:sz w:val="13"/>
                <w:szCs w:val="13"/>
                <w:b w:val="1"/>
                <w:bCs w:val="1"/>
                <w:color w:val="FFFFFF"/>
              </w:rPr>
              <w:t>As of</w:t>
            </w:r>
          </w:p>
        </w:tc>
        <w:tc>
          <w:tcPr>
            <w:tcW w:w="820" w:type="dxa"/>
            <w:vAlign w:val="bottom"/>
            <w:tcBorders>
              <w:top w:val="single" w:sz="8" w:color="auto"/>
              <w:right w:val="single" w:sz="8" w:color="auto"/>
            </w:tcBorders>
            <w:shd w:val="clear" w:color="auto" w:fill="2AD2C9"/>
          </w:tcPr>
          <w:p>
            <w:pPr>
              <w:spacing w:after="0"/>
              <w:rPr>
                <w:sz w:val="14"/>
                <w:szCs w:val="14"/>
                <w:color w:val="auto"/>
              </w:rPr>
            </w:pPr>
          </w:p>
        </w:tc>
        <w:tc>
          <w:tcPr>
            <w:tcW w:w="1520" w:type="dxa"/>
            <w:vAlign w:val="bottom"/>
            <w:tcBorders>
              <w:top w:val="single" w:sz="8" w:color="auto"/>
              <w:right w:val="single" w:sz="8" w:color="auto"/>
            </w:tcBorders>
            <w:gridSpan w:val="2"/>
            <w:shd w:val="clear" w:color="auto" w:fill="2AD2C9"/>
          </w:tcPr>
          <w:p>
            <w:pPr>
              <w:ind w:left="440"/>
              <w:spacing w:after="0"/>
              <w:rPr>
                <w:sz w:val="20"/>
                <w:szCs w:val="20"/>
                <w:color w:val="auto"/>
              </w:rPr>
            </w:pPr>
            <w:r>
              <w:rPr>
                <w:rFonts w:ascii="Arial" w:cs="Arial" w:eastAsia="Arial" w:hAnsi="Arial"/>
                <w:sz w:val="13"/>
                <w:szCs w:val="13"/>
                <w:b w:val="1"/>
                <w:bCs w:val="1"/>
                <w:color w:val="FFFFFF"/>
              </w:rPr>
              <w:t>% change</w:t>
            </w:r>
          </w:p>
        </w:tc>
      </w:tr>
      <w:tr>
        <w:trPr>
          <w:trHeight w:val="166"/>
        </w:trPr>
        <w:tc>
          <w:tcPr>
            <w:tcW w:w="38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shd w:val="clear" w:color="auto" w:fill="2AD2C9"/>
          </w:tcPr>
          <w:p>
            <w:pPr>
              <w:jc w:val="right"/>
              <w:ind w:right="133"/>
              <w:spacing w:after="0"/>
              <w:rPr>
                <w:sz w:val="20"/>
                <w:szCs w:val="20"/>
                <w:color w:val="auto"/>
              </w:rPr>
            </w:pPr>
            <w:r>
              <w:rPr>
                <w:rFonts w:ascii="Arial" w:cs="Arial" w:eastAsia="Arial" w:hAnsi="Arial"/>
                <w:sz w:val="13"/>
                <w:szCs w:val="13"/>
                <w:b w:val="1"/>
                <w:bCs w:val="1"/>
                <w:color w:val="FFFFFF"/>
              </w:rPr>
              <w:t>Dec 21</w:t>
            </w:r>
          </w:p>
        </w:tc>
        <w:tc>
          <w:tcPr>
            <w:tcW w:w="1020" w:type="dxa"/>
            <w:vAlign w:val="bottom"/>
            <w:tcBorders>
              <w:bottom w:val="single" w:sz="8" w:color="auto"/>
            </w:tcBorders>
            <w:shd w:val="clear" w:color="auto" w:fill="2AD2C9"/>
          </w:tcPr>
          <w:p>
            <w:pPr>
              <w:jc w:val="right"/>
              <w:ind w:right="173"/>
              <w:spacing w:after="0"/>
              <w:rPr>
                <w:sz w:val="20"/>
                <w:szCs w:val="20"/>
                <w:color w:val="auto"/>
              </w:rPr>
            </w:pPr>
            <w:r>
              <w:rPr>
                <w:rFonts w:ascii="Arial" w:cs="Arial" w:eastAsia="Arial" w:hAnsi="Arial"/>
                <w:sz w:val="13"/>
                <w:szCs w:val="13"/>
                <w:b w:val="1"/>
                <w:bCs w:val="1"/>
                <w:color w:val="FFFFFF"/>
              </w:rPr>
              <w:t>Sep 22</w:t>
            </w:r>
          </w:p>
        </w:tc>
        <w:tc>
          <w:tcPr>
            <w:tcW w:w="820" w:type="dxa"/>
            <w:vAlign w:val="bottom"/>
            <w:tcBorders>
              <w:bottom w:val="single" w:sz="8" w:color="auto"/>
              <w:right w:val="single" w:sz="8" w:color="auto"/>
            </w:tcBorders>
            <w:shd w:val="clear" w:color="auto" w:fill="2AD2C9"/>
          </w:tcPr>
          <w:p>
            <w:pPr>
              <w:jc w:val="right"/>
              <w:ind w:right="13"/>
              <w:spacing w:after="0"/>
              <w:rPr>
                <w:sz w:val="20"/>
                <w:szCs w:val="20"/>
                <w:color w:val="auto"/>
              </w:rPr>
            </w:pPr>
            <w:r>
              <w:rPr>
                <w:rFonts w:ascii="Arial" w:cs="Arial" w:eastAsia="Arial" w:hAnsi="Arial"/>
                <w:sz w:val="13"/>
                <w:szCs w:val="13"/>
                <w:b w:val="1"/>
                <w:bCs w:val="1"/>
                <w:color w:val="FFFFFF"/>
              </w:rPr>
              <w:t>Dec 22</w:t>
            </w:r>
          </w:p>
        </w:tc>
        <w:tc>
          <w:tcPr>
            <w:tcW w:w="74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3"/>
                <w:szCs w:val="13"/>
                <w:b w:val="1"/>
                <w:bCs w:val="1"/>
                <w:color w:val="FFFFFF"/>
              </w:rPr>
              <w:t>QoQ</w:t>
            </w:r>
          </w:p>
        </w:tc>
        <w:tc>
          <w:tcPr>
            <w:tcW w:w="7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YoY</w:t>
            </w:r>
          </w:p>
        </w:tc>
      </w:tr>
      <w:tr>
        <w:trPr>
          <w:trHeight w:val="143"/>
        </w:trPr>
        <w:tc>
          <w:tcPr>
            <w:tcW w:w="3800" w:type="dxa"/>
            <w:vAlign w:val="bottom"/>
            <w:tcBorders>
              <w:left w:val="single" w:sz="8" w:color="auto"/>
              <w:right w:val="single" w:sz="8" w:color="auto"/>
            </w:tcBorders>
          </w:tcPr>
          <w:p>
            <w:pPr>
              <w:ind w:left="60"/>
              <w:spacing w:after="0" w:line="144" w:lineRule="exact"/>
              <w:rPr>
                <w:sz w:val="20"/>
                <w:szCs w:val="20"/>
                <w:color w:val="auto"/>
              </w:rPr>
            </w:pPr>
            <w:r>
              <w:rPr>
                <w:rFonts w:ascii="Arial" w:cs="Arial" w:eastAsia="Arial" w:hAnsi="Arial"/>
                <w:sz w:val="13"/>
                <w:szCs w:val="13"/>
                <w:color w:val="auto"/>
              </w:rPr>
              <w:t>Total assets</w:t>
            </w:r>
          </w:p>
        </w:tc>
        <w:tc>
          <w:tcPr>
            <w:tcW w:w="1120" w:type="dxa"/>
            <w:vAlign w:val="bottom"/>
          </w:tcPr>
          <w:p>
            <w:pPr>
              <w:jc w:val="right"/>
              <w:ind w:right="133"/>
              <w:spacing w:after="0" w:line="144" w:lineRule="exact"/>
              <w:rPr>
                <w:sz w:val="20"/>
                <w:szCs w:val="20"/>
                <w:color w:val="auto"/>
              </w:rPr>
            </w:pPr>
            <w:r>
              <w:rPr>
                <w:rFonts w:ascii="Arial" w:cs="Arial" w:eastAsia="Arial" w:hAnsi="Arial"/>
                <w:sz w:val="13"/>
                <w:szCs w:val="13"/>
                <w:color w:val="auto"/>
              </w:rPr>
              <w:t>839,772</w:t>
            </w:r>
          </w:p>
        </w:tc>
        <w:tc>
          <w:tcPr>
            <w:tcW w:w="1020" w:type="dxa"/>
            <w:vAlign w:val="bottom"/>
          </w:tcPr>
          <w:p>
            <w:pPr>
              <w:jc w:val="right"/>
              <w:ind w:right="173"/>
              <w:spacing w:after="0" w:line="144" w:lineRule="exact"/>
              <w:rPr>
                <w:sz w:val="20"/>
                <w:szCs w:val="20"/>
                <w:color w:val="auto"/>
              </w:rPr>
            </w:pPr>
            <w:r>
              <w:rPr>
                <w:rFonts w:ascii="Arial" w:cs="Arial" w:eastAsia="Arial" w:hAnsi="Arial"/>
                <w:sz w:val="13"/>
                <w:szCs w:val="13"/>
                <w:color w:val="auto"/>
              </w:rPr>
              <w:t>734,766</w:t>
            </w:r>
          </w:p>
        </w:tc>
        <w:tc>
          <w:tcPr>
            <w:tcW w:w="820" w:type="dxa"/>
            <w:vAlign w:val="bottom"/>
            <w:tcBorders>
              <w:right w:val="single" w:sz="8" w:color="auto"/>
            </w:tcBorders>
          </w:tcPr>
          <w:p>
            <w:pPr>
              <w:jc w:val="right"/>
              <w:ind w:right="13"/>
              <w:spacing w:after="0" w:line="144" w:lineRule="exact"/>
              <w:rPr>
                <w:sz w:val="20"/>
                <w:szCs w:val="20"/>
                <w:color w:val="auto"/>
              </w:rPr>
            </w:pPr>
            <w:r>
              <w:rPr>
                <w:rFonts w:ascii="Arial" w:cs="Arial" w:eastAsia="Arial" w:hAnsi="Arial"/>
                <w:sz w:val="13"/>
                <w:szCs w:val="13"/>
                <w:color w:val="auto"/>
              </w:rPr>
              <w:t>734,967</w:t>
            </w:r>
          </w:p>
        </w:tc>
        <w:tc>
          <w:tcPr>
            <w:tcW w:w="740" w:type="dxa"/>
            <w:vAlign w:val="bottom"/>
          </w:tcPr>
          <w:p>
            <w:pPr>
              <w:jc w:val="center"/>
              <w:spacing w:after="0" w:line="144" w:lineRule="exact"/>
              <w:rPr>
                <w:sz w:val="20"/>
                <w:szCs w:val="20"/>
                <w:color w:val="auto"/>
              </w:rPr>
            </w:pPr>
            <w:r>
              <w:rPr>
                <w:rFonts w:ascii="Arial" w:cs="Arial" w:eastAsia="Arial" w:hAnsi="Arial"/>
                <w:sz w:val="13"/>
                <w:szCs w:val="13"/>
                <w:color w:val="auto"/>
              </w:rPr>
              <w:t>0.0%</w:t>
            </w:r>
          </w:p>
        </w:tc>
        <w:tc>
          <w:tcPr>
            <w:tcW w:w="7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-12.5%</w:t>
            </w:r>
          </w:p>
        </w:tc>
      </w:tr>
      <w:tr>
        <w:trPr>
          <w:trHeight w:val="151"/>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Total liabilities</w:t>
            </w:r>
          </w:p>
        </w:tc>
        <w:tc>
          <w:tcPr>
            <w:tcW w:w="1120" w:type="dxa"/>
            <w:vAlign w:val="bottom"/>
          </w:tcPr>
          <w:p>
            <w:pPr>
              <w:jc w:val="right"/>
              <w:ind w:right="133"/>
              <w:spacing w:after="0"/>
              <w:rPr>
                <w:sz w:val="20"/>
                <w:szCs w:val="20"/>
                <w:color w:val="auto"/>
              </w:rPr>
            </w:pPr>
            <w:r>
              <w:rPr>
                <w:rFonts w:ascii="Arial" w:cs="Arial" w:eastAsia="Arial" w:hAnsi="Arial"/>
                <w:sz w:val="13"/>
                <w:szCs w:val="13"/>
                <w:color w:val="auto"/>
              </w:rPr>
              <w:t>265,185</w:t>
            </w:r>
          </w:p>
        </w:tc>
        <w:tc>
          <w:tcPr>
            <w:tcW w:w="1020" w:type="dxa"/>
            <w:vAlign w:val="bottom"/>
          </w:tcPr>
          <w:p>
            <w:pPr>
              <w:jc w:val="right"/>
              <w:ind w:right="173"/>
              <w:spacing w:after="0"/>
              <w:rPr>
                <w:sz w:val="20"/>
                <w:szCs w:val="20"/>
                <w:color w:val="auto"/>
              </w:rPr>
            </w:pPr>
            <w:r>
              <w:rPr>
                <w:rFonts w:ascii="Arial" w:cs="Arial" w:eastAsia="Arial" w:hAnsi="Arial"/>
                <w:sz w:val="13"/>
                <w:szCs w:val="13"/>
                <w:color w:val="auto"/>
              </w:rPr>
              <w:t>278,345</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238,178</w:t>
            </w:r>
          </w:p>
        </w:tc>
        <w:tc>
          <w:tcPr>
            <w:tcW w:w="740" w:type="dxa"/>
            <w:vAlign w:val="bottom"/>
          </w:tcPr>
          <w:p>
            <w:pPr>
              <w:jc w:val="center"/>
              <w:spacing w:after="0"/>
              <w:rPr>
                <w:sz w:val="20"/>
                <w:szCs w:val="20"/>
                <w:color w:val="auto"/>
              </w:rPr>
            </w:pPr>
            <w:r>
              <w:rPr>
                <w:rFonts w:ascii="Arial" w:cs="Arial" w:eastAsia="Arial" w:hAnsi="Arial"/>
                <w:sz w:val="13"/>
                <w:szCs w:val="13"/>
                <w:color w:val="auto"/>
              </w:rPr>
              <w:t>-14.4%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-10.2%</w:t>
            </w:r>
          </w:p>
        </w:tc>
      </w:tr>
      <w:tr>
        <w:trPr>
          <w:trHeight w:val="164"/>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 shareholders' equity</w:t>
            </w: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574,587</w:t>
            </w: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456,421</w:t>
            </w:r>
          </w:p>
        </w:tc>
        <w:tc>
          <w:tcPr>
            <w:tcW w:w="8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496,789</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8.8%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-13.5%</w:t>
            </w:r>
          </w:p>
        </w:tc>
      </w:tr>
    </w:tbl>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800" w:type="dxa"/>
            <w:vAlign w:val="bottom"/>
            <w:tcBorders>
              <w:right w:val="single" w:sz="8" w:color="auto"/>
            </w:tcBorders>
          </w:tcPr>
          <w:p>
            <w:pPr>
              <w:spacing w:after="0"/>
              <w:rPr>
                <w:sz w:val="14"/>
                <w:szCs w:val="14"/>
                <w:color w:val="auto"/>
              </w:rPr>
            </w:pPr>
          </w:p>
        </w:tc>
        <w:tc>
          <w:tcPr>
            <w:tcW w:w="1100" w:type="dxa"/>
            <w:vAlign w:val="bottom"/>
            <w:tcBorders>
              <w:top w:val="single" w:sz="8" w:color="auto"/>
            </w:tcBorders>
            <w:shd w:val="clear" w:color="auto" w:fill="2AD2C9"/>
          </w:tcPr>
          <w:p>
            <w:pPr>
              <w:spacing w:after="0"/>
              <w:rPr>
                <w:sz w:val="14"/>
                <w:szCs w:val="14"/>
                <w:color w:val="auto"/>
              </w:rPr>
            </w:pPr>
          </w:p>
        </w:tc>
        <w:tc>
          <w:tcPr>
            <w:tcW w:w="1080" w:type="dxa"/>
            <w:vAlign w:val="bottom"/>
            <w:tcBorders>
              <w:top w:val="single" w:sz="8" w:color="auto"/>
            </w:tcBorders>
            <w:shd w:val="clear" w:color="auto" w:fill="2AD2C9"/>
          </w:tcPr>
          <w:p>
            <w:pPr>
              <w:jc w:val="right"/>
              <w:ind w:right="413"/>
              <w:spacing w:after="0"/>
              <w:rPr>
                <w:sz w:val="20"/>
                <w:szCs w:val="20"/>
                <w:color w:val="auto"/>
              </w:rPr>
            </w:pPr>
            <w:r>
              <w:rPr>
                <w:rFonts w:ascii="Arial" w:cs="Arial" w:eastAsia="Arial" w:hAnsi="Arial"/>
                <w:sz w:val="13"/>
                <w:szCs w:val="13"/>
                <w:b w:val="1"/>
                <w:bCs w:val="1"/>
                <w:color w:val="FFFFFF"/>
              </w:rPr>
              <w:t>Quarter</w:t>
            </w:r>
          </w:p>
        </w:tc>
        <w:tc>
          <w:tcPr>
            <w:tcW w:w="780" w:type="dxa"/>
            <w:vAlign w:val="bottom"/>
            <w:tcBorders>
              <w:top w:val="single" w:sz="8" w:color="auto"/>
              <w:right w:val="single" w:sz="8" w:color="auto"/>
            </w:tcBorders>
            <w:shd w:val="clear" w:color="auto" w:fill="2AD2C9"/>
          </w:tcPr>
          <w:p>
            <w:pPr>
              <w:spacing w:after="0"/>
              <w:rPr>
                <w:sz w:val="14"/>
                <w:szCs w:val="14"/>
                <w:color w:val="auto"/>
              </w:rPr>
            </w:pPr>
          </w:p>
        </w:tc>
        <w:tc>
          <w:tcPr>
            <w:tcW w:w="1520" w:type="dxa"/>
            <w:vAlign w:val="bottom"/>
            <w:tcBorders>
              <w:top w:val="single" w:sz="8" w:color="auto"/>
              <w:right w:val="single" w:sz="8" w:color="auto"/>
            </w:tcBorders>
            <w:gridSpan w:val="2"/>
            <w:shd w:val="clear" w:color="auto" w:fill="2AD2C9"/>
          </w:tcPr>
          <w:p>
            <w:pPr>
              <w:ind w:left="440"/>
              <w:spacing w:after="0"/>
              <w:rPr>
                <w:sz w:val="20"/>
                <w:szCs w:val="20"/>
                <w:color w:val="auto"/>
              </w:rPr>
            </w:pPr>
            <w:r>
              <w:rPr>
                <w:rFonts w:ascii="Arial" w:cs="Arial" w:eastAsia="Arial" w:hAnsi="Arial"/>
                <w:sz w:val="13"/>
                <w:szCs w:val="13"/>
                <w:b w:val="1"/>
                <w:bCs w:val="1"/>
                <w:color w:val="FFFFFF"/>
              </w:rPr>
              <w:t>% change</w:t>
            </w:r>
          </w:p>
        </w:tc>
        <w:tc>
          <w:tcPr>
            <w:tcW w:w="1260" w:type="dxa"/>
            <w:vAlign w:val="bottom"/>
            <w:tcBorders>
              <w:top w:val="single" w:sz="8" w:color="auto"/>
            </w:tcBorders>
            <w:shd w:val="clear" w:color="auto" w:fill="2AD2C9"/>
          </w:tcPr>
          <w:p>
            <w:pPr>
              <w:jc w:val="right"/>
              <w:ind w:right="73"/>
              <w:spacing w:after="0"/>
              <w:rPr>
                <w:sz w:val="20"/>
                <w:szCs w:val="20"/>
                <w:color w:val="auto"/>
              </w:rPr>
            </w:pPr>
            <w:r>
              <w:rPr>
                <w:rFonts w:ascii="Arial" w:cs="Arial" w:eastAsia="Arial" w:hAnsi="Arial"/>
                <w:sz w:val="13"/>
                <w:szCs w:val="13"/>
                <w:b w:val="1"/>
                <w:bCs w:val="1"/>
                <w:color w:val="FFFFFF"/>
              </w:rPr>
              <w:t>YTD</w:t>
            </w:r>
          </w:p>
        </w:tc>
        <w:tc>
          <w:tcPr>
            <w:tcW w:w="740" w:type="dxa"/>
            <w:vAlign w:val="bottom"/>
            <w:tcBorders>
              <w:top w:val="single" w:sz="8" w:color="auto"/>
              <w:right w:val="single" w:sz="8" w:color="auto"/>
            </w:tcBorders>
            <w:shd w:val="clear" w:color="auto" w:fill="2AD2C9"/>
          </w:tcPr>
          <w:p>
            <w:pPr>
              <w:spacing w:after="0"/>
              <w:rPr>
                <w:sz w:val="14"/>
                <w:szCs w:val="14"/>
                <w:color w:val="auto"/>
              </w:rPr>
            </w:pPr>
          </w:p>
        </w:tc>
        <w:tc>
          <w:tcPr>
            <w:tcW w:w="10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66"/>
        </w:trPr>
        <w:tc>
          <w:tcPr>
            <w:tcW w:w="380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shd w:val="clear" w:color="auto" w:fill="2AD2C9"/>
          </w:tcPr>
          <w:p>
            <w:pPr>
              <w:jc w:val="right"/>
              <w:ind w:right="113"/>
              <w:spacing w:after="0"/>
              <w:rPr>
                <w:sz w:val="20"/>
                <w:szCs w:val="20"/>
                <w:color w:val="auto"/>
              </w:rPr>
            </w:pPr>
            <w:r>
              <w:rPr>
                <w:rFonts w:ascii="Arial" w:cs="Arial" w:eastAsia="Arial" w:hAnsi="Arial"/>
                <w:sz w:val="13"/>
                <w:szCs w:val="13"/>
                <w:b w:val="1"/>
                <w:bCs w:val="1"/>
                <w:color w:val="FFFFFF"/>
              </w:rPr>
              <w:t>4Q21</w:t>
            </w:r>
          </w:p>
        </w:tc>
        <w:tc>
          <w:tcPr>
            <w:tcW w:w="1080" w:type="dxa"/>
            <w:vAlign w:val="bottom"/>
            <w:tcBorders>
              <w:bottom w:val="single" w:sz="8" w:color="auto"/>
            </w:tcBorders>
            <w:shd w:val="clear" w:color="auto" w:fill="2AD2C9"/>
          </w:tcPr>
          <w:p>
            <w:pPr>
              <w:jc w:val="right"/>
              <w:ind w:right="213"/>
              <w:spacing w:after="0"/>
              <w:rPr>
                <w:sz w:val="20"/>
                <w:szCs w:val="20"/>
                <w:color w:val="auto"/>
              </w:rPr>
            </w:pPr>
            <w:r>
              <w:rPr>
                <w:rFonts w:ascii="Arial" w:cs="Arial" w:eastAsia="Arial" w:hAnsi="Arial"/>
                <w:sz w:val="13"/>
                <w:szCs w:val="13"/>
                <w:b w:val="1"/>
                <w:bCs w:val="1"/>
                <w:color w:val="FFFFFF"/>
              </w:rPr>
              <w:t>3Q22</w:t>
            </w:r>
          </w:p>
        </w:tc>
        <w:tc>
          <w:tcPr>
            <w:tcW w:w="780" w:type="dxa"/>
            <w:vAlign w:val="bottom"/>
            <w:tcBorders>
              <w:bottom w:val="single" w:sz="8" w:color="auto"/>
              <w:right w:val="single" w:sz="8" w:color="auto"/>
            </w:tcBorders>
            <w:shd w:val="clear" w:color="auto" w:fill="2AD2C9"/>
          </w:tcPr>
          <w:p>
            <w:pPr>
              <w:jc w:val="right"/>
              <w:ind w:right="13"/>
              <w:spacing w:after="0"/>
              <w:rPr>
                <w:sz w:val="20"/>
                <w:szCs w:val="20"/>
                <w:color w:val="auto"/>
              </w:rPr>
            </w:pPr>
            <w:r>
              <w:rPr>
                <w:rFonts w:ascii="Arial" w:cs="Arial" w:eastAsia="Arial" w:hAnsi="Arial"/>
                <w:sz w:val="13"/>
                <w:szCs w:val="13"/>
                <w:b w:val="1"/>
                <w:bCs w:val="1"/>
                <w:color w:val="FFFFFF"/>
              </w:rPr>
              <w:t>4Q22</w:t>
            </w: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QoQ</w:t>
            </w:r>
          </w:p>
        </w:tc>
        <w:tc>
          <w:tcPr>
            <w:tcW w:w="7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4"/>
              </w:rPr>
              <w:t>YoY</w:t>
            </w:r>
          </w:p>
        </w:tc>
        <w:tc>
          <w:tcPr>
            <w:tcW w:w="1260" w:type="dxa"/>
            <w:vAlign w:val="bottom"/>
            <w:tcBorders>
              <w:bottom w:val="single" w:sz="8" w:color="auto"/>
            </w:tcBorders>
            <w:shd w:val="clear" w:color="auto" w:fill="2AD2C9"/>
          </w:tcPr>
          <w:p>
            <w:pPr>
              <w:jc w:val="right"/>
              <w:ind w:right="253"/>
              <w:spacing w:after="0"/>
              <w:rPr>
                <w:sz w:val="20"/>
                <w:szCs w:val="20"/>
                <w:color w:val="auto"/>
              </w:rPr>
            </w:pPr>
            <w:r>
              <w:rPr>
                <w:rFonts w:ascii="Arial" w:cs="Arial" w:eastAsia="Arial" w:hAnsi="Arial"/>
                <w:sz w:val="13"/>
                <w:szCs w:val="13"/>
                <w:b w:val="1"/>
                <w:bCs w:val="1"/>
                <w:color w:val="FFFFFF"/>
              </w:rPr>
              <w:t>Dec 21</w:t>
            </w:r>
          </w:p>
        </w:tc>
        <w:tc>
          <w:tcPr>
            <w:tcW w:w="740" w:type="dxa"/>
            <w:vAlign w:val="bottom"/>
            <w:tcBorders>
              <w:bottom w:val="single" w:sz="8" w:color="auto"/>
              <w:right w:val="single" w:sz="8" w:color="auto"/>
            </w:tcBorders>
            <w:shd w:val="clear" w:color="auto" w:fill="2AD2C9"/>
          </w:tcPr>
          <w:p>
            <w:pPr>
              <w:jc w:val="right"/>
              <w:ind w:right="13"/>
              <w:spacing w:after="0"/>
              <w:rPr>
                <w:sz w:val="20"/>
                <w:szCs w:val="20"/>
                <w:color w:val="auto"/>
              </w:rPr>
            </w:pPr>
            <w:r>
              <w:rPr>
                <w:rFonts w:ascii="Arial" w:cs="Arial" w:eastAsia="Arial" w:hAnsi="Arial"/>
                <w:sz w:val="13"/>
                <w:szCs w:val="13"/>
                <w:b w:val="1"/>
                <w:bCs w:val="1"/>
                <w:color w:val="FFFFFF"/>
              </w:rPr>
              <w:t>Dec 22</w:t>
            </w:r>
          </w:p>
        </w:tc>
        <w:tc>
          <w:tcPr>
            <w:tcW w:w="10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Dec 22 / Dec 21</w:t>
            </w:r>
          </w:p>
        </w:tc>
      </w:tr>
      <w:tr>
        <w:trPr>
          <w:trHeight w:val="143"/>
        </w:trPr>
        <w:tc>
          <w:tcPr>
            <w:tcW w:w="3800" w:type="dxa"/>
            <w:vAlign w:val="bottom"/>
            <w:tcBorders>
              <w:left w:val="single" w:sz="8" w:color="auto"/>
              <w:right w:val="single" w:sz="8" w:color="auto"/>
            </w:tcBorders>
          </w:tcPr>
          <w:p>
            <w:pPr>
              <w:ind w:left="60"/>
              <w:spacing w:after="0" w:line="144" w:lineRule="exact"/>
              <w:rPr>
                <w:sz w:val="20"/>
                <w:szCs w:val="20"/>
                <w:color w:val="auto"/>
              </w:rPr>
            </w:pPr>
            <w:r>
              <w:rPr>
                <w:rFonts w:ascii="Arial" w:cs="Arial" w:eastAsia="Arial" w:hAnsi="Arial"/>
                <w:sz w:val="13"/>
                <w:szCs w:val="13"/>
                <w:color w:val="auto"/>
              </w:rPr>
              <w:t>Income from commissions</w:t>
            </w:r>
          </w:p>
        </w:tc>
        <w:tc>
          <w:tcPr>
            <w:tcW w:w="1100" w:type="dxa"/>
            <w:vAlign w:val="bottom"/>
          </w:tcPr>
          <w:p>
            <w:pPr>
              <w:jc w:val="right"/>
              <w:ind w:right="113"/>
              <w:spacing w:after="0" w:line="144" w:lineRule="exact"/>
              <w:rPr>
                <w:sz w:val="20"/>
                <w:szCs w:val="20"/>
                <w:color w:val="auto"/>
              </w:rPr>
            </w:pPr>
            <w:r>
              <w:rPr>
                <w:rFonts w:ascii="Arial" w:cs="Arial" w:eastAsia="Arial" w:hAnsi="Arial"/>
                <w:sz w:val="13"/>
                <w:szCs w:val="13"/>
                <w:color w:val="auto"/>
              </w:rPr>
              <w:t>89,170</w:t>
            </w:r>
          </w:p>
        </w:tc>
        <w:tc>
          <w:tcPr>
            <w:tcW w:w="1080" w:type="dxa"/>
            <w:vAlign w:val="bottom"/>
          </w:tcPr>
          <w:p>
            <w:pPr>
              <w:jc w:val="right"/>
              <w:ind w:right="213"/>
              <w:spacing w:after="0" w:line="144" w:lineRule="exact"/>
              <w:rPr>
                <w:sz w:val="20"/>
                <w:szCs w:val="20"/>
                <w:color w:val="auto"/>
              </w:rPr>
            </w:pPr>
            <w:r>
              <w:rPr>
                <w:rFonts w:ascii="Arial" w:cs="Arial" w:eastAsia="Arial" w:hAnsi="Arial"/>
                <w:sz w:val="13"/>
                <w:szCs w:val="13"/>
                <w:color w:val="auto"/>
              </w:rPr>
              <w:t>93,922</w:t>
            </w:r>
          </w:p>
        </w:tc>
        <w:tc>
          <w:tcPr>
            <w:tcW w:w="780" w:type="dxa"/>
            <w:vAlign w:val="bottom"/>
            <w:tcBorders>
              <w:right w:val="single" w:sz="8" w:color="auto"/>
            </w:tcBorders>
          </w:tcPr>
          <w:p>
            <w:pPr>
              <w:jc w:val="right"/>
              <w:ind w:right="13"/>
              <w:spacing w:after="0" w:line="144" w:lineRule="exact"/>
              <w:rPr>
                <w:sz w:val="20"/>
                <w:szCs w:val="20"/>
                <w:color w:val="auto"/>
              </w:rPr>
            </w:pPr>
            <w:r>
              <w:rPr>
                <w:rFonts w:ascii="Arial" w:cs="Arial" w:eastAsia="Arial" w:hAnsi="Arial"/>
                <w:sz w:val="13"/>
                <w:szCs w:val="13"/>
                <w:color w:val="auto"/>
              </w:rPr>
              <w:t>87,868</w:t>
            </w:r>
          </w:p>
        </w:tc>
        <w:tc>
          <w:tcPr>
            <w:tcW w:w="760" w:type="dxa"/>
            <w:vAlign w:val="bottom"/>
          </w:tcPr>
          <w:p>
            <w:pPr>
              <w:jc w:val="center"/>
              <w:spacing w:after="0" w:line="144" w:lineRule="exact"/>
              <w:rPr>
                <w:sz w:val="20"/>
                <w:szCs w:val="20"/>
                <w:color w:val="auto"/>
              </w:rPr>
            </w:pPr>
            <w:r>
              <w:rPr>
                <w:rFonts w:ascii="Arial" w:cs="Arial" w:eastAsia="Arial" w:hAnsi="Arial"/>
                <w:sz w:val="13"/>
                <w:szCs w:val="13"/>
                <w:color w:val="auto"/>
                <w:w w:val="99"/>
              </w:rPr>
              <w:t>-6.4%</w:t>
            </w:r>
          </w:p>
        </w:tc>
        <w:tc>
          <w:tcPr>
            <w:tcW w:w="7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-1.5%</w:t>
            </w:r>
          </w:p>
        </w:tc>
        <w:tc>
          <w:tcPr>
            <w:tcW w:w="1260" w:type="dxa"/>
            <w:vAlign w:val="bottom"/>
          </w:tcPr>
          <w:p>
            <w:pPr>
              <w:jc w:val="right"/>
              <w:ind w:right="253"/>
              <w:spacing w:after="0" w:line="144" w:lineRule="exact"/>
              <w:rPr>
                <w:sz w:val="20"/>
                <w:szCs w:val="20"/>
                <w:color w:val="auto"/>
              </w:rPr>
            </w:pPr>
            <w:r>
              <w:rPr>
                <w:rFonts w:ascii="Arial" w:cs="Arial" w:eastAsia="Arial" w:hAnsi="Arial"/>
                <w:sz w:val="13"/>
                <w:szCs w:val="13"/>
                <w:color w:val="auto"/>
              </w:rPr>
              <w:t>378,722</w:t>
            </w:r>
          </w:p>
        </w:tc>
        <w:tc>
          <w:tcPr>
            <w:tcW w:w="740" w:type="dxa"/>
            <w:vAlign w:val="bottom"/>
            <w:tcBorders>
              <w:right w:val="single" w:sz="8" w:color="auto"/>
            </w:tcBorders>
          </w:tcPr>
          <w:p>
            <w:pPr>
              <w:jc w:val="right"/>
              <w:ind w:right="13"/>
              <w:spacing w:after="0" w:line="144" w:lineRule="exact"/>
              <w:rPr>
                <w:sz w:val="20"/>
                <w:szCs w:val="20"/>
                <w:color w:val="auto"/>
              </w:rPr>
            </w:pPr>
            <w:r>
              <w:rPr>
                <w:rFonts w:ascii="Arial" w:cs="Arial" w:eastAsia="Arial" w:hAnsi="Arial"/>
                <w:sz w:val="13"/>
                <w:szCs w:val="13"/>
                <w:color w:val="auto"/>
              </w:rPr>
              <w:t>373,731</w:t>
            </w: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-1.3%</w:t>
            </w:r>
          </w:p>
        </w:tc>
      </w:tr>
      <w:tr>
        <w:trPr>
          <w:trHeight w:val="151"/>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Administrative and sale expenses</w:t>
            </w:r>
          </w:p>
        </w:tc>
        <w:tc>
          <w:tcPr>
            <w:tcW w:w="1100" w:type="dxa"/>
            <w:vAlign w:val="bottom"/>
          </w:tcPr>
          <w:p>
            <w:pPr>
              <w:jc w:val="right"/>
              <w:ind w:right="53"/>
              <w:spacing w:after="0"/>
              <w:rPr>
                <w:sz w:val="20"/>
                <w:szCs w:val="20"/>
                <w:color w:val="auto"/>
              </w:rPr>
            </w:pPr>
            <w:r>
              <w:rPr>
                <w:rFonts w:ascii="Arial" w:cs="Arial" w:eastAsia="Arial" w:hAnsi="Arial"/>
                <w:sz w:val="13"/>
                <w:szCs w:val="13"/>
                <w:color w:val="auto"/>
              </w:rPr>
              <w:t>(45,101)</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(40,561)</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(34,262)</w:t>
            </w:r>
          </w:p>
        </w:tc>
        <w:tc>
          <w:tcPr>
            <w:tcW w:w="760" w:type="dxa"/>
            <w:vAlign w:val="bottom"/>
          </w:tcPr>
          <w:p>
            <w:pPr>
              <w:jc w:val="center"/>
              <w:spacing w:after="0"/>
              <w:rPr>
                <w:sz w:val="20"/>
                <w:szCs w:val="20"/>
                <w:color w:val="auto"/>
              </w:rPr>
            </w:pPr>
            <w:r>
              <w:rPr>
                <w:rFonts w:ascii="Arial" w:cs="Arial" w:eastAsia="Arial" w:hAnsi="Arial"/>
                <w:sz w:val="13"/>
                <w:szCs w:val="13"/>
                <w:color w:val="auto"/>
              </w:rPr>
              <w:t>-15.5%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-24.0%</w:t>
            </w:r>
          </w:p>
        </w:tc>
        <w:tc>
          <w:tcPr>
            <w:tcW w:w="1260" w:type="dxa"/>
            <w:vAlign w:val="bottom"/>
          </w:tcPr>
          <w:p>
            <w:pPr>
              <w:jc w:val="right"/>
              <w:ind w:right="213"/>
              <w:spacing w:after="0"/>
              <w:rPr>
                <w:sz w:val="20"/>
                <w:szCs w:val="20"/>
                <w:color w:val="auto"/>
              </w:rPr>
            </w:pPr>
            <w:r>
              <w:rPr>
                <w:rFonts w:ascii="Arial" w:cs="Arial" w:eastAsia="Arial" w:hAnsi="Arial"/>
                <w:sz w:val="13"/>
                <w:szCs w:val="13"/>
                <w:color w:val="auto"/>
              </w:rPr>
              <w:t>(164,396)</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(164,409)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0.0%</w:t>
            </w:r>
          </w:p>
        </w:tc>
      </w:tr>
      <w:tr>
        <w:trPr>
          <w:trHeight w:val="149"/>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Depreciation and amortization</w:t>
            </w:r>
          </w:p>
        </w:tc>
        <w:tc>
          <w:tcPr>
            <w:tcW w:w="1100" w:type="dxa"/>
            <w:vAlign w:val="bottom"/>
          </w:tcPr>
          <w:p>
            <w:pPr>
              <w:jc w:val="right"/>
              <w:ind w:right="53"/>
              <w:spacing w:after="0"/>
              <w:rPr>
                <w:sz w:val="20"/>
                <w:szCs w:val="20"/>
                <w:color w:val="auto"/>
              </w:rPr>
            </w:pPr>
            <w:r>
              <w:rPr>
                <w:rFonts w:ascii="Arial" w:cs="Arial" w:eastAsia="Arial" w:hAnsi="Arial"/>
                <w:sz w:val="13"/>
                <w:szCs w:val="13"/>
                <w:color w:val="auto"/>
              </w:rPr>
              <w:t>(6,144)</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(6,449)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(5,603)</w:t>
            </w:r>
          </w:p>
        </w:tc>
        <w:tc>
          <w:tcPr>
            <w:tcW w:w="760" w:type="dxa"/>
            <w:vAlign w:val="bottom"/>
          </w:tcPr>
          <w:p>
            <w:pPr>
              <w:jc w:val="center"/>
              <w:spacing w:after="0"/>
              <w:rPr>
                <w:sz w:val="20"/>
                <w:szCs w:val="20"/>
                <w:color w:val="auto"/>
              </w:rPr>
            </w:pPr>
            <w:r>
              <w:rPr>
                <w:rFonts w:ascii="Arial" w:cs="Arial" w:eastAsia="Arial" w:hAnsi="Arial"/>
                <w:sz w:val="13"/>
                <w:szCs w:val="13"/>
                <w:color w:val="auto"/>
              </w:rPr>
              <w:t>-13.1%</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-8.8%</w:t>
            </w:r>
          </w:p>
        </w:tc>
        <w:tc>
          <w:tcPr>
            <w:tcW w:w="1260" w:type="dxa"/>
            <w:vAlign w:val="bottom"/>
          </w:tcPr>
          <w:p>
            <w:pPr>
              <w:jc w:val="right"/>
              <w:ind w:right="213"/>
              <w:spacing w:after="0"/>
              <w:rPr>
                <w:sz w:val="20"/>
                <w:szCs w:val="20"/>
                <w:color w:val="auto"/>
              </w:rPr>
            </w:pPr>
            <w:r>
              <w:rPr>
                <w:rFonts w:ascii="Arial" w:cs="Arial" w:eastAsia="Arial" w:hAnsi="Arial"/>
                <w:sz w:val="13"/>
                <w:szCs w:val="13"/>
                <w:color w:val="auto"/>
              </w:rPr>
              <w:t>(23,454)</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(24,513)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4.5%</w:t>
            </w:r>
          </w:p>
        </w:tc>
      </w:tr>
      <w:tr>
        <w:trPr>
          <w:trHeight w:val="153"/>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Operating income</w:t>
            </w: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37,926</w:t>
            </w:r>
          </w:p>
        </w:tc>
        <w:tc>
          <w:tcPr>
            <w:tcW w:w="1080" w:type="dxa"/>
            <w:vAlign w:val="bottom"/>
          </w:tcPr>
          <w:p>
            <w:pPr>
              <w:jc w:val="right"/>
              <w:ind w:right="213"/>
              <w:spacing w:after="0"/>
              <w:rPr>
                <w:sz w:val="20"/>
                <w:szCs w:val="20"/>
                <w:color w:val="auto"/>
              </w:rPr>
            </w:pPr>
            <w:r>
              <w:rPr>
                <w:rFonts w:ascii="Arial" w:cs="Arial" w:eastAsia="Arial" w:hAnsi="Arial"/>
                <w:sz w:val="13"/>
                <w:szCs w:val="13"/>
                <w:b w:val="1"/>
                <w:bCs w:val="1"/>
                <w:color w:val="auto"/>
              </w:rPr>
              <w:t>46,913</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48,003</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2.3%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26.6%</w:t>
            </w:r>
          </w:p>
        </w:tc>
        <w:tc>
          <w:tcPr>
            <w:tcW w:w="1260" w:type="dxa"/>
            <w:vAlign w:val="bottom"/>
          </w:tcPr>
          <w:p>
            <w:pPr>
              <w:jc w:val="right"/>
              <w:ind w:right="253"/>
              <w:spacing w:after="0"/>
              <w:rPr>
                <w:sz w:val="20"/>
                <w:szCs w:val="20"/>
                <w:color w:val="auto"/>
              </w:rPr>
            </w:pPr>
            <w:r>
              <w:rPr>
                <w:rFonts w:ascii="Arial" w:cs="Arial" w:eastAsia="Arial" w:hAnsi="Arial"/>
                <w:sz w:val="13"/>
                <w:szCs w:val="13"/>
                <w:b w:val="1"/>
                <w:bCs w:val="1"/>
                <w:color w:val="auto"/>
              </w:rPr>
              <w:t>190,872</w:t>
            </w:r>
          </w:p>
        </w:tc>
        <w:tc>
          <w:tcPr>
            <w:tcW w:w="7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184,810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-3.2%</w:t>
            </w:r>
          </w:p>
        </w:tc>
      </w:tr>
      <w:tr>
        <w:trPr>
          <w:trHeight w:val="151"/>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Other income and expenses, net (profitability of lace)*</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8,750</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(1,469)</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4,402</w:t>
            </w:r>
          </w:p>
        </w:tc>
        <w:tc>
          <w:tcPr>
            <w:tcW w:w="760" w:type="dxa"/>
            <w:vAlign w:val="bottom"/>
          </w:tcPr>
          <w:p>
            <w:pPr>
              <w:jc w:val="center"/>
              <w:spacing w:after="0"/>
              <w:rPr>
                <w:sz w:val="20"/>
                <w:szCs w:val="20"/>
                <w:color w:val="auto"/>
              </w:rPr>
            </w:pPr>
            <w:r>
              <w:rPr>
                <w:rFonts w:ascii="Arial" w:cs="Arial" w:eastAsia="Arial" w:hAnsi="Arial"/>
                <w:sz w:val="13"/>
                <w:szCs w:val="13"/>
                <w:color w:val="auto"/>
              </w:rPr>
              <w:t>-399.6%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-49.7%</w:t>
            </w:r>
          </w:p>
        </w:tc>
        <w:tc>
          <w:tcPr>
            <w:tcW w:w="1260" w:type="dxa"/>
            <w:vAlign w:val="bottom"/>
          </w:tcPr>
          <w:p>
            <w:pPr>
              <w:jc w:val="right"/>
              <w:ind w:right="253"/>
              <w:spacing w:after="0"/>
              <w:rPr>
                <w:sz w:val="20"/>
                <w:szCs w:val="20"/>
                <w:color w:val="auto"/>
              </w:rPr>
            </w:pPr>
            <w:r>
              <w:rPr>
                <w:rFonts w:ascii="Arial" w:cs="Arial" w:eastAsia="Arial" w:hAnsi="Arial"/>
                <w:sz w:val="13"/>
                <w:szCs w:val="13"/>
                <w:color w:val="auto"/>
              </w:rPr>
              <w:t>11,401</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(18,853)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-265.4%</w:t>
            </w:r>
          </w:p>
        </w:tc>
      </w:tr>
      <w:tr>
        <w:trPr>
          <w:trHeight w:val="149"/>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Income tax</w:t>
            </w:r>
          </w:p>
        </w:tc>
        <w:tc>
          <w:tcPr>
            <w:tcW w:w="1100" w:type="dxa"/>
            <w:vAlign w:val="bottom"/>
          </w:tcPr>
          <w:p>
            <w:pPr>
              <w:jc w:val="right"/>
              <w:ind w:right="53"/>
              <w:spacing w:after="0"/>
              <w:rPr>
                <w:sz w:val="20"/>
                <w:szCs w:val="20"/>
                <w:color w:val="auto"/>
              </w:rPr>
            </w:pPr>
            <w:r>
              <w:rPr>
                <w:rFonts w:ascii="Arial" w:cs="Arial" w:eastAsia="Arial" w:hAnsi="Arial"/>
                <w:sz w:val="13"/>
                <w:szCs w:val="13"/>
                <w:color w:val="auto"/>
              </w:rPr>
              <w:t>(10,400)</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(14,762)</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(12,302)</w:t>
            </w:r>
          </w:p>
        </w:tc>
        <w:tc>
          <w:tcPr>
            <w:tcW w:w="760" w:type="dxa"/>
            <w:vAlign w:val="bottom"/>
          </w:tcPr>
          <w:p>
            <w:pPr>
              <w:jc w:val="center"/>
              <w:spacing w:after="0"/>
              <w:rPr>
                <w:sz w:val="20"/>
                <w:szCs w:val="20"/>
                <w:color w:val="auto"/>
              </w:rPr>
            </w:pPr>
            <w:r>
              <w:rPr>
                <w:rFonts w:ascii="Arial" w:cs="Arial" w:eastAsia="Arial" w:hAnsi="Arial"/>
                <w:sz w:val="13"/>
                <w:szCs w:val="13"/>
                <w:color w:val="auto"/>
              </w:rPr>
              <w:t>-16.7%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18.3%</w:t>
            </w:r>
          </w:p>
        </w:tc>
        <w:tc>
          <w:tcPr>
            <w:tcW w:w="1260" w:type="dxa"/>
            <w:vAlign w:val="bottom"/>
          </w:tcPr>
          <w:p>
            <w:pPr>
              <w:jc w:val="right"/>
              <w:ind w:right="213"/>
              <w:spacing w:after="0"/>
              <w:rPr>
                <w:sz w:val="20"/>
                <w:szCs w:val="20"/>
                <w:color w:val="auto"/>
              </w:rPr>
            </w:pPr>
            <w:r>
              <w:rPr>
                <w:rFonts w:ascii="Arial" w:cs="Arial" w:eastAsia="Arial" w:hAnsi="Arial"/>
                <w:sz w:val="13"/>
                <w:szCs w:val="13"/>
                <w:color w:val="auto"/>
              </w:rPr>
              <w:t>(56,353)</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(55,759)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-1.1%</w:t>
            </w:r>
          </w:p>
        </w:tc>
      </w:tr>
      <w:tr>
        <w:trPr>
          <w:trHeight w:val="153"/>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Net income before translation results</w:t>
            </w:r>
          </w:p>
        </w:tc>
        <w:tc>
          <w:tcPr>
            <w:tcW w:w="1100" w:type="dxa"/>
            <w:vAlign w:val="bottom"/>
          </w:tcPr>
          <w:p>
            <w:pPr>
              <w:jc w:val="right"/>
              <w:ind w:right="113"/>
              <w:spacing w:after="0"/>
              <w:rPr>
                <w:sz w:val="20"/>
                <w:szCs w:val="20"/>
                <w:color w:val="auto"/>
              </w:rPr>
            </w:pPr>
            <w:r>
              <w:rPr>
                <w:rFonts w:ascii="Arial" w:cs="Arial" w:eastAsia="Arial" w:hAnsi="Arial"/>
                <w:sz w:val="13"/>
                <w:szCs w:val="13"/>
                <w:b w:val="1"/>
                <w:bCs w:val="1"/>
                <w:color w:val="auto"/>
              </w:rPr>
              <w:t>36,275</w:t>
            </w:r>
          </w:p>
        </w:tc>
        <w:tc>
          <w:tcPr>
            <w:tcW w:w="1080" w:type="dxa"/>
            <w:vAlign w:val="bottom"/>
          </w:tcPr>
          <w:p>
            <w:pPr>
              <w:jc w:val="right"/>
              <w:ind w:right="213"/>
              <w:spacing w:after="0"/>
              <w:rPr>
                <w:sz w:val="20"/>
                <w:szCs w:val="20"/>
                <w:color w:val="auto"/>
              </w:rPr>
            </w:pPr>
            <w:r>
              <w:rPr>
                <w:rFonts w:ascii="Arial" w:cs="Arial" w:eastAsia="Arial" w:hAnsi="Arial"/>
                <w:sz w:val="13"/>
                <w:szCs w:val="13"/>
                <w:b w:val="1"/>
                <w:bCs w:val="1"/>
                <w:color w:val="auto"/>
              </w:rPr>
              <w:t>30,681</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40,103</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30.7%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10.6%</w:t>
            </w:r>
          </w:p>
        </w:tc>
        <w:tc>
          <w:tcPr>
            <w:tcW w:w="1260" w:type="dxa"/>
            <w:vAlign w:val="bottom"/>
          </w:tcPr>
          <w:p>
            <w:pPr>
              <w:jc w:val="right"/>
              <w:ind w:right="253"/>
              <w:spacing w:after="0"/>
              <w:rPr>
                <w:sz w:val="20"/>
                <w:szCs w:val="20"/>
                <w:color w:val="auto"/>
              </w:rPr>
            </w:pPr>
            <w:r>
              <w:rPr>
                <w:rFonts w:ascii="Arial" w:cs="Arial" w:eastAsia="Arial" w:hAnsi="Arial"/>
                <w:sz w:val="13"/>
                <w:szCs w:val="13"/>
                <w:b w:val="1"/>
                <w:bCs w:val="1"/>
                <w:color w:val="auto"/>
              </w:rPr>
              <w:t>145,921</w:t>
            </w:r>
          </w:p>
        </w:tc>
        <w:tc>
          <w:tcPr>
            <w:tcW w:w="7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110,197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-24.5%</w:t>
            </w:r>
          </w:p>
        </w:tc>
      </w:tr>
      <w:tr>
        <w:trPr>
          <w:trHeight w:val="149"/>
        </w:trPr>
        <w:tc>
          <w:tcPr>
            <w:tcW w:w="38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Translations results</w:t>
            </w:r>
          </w:p>
        </w:tc>
        <w:tc>
          <w:tcPr>
            <w:tcW w:w="1100" w:type="dxa"/>
            <w:vAlign w:val="bottom"/>
          </w:tcPr>
          <w:p>
            <w:pPr>
              <w:jc w:val="right"/>
              <w:ind w:right="53"/>
              <w:spacing w:after="0"/>
              <w:rPr>
                <w:sz w:val="20"/>
                <w:szCs w:val="20"/>
                <w:color w:val="auto"/>
              </w:rPr>
            </w:pPr>
            <w:r>
              <w:rPr>
                <w:rFonts w:ascii="Arial" w:cs="Arial" w:eastAsia="Arial" w:hAnsi="Arial"/>
                <w:sz w:val="13"/>
                <w:szCs w:val="13"/>
                <w:color w:val="auto"/>
              </w:rPr>
              <w:t>(812)</w:t>
            </w:r>
          </w:p>
        </w:tc>
        <w:tc>
          <w:tcPr>
            <w:tcW w:w="1080" w:type="dxa"/>
            <w:vAlign w:val="bottom"/>
          </w:tcPr>
          <w:p>
            <w:pPr>
              <w:jc w:val="right"/>
              <w:ind w:right="213"/>
              <w:spacing w:after="0"/>
              <w:rPr>
                <w:sz w:val="20"/>
                <w:szCs w:val="20"/>
                <w:color w:val="auto"/>
              </w:rPr>
            </w:pPr>
            <w:r>
              <w:rPr>
                <w:rFonts w:ascii="Arial" w:cs="Arial" w:eastAsia="Arial" w:hAnsi="Arial"/>
                <w:sz w:val="13"/>
                <w:szCs w:val="13"/>
                <w:color w:val="auto"/>
              </w:rPr>
              <w:t>49</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151</w:t>
            </w:r>
          </w:p>
        </w:tc>
        <w:tc>
          <w:tcPr>
            <w:tcW w:w="760" w:type="dxa"/>
            <w:vAlign w:val="bottom"/>
          </w:tcPr>
          <w:p>
            <w:pPr>
              <w:jc w:val="center"/>
              <w:spacing w:after="0"/>
              <w:rPr>
                <w:sz w:val="20"/>
                <w:szCs w:val="20"/>
                <w:color w:val="auto"/>
              </w:rPr>
            </w:pPr>
            <w:r>
              <w:rPr>
                <w:rFonts w:ascii="Arial" w:cs="Arial" w:eastAsia="Arial" w:hAnsi="Arial"/>
                <w:sz w:val="13"/>
                <w:szCs w:val="13"/>
                <w:color w:val="auto"/>
              </w:rPr>
              <w:t>206.8%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-118.6%</w:t>
            </w:r>
          </w:p>
        </w:tc>
        <w:tc>
          <w:tcPr>
            <w:tcW w:w="1260" w:type="dxa"/>
            <w:vAlign w:val="bottom"/>
          </w:tcPr>
          <w:p>
            <w:pPr>
              <w:jc w:val="right"/>
              <w:ind w:right="253"/>
              <w:spacing w:after="0"/>
              <w:rPr>
                <w:sz w:val="20"/>
                <w:szCs w:val="20"/>
                <w:color w:val="auto"/>
              </w:rPr>
            </w:pPr>
            <w:r>
              <w:rPr>
                <w:rFonts w:ascii="Arial" w:cs="Arial" w:eastAsia="Arial" w:hAnsi="Arial"/>
                <w:sz w:val="13"/>
                <w:szCs w:val="13"/>
                <w:color w:val="auto"/>
              </w:rPr>
              <w:t>136</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(686)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-604.0%</w:t>
            </w:r>
          </w:p>
        </w:tc>
      </w:tr>
      <w:tr>
        <w:trPr>
          <w:trHeight w:val="166"/>
        </w:trPr>
        <w:tc>
          <w:tcPr>
            <w:tcW w:w="38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Net income</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35,463</w:t>
            </w: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30,730</w:t>
            </w:r>
          </w:p>
        </w:tc>
        <w:tc>
          <w:tcPr>
            <w:tcW w:w="7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40,254</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31.0%</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13.5%</w:t>
            </w: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146,057</w:t>
            </w:r>
          </w:p>
        </w:tc>
        <w:tc>
          <w:tcPr>
            <w:tcW w:w="7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109,511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-25.0%</w:t>
            </w:r>
          </w:p>
        </w:tc>
      </w:tr>
      <w:tr>
        <w:trPr>
          <w:trHeight w:val="156"/>
        </w:trPr>
        <w:tc>
          <w:tcPr>
            <w:tcW w:w="3800" w:type="dxa"/>
            <w:vAlign w:val="bottom"/>
            <w:tcBorders>
              <w:left w:val="single" w:sz="8" w:color="auto"/>
              <w:bottom w:val="single" w:sz="8" w:color="auto"/>
              <w:right w:val="single" w:sz="8" w:color="auto"/>
            </w:tcBorders>
          </w:tcPr>
          <w:p>
            <w:pPr>
              <w:ind w:left="60"/>
              <w:spacing w:after="0" w:line="151" w:lineRule="exact"/>
              <w:rPr>
                <w:sz w:val="20"/>
                <w:szCs w:val="20"/>
                <w:color w:val="auto"/>
              </w:rPr>
            </w:pPr>
            <w:r>
              <w:rPr>
                <w:rFonts w:ascii="Arial" w:cs="Arial" w:eastAsia="Arial" w:hAnsi="Arial"/>
                <w:sz w:val="11"/>
                <w:szCs w:val="11"/>
                <w:b w:val="1"/>
                <w:bCs w:val="1"/>
                <w:color w:val="auto"/>
              </w:rPr>
              <w:t xml:space="preserve">ROAE </w:t>
            </w:r>
            <w:r>
              <w:rPr>
                <w:rFonts w:ascii="Arial" w:cs="Arial" w:eastAsia="Arial" w:hAnsi="Arial"/>
                <w:sz w:val="17"/>
                <w:szCs w:val="17"/>
                <w:b w:val="1"/>
                <w:bCs w:val="1"/>
                <w:color w:val="auto"/>
                <w:vertAlign w:val="superscript"/>
              </w:rPr>
              <w:t>(1)</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25.5%</w:t>
            </w: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27.9%</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33.8%</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591 pbs</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830 pbs</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22.9%</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20.4%</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-248 pbs</w:t>
            </w:r>
          </w:p>
        </w:tc>
      </w:tr>
    </w:tbl>
    <w:p>
      <w:pPr>
        <w:spacing w:after="0" w:line="108" w:lineRule="exact"/>
        <w:rPr>
          <w:sz w:val="20"/>
          <w:szCs w:val="20"/>
          <w:color w:val="auto"/>
        </w:rPr>
      </w:pPr>
    </w:p>
    <w:p>
      <w:pPr>
        <w:ind w:left="180" w:hanging="159"/>
        <w:spacing w:after="0"/>
        <w:tabs>
          <w:tab w:leader="none" w:pos="1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net profitability of lace and mutual funds is being presented net of taxes, for which the retroactive change was made (it was presented gross before)</w:t>
      </w:r>
    </w:p>
    <w:p>
      <w:pPr>
        <w:ind w:left="20"/>
        <w:spacing w:after="0"/>
        <w:rPr>
          <w:rFonts w:ascii="Arial" w:cs="Arial" w:eastAsia="Arial" w:hAnsi="Arial"/>
          <w:sz w:val="12"/>
          <w:szCs w:val="12"/>
          <w:color w:val="auto"/>
        </w:rPr>
      </w:pPr>
      <w:r>
        <w:rPr>
          <w:rFonts w:ascii="Arial" w:cs="Arial" w:eastAsia="Arial" w:hAnsi="Arial"/>
          <w:sz w:val="12"/>
          <w:szCs w:val="12"/>
          <w:color w:val="auto"/>
        </w:rPr>
        <w:t>(1) Net shareholders' equity includes unrealized gains from Prima's investment portfolio.</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Funds under management</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280" w:type="dxa"/>
            <w:vAlign w:val="bottom"/>
            <w:tcBorders>
              <w:top w:val="single" w:sz="8" w:color="auto"/>
              <w:left w:val="single" w:sz="8" w:color="auto"/>
              <w:bottom w:val="single" w:sz="8" w:color="auto"/>
              <w:right w:val="single" w:sz="8" w:color="2AD2C9"/>
            </w:tcBorders>
            <w:shd w:val="clear" w:color="auto" w:fill="2AD2C9"/>
          </w:tcPr>
          <w:p>
            <w:pPr>
              <w:ind w:left="60"/>
              <w:spacing w:after="0"/>
              <w:rPr>
                <w:sz w:val="20"/>
                <w:szCs w:val="20"/>
                <w:color w:val="auto"/>
              </w:rPr>
            </w:pPr>
            <w:r>
              <w:rPr>
                <w:rFonts w:ascii="Arial" w:cs="Arial" w:eastAsia="Arial" w:hAnsi="Arial"/>
                <w:sz w:val="17"/>
                <w:szCs w:val="17"/>
                <w:b w:val="1"/>
                <w:bCs w:val="1"/>
                <w:color w:val="FFFFFF"/>
              </w:rPr>
              <w:t>Funds under management</w:t>
            </w:r>
          </w:p>
        </w:tc>
        <w:tc>
          <w:tcPr>
            <w:tcW w:w="920" w:type="dxa"/>
            <w:vAlign w:val="bottom"/>
            <w:tcBorders>
              <w:top w:val="single" w:sz="8" w:color="auto"/>
              <w:bottom w:val="single" w:sz="8" w:color="auto"/>
              <w:right w:val="single" w:sz="8" w:color="auto"/>
            </w:tcBorders>
            <w:shd w:val="clear" w:color="auto" w:fill="2AD2C9"/>
          </w:tcPr>
          <w:p>
            <w:pPr>
              <w:spacing w:after="0"/>
              <w:rPr>
                <w:sz w:val="19"/>
                <w:szCs w:val="19"/>
                <w:color w:val="auto"/>
              </w:rPr>
            </w:pPr>
          </w:p>
        </w:tc>
        <w:tc>
          <w:tcPr>
            <w:tcW w:w="880" w:type="dxa"/>
            <w:vAlign w:val="bottom"/>
            <w:tcBorders>
              <w:top w:val="single" w:sz="8" w:color="auto"/>
              <w:bottom w:val="single" w:sz="8" w:color="auto"/>
            </w:tcBorders>
            <w:gridSpan w:val="2"/>
            <w:shd w:val="clear" w:color="auto" w:fill="2AD2C9"/>
          </w:tcPr>
          <w:p>
            <w:pPr>
              <w:ind w:left="300"/>
              <w:spacing w:after="0"/>
              <w:rPr>
                <w:sz w:val="20"/>
                <w:szCs w:val="20"/>
                <w:color w:val="auto"/>
              </w:rPr>
            </w:pPr>
            <w:r>
              <w:rPr>
                <w:rFonts w:ascii="Arial" w:cs="Arial" w:eastAsia="Arial" w:hAnsi="Arial"/>
                <w:sz w:val="17"/>
                <w:szCs w:val="17"/>
                <w:b w:val="1"/>
                <w:bCs w:val="1"/>
                <w:color w:val="FFFFFF"/>
              </w:rPr>
              <w:t>Sep 22</w:t>
            </w:r>
          </w:p>
        </w:tc>
        <w:tc>
          <w:tcPr>
            <w:tcW w:w="1560" w:type="dxa"/>
            <w:vAlign w:val="bottom"/>
            <w:tcBorders>
              <w:top w:val="single" w:sz="8" w:color="auto"/>
              <w:bottom w:val="single" w:sz="8" w:color="auto"/>
              <w:right w:val="single" w:sz="8" w:color="auto"/>
            </w:tcBorders>
            <w:shd w:val="clear" w:color="auto" w:fill="2AD2C9"/>
          </w:tcPr>
          <w:p>
            <w:pPr>
              <w:ind w:left="540"/>
              <w:spacing w:after="0"/>
              <w:rPr>
                <w:sz w:val="20"/>
                <w:szCs w:val="20"/>
                <w:color w:val="auto"/>
              </w:rPr>
            </w:pPr>
            <w:r>
              <w:rPr>
                <w:rFonts w:ascii="Arial" w:cs="Arial" w:eastAsia="Arial" w:hAnsi="Arial"/>
                <w:sz w:val="17"/>
                <w:szCs w:val="17"/>
                <w:b w:val="1"/>
                <w:bCs w:val="1"/>
                <w:color w:val="FFFFFF"/>
              </w:rPr>
              <w:t>% share</w:t>
            </w:r>
          </w:p>
        </w:tc>
        <w:tc>
          <w:tcPr>
            <w:tcW w:w="1040" w:type="dxa"/>
            <w:vAlign w:val="bottom"/>
            <w:tcBorders>
              <w:top w:val="single" w:sz="8" w:color="auto"/>
              <w:bottom w:val="single" w:sz="8" w:color="auto"/>
            </w:tcBorders>
            <w:shd w:val="clear" w:color="auto" w:fill="2AD2C9"/>
          </w:tcPr>
          <w:p>
            <w:pPr>
              <w:ind w:left="220"/>
              <w:spacing w:after="0"/>
              <w:rPr>
                <w:sz w:val="20"/>
                <w:szCs w:val="20"/>
                <w:color w:val="auto"/>
              </w:rPr>
            </w:pPr>
            <w:r>
              <w:rPr>
                <w:rFonts w:ascii="Arial" w:cs="Arial" w:eastAsia="Arial" w:hAnsi="Arial"/>
                <w:sz w:val="17"/>
                <w:szCs w:val="17"/>
                <w:b w:val="1"/>
                <w:bCs w:val="1"/>
                <w:color w:val="FFFFFF"/>
              </w:rPr>
              <w:t>Dec 22</w:t>
            </w:r>
          </w:p>
        </w:tc>
        <w:tc>
          <w:tcPr>
            <w:tcW w:w="1220" w:type="dxa"/>
            <w:vAlign w:val="bottom"/>
            <w:tcBorders>
              <w:top w:val="single" w:sz="8" w:color="auto"/>
              <w:bottom w:val="single" w:sz="8" w:color="auto"/>
              <w:right w:val="single" w:sz="8" w:color="auto"/>
            </w:tcBorders>
            <w:shd w:val="clear" w:color="auto" w:fill="2AD2C9"/>
          </w:tcPr>
          <w:p>
            <w:pPr>
              <w:ind w:left="300"/>
              <w:spacing w:after="0"/>
              <w:rPr>
                <w:sz w:val="20"/>
                <w:szCs w:val="20"/>
                <w:color w:val="auto"/>
              </w:rPr>
            </w:pPr>
            <w:r>
              <w:rPr>
                <w:rFonts w:ascii="Arial" w:cs="Arial" w:eastAsia="Arial" w:hAnsi="Arial"/>
                <w:sz w:val="17"/>
                <w:szCs w:val="17"/>
                <w:b w:val="1"/>
                <w:bCs w:val="1"/>
                <w:color w:val="FFFFFF"/>
              </w:rPr>
              <w:t>% share</w:t>
            </w:r>
          </w:p>
        </w:tc>
      </w:tr>
      <w:tr>
        <w:trPr>
          <w:trHeight w:val="172"/>
        </w:trPr>
        <w:tc>
          <w:tcPr>
            <w:tcW w:w="2280" w:type="dxa"/>
            <w:vAlign w:val="bottom"/>
            <w:tcBorders>
              <w:left w:val="single" w:sz="8" w:color="auto"/>
            </w:tcBorders>
          </w:tcPr>
          <w:p>
            <w:pPr>
              <w:ind w:left="60"/>
              <w:spacing w:after="0" w:line="172" w:lineRule="exact"/>
              <w:rPr>
                <w:sz w:val="20"/>
                <w:szCs w:val="20"/>
                <w:color w:val="auto"/>
              </w:rPr>
            </w:pPr>
            <w:r>
              <w:rPr>
                <w:rFonts w:ascii="Arial" w:cs="Arial" w:eastAsia="Arial" w:hAnsi="Arial"/>
                <w:sz w:val="17"/>
                <w:szCs w:val="17"/>
                <w:color w:val="auto"/>
              </w:rPr>
              <w:t>Fund 0</w:t>
            </w:r>
          </w:p>
        </w:tc>
        <w:tc>
          <w:tcPr>
            <w:tcW w:w="920" w:type="dxa"/>
            <w:vAlign w:val="bottom"/>
            <w:tcBorders>
              <w:right w:val="single" w:sz="8" w:color="auto"/>
            </w:tcBorders>
          </w:tcPr>
          <w:p>
            <w:pPr>
              <w:spacing w:after="0"/>
              <w:rPr>
                <w:sz w:val="14"/>
                <w:szCs w:val="14"/>
                <w:color w:val="auto"/>
              </w:rPr>
            </w:pPr>
          </w:p>
        </w:tc>
        <w:tc>
          <w:tcPr>
            <w:tcW w:w="880" w:type="dxa"/>
            <w:vAlign w:val="bottom"/>
            <w:gridSpan w:val="2"/>
          </w:tcPr>
          <w:p>
            <w:pPr>
              <w:jc w:val="center"/>
              <w:ind w:left="176"/>
              <w:spacing w:after="0" w:line="172" w:lineRule="exact"/>
              <w:rPr>
                <w:sz w:val="20"/>
                <w:szCs w:val="20"/>
                <w:color w:val="auto"/>
              </w:rPr>
            </w:pPr>
            <w:r>
              <w:rPr>
                <w:rFonts w:ascii="Arial" w:cs="Arial" w:eastAsia="Arial" w:hAnsi="Arial"/>
                <w:sz w:val="17"/>
                <w:szCs w:val="17"/>
                <w:color w:val="auto"/>
                <w:w w:val="98"/>
              </w:rPr>
              <w:t>1,321</w:t>
            </w:r>
          </w:p>
        </w:tc>
        <w:tc>
          <w:tcPr>
            <w:tcW w:w="1560" w:type="dxa"/>
            <w:vAlign w:val="bottom"/>
            <w:tcBorders>
              <w:right w:val="single" w:sz="8" w:color="auto"/>
            </w:tcBorders>
          </w:tcPr>
          <w:p>
            <w:pPr>
              <w:jc w:val="center"/>
              <w:ind w:left="98"/>
              <w:spacing w:after="0" w:line="172" w:lineRule="exact"/>
              <w:rPr>
                <w:sz w:val="20"/>
                <w:szCs w:val="20"/>
                <w:color w:val="auto"/>
              </w:rPr>
            </w:pPr>
            <w:r>
              <w:rPr>
                <w:rFonts w:ascii="Arial" w:cs="Arial" w:eastAsia="Arial" w:hAnsi="Arial"/>
                <w:sz w:val="17"/>
                <w:szCs w:val="17"/>
                <w:color w:val="auto"/>
                <w:w w:val="97"/>
              </w:rPr>
              <w:t>4.3%</w:t>
            </w:r>
          </w:p>
        </w:tc>
        <w:tc>
          <w:tcPr>
            <w:tcW w:w="1040" w:type="dxa"/>
            <w:vAlign w:val="bottom"/>
          </w:tcPr>
          <w:p>
            <w:pPr>
              <w:jc w:val="center"/>
              <w:spacing w:after="0" w:line="172" w:lineRule="exact"/>
              <w:rPr>
                <w:sz w:val="20"/>
                <w:szCs w:val="20"/>
                <w:color w:val="auto"/>
              </w:rPr>
            </w:pPr>
            <w:r>
              <w:rPr>
                <w:rFonts w:ascii="Arial" w:cs="Arial" w:eastAsia="Arial" w:hAnsi="Arial"/>
                <w:sz w:val="17"/>
                <w:szCs w:val="17"/>
                <w:color w:val="auto"/>
                <w:w w:val="98"/>
              </w:rPr>
              <w:t>1,350</w:t>
            </w:r>
          </w:p>
        </w:tc>
        <w:tc>
          <w:tcPr>
            <w:tcW w:w="122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7"/>
                <w:szCs w:val="17"/>
                <w:color w:val="auto"/>
                <w:w w:val="97"/>
              </w:rPr>
              <w:t>4.2%</w:t>
            </w:r>
          </w:p>
        </w:tc>
      </w:tr>
      <w:tr>
        <w:trPr>
          <w:trHeight w:val="189"/>
        </w:trPr>
        <w:tc>
          <w:tcPr>
            <w:tcW w:w="2280" w:type="dxa"/>
            <w:vAlign w:val="bottom"/>
            <w:tcBorders>
              <w:left w:val="single" w:sz="8" w:color="auto"/>
            </w:tcBorders>
          </w:tcPr>
          <w:p>
            <w:pPr>
              <w:ind w:left="60"/>
              <w:spacing w:after="0" w:line="189" w:lineRule="exact"/>
              <w:rPr>
                <w:sz w:val="20"/>
                <w:szCs w:val="20"/>
                <w:color w:val="auto"/>
              </w:rPr>
            </w:pPr>
            <w:r>
              <w:rPr>
                <w:rFonts w:ascii="Arial" w:cs="Arial" w:eastAsia="Arial" w:hAnsi="Arial"/>
                <w:sz w:val="17"/>
                <w:szCs w:val="17"/>
                <w:color w:val="auto"/>
              </w:rPr>
              <w:t>Fund 1</w:t>
            </w:r>
          </w:p>
        </w:tc>
        <w:tc>
          <w:tcPr>
            <w:tcW w:w="920" w:type="dxa"/>
            <w:vAlign w:val="bottom"/>
            <w:tcBorders>
              <w:right w:val="single" w:sz="8" w:color="auto"/>
            </w:tcBorders>
          </w:tcPr>
          <w:p>
            <w:pPr>
              <w:spacing w:after="0"/>
              <w:rPr>
                <w:sz w:val="16"/>
                <w:szCs w:val="16"/>
                <w:color w:val="auto"/>
              </w:rPr>
            </w:pPr>
          </w:p>
        </w:tc>
        <w:tc>
          <w:tcPr>
            <w:tcW w:w="880" w:type="dxa"/>
            <w:vAlign w:val="bottom"/>
            <w:gridSpan w:val="2"/>
          </w:tcPr>
          <w:p>
            <w:pPr>
              <w:jc w:val="center"/>
              <w:ind w:left="176"/>
              <w:spacing w:after="0" w:line="189" w:lineRule="exact"/>
              <w:rPr>
                <w:sz w:val="20"/>
                <w:szCs w:val="20"/>
                <w:color w:val="auto"/>
              </w:rPr>
            </w:pPr>
            <w:r>
              <w:rPr>
                <w:rFonts w:ascii="Arial" w:cs="Arial" w:eastAsia="Arial" w:hAnsi="Arial"/>
                <w:sz w:val="17"/>
                <w:szCs w:val="17"/>
                <w:color w:val="auto"/>
                <w:w w:val="98"/>
              </w:rPr>
              <w:t>5,078</w:t>
            </w:r>
          </w:p>
        </w:tc>
        <w:tc>
          <w:tcPr>
            <w:tcW w:w="1560" w:type="dxa"/>
            <w:vAlign w:val="bottom"/>
            <w:tcBorders>
              <w:right w:val="single" w:sz="8" w:color="auto"/>
            </w:tcBorders>
          </w:tcPr>
          <w:p>
            <w:pPr>
              <w:jc w:val="center"/>
              <w:ind w:left="78"/>
              <w:spacing w:after="0" w:line="189" w:lineRule="exact"/>
              <w:rPr>
                <w:sz w:val="20"/>
                <w:szCs w:val="20"/>
                <w:color w:val="auto"/>
              </w:rPr>
            </w:pPr>
            <w:r>
              <w:rPr>
                <w:rFonts w:ascii="Arial" w:cs="Arial" w:eastAsia="Arial" w:hAnsi="Arial"/>
                <w:sz w:val="17"/>
                <w:szCs w:val="17"/>
                <w:color w:val="auto"/>
                <w:w w:val="99"/>
              </w:rPr>
              <w:t>16.5%</w:t>
            </w:r>
          </w:p>
        </w:tc>
        <w:tc>
          <w:tcPr>
            <w:tcW w:w="1040" w:type="dxa"/>
            <w:vAlign w:val="bottom"/>
          </w:tcPr>
          <w:p>
            <w:pPr>
              <w:jc w:val="center"/>
              <w:spacing w:after="0" w:line="189" w:lineRule="exact"/>
              <w:rPr>
                <w:sz w:val="20"/>
                <w:szCs w:val="20"/>
                <w:color w:val="auto"/>
              </w:rPr>
            </w:pPr>
            <w:r>
              <w:rPr>
                <w:rFonts w:ascii="Arial" w:cs="Arial" w:eastAsia="Arial" w:hAnsi="Arial"/>
                <w:sz w:val="17"/>
                <w:szCs w:val="17"/>
                <w:color w:val="auto"/>
                <w:w w:val="98"/>
              </w:rPr>
              <w:t>5,316</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5"/>
              </w:rPr>
              <w:t>16.7%</w:t>
            </w:r>
          </w:p>
        </w:tc>
      </w:tr>
      <w:tr>
        <w:trPr>
          <w:trHeight w:val="189"/>
        </w:trPr>
        <w:tc>
          <w:tcPr>
            <w:tcW w:w="2280" w:type="dxa"/>
            <w:vAlign w:val="bottom"/>
            <w:tcBorders>
              <w:left w:val="single" w:sz="8" w:color="auto"/>
            </w:tcBorders>
          </w:tcPr>
          <w:p>
            <w:pPr>
              <w:ind w:left="60"/>
              <w:spacing w:after="0" w:line="189" w:lineRule="exact"/>
              <w:rPr>
                <w:sz w:val="20"/>
                <w:szCs w:val="20"/>
                <w:color w:val="auto"/>
              </w:rPr>
            </w:pPr>
            <w:r>
              <w:rPr>
                <w:rFonts w:ascii="Arial" w:cs="Arial" w:eastAsia="Arial" w:hAnsi="Arial"/>
                <w:sz w:val="17"/>
                <w:szCs w:val="17"/>
                <w:color w:val="auto"/>
              </w:rPr>
              <w:t>Fund 2</w:t>
            </w:r>
          </w:p>
        </w:tc>
        <w:tc>
          <w:tcPr>
            <w:tcW w:w="920" w:type="dxa"/>
            <w:vAlign w:val="bottom"/>
            <w:tcBorders>
              <w:right w:val="single" w:sz="8" w:color="auto"/>
            </w:tcBorders>
          </w:tcPr>
          <w:p>
            <w:pPr>
              <w:spacing w:after="0"/>
              <w:rPr>
                <w:sz w:val="16"/>
                <w:szCs w:val="16"/>
                <w:color w:val="auto"/>
              </w:rPr>
            </w:pPr>
          </w:p>
        </w:tc>
        <w:tc>
          <w:tcPr>
            <w:tcW w:w="880" w:type="dxa"/>
            <w:vAlign w:val="bottom"/>
            <w:gridSpan w:val="2"/>
          </w:tcPr>
          <w:p>
            <w:pPr>
              <w:jc w:val="center"/>
              <w:ind w:left="196"/>
              <w:spacing w:after="0" w:line="189" w:lineRule="exact"/>
              <w:rPr>
                <w:sz w:val="20"/>
                <w:szCs w:val="20"/>
                <w:color w:val="auto"/>
              </w:rPr>
            </w:pPr>
            <w:r>
              <w:rPr>
                <w:rFonts w:ascii="Arial" w:cs="Arial" w:eastAsia="Arial" w:hAnsi="Arial"/>
                <w:sz w:val="17"/>
                <w:szCs w:val="17"/>
                <w:color w:val="auto"/>
                <w:w w:val="99"/>
              </w:rPr>
              <w:t>20,517</w:t>
            </w:r>
          </w:p>
        </w:tc>
        <w:tc>
          <w:tcPr>
            <w:tcW w:w="1560" w:type="dxa"/>
            <w:vAlign w:val="bottom"/>
            <w:tcBorders>
              <w:right w:val="single" w:sz="8" w:color="auto"/>
            </w:tcBorders>
          </w:tcPr>
          <w:p>
            <w:pPr>
              <w:jc w:val="center"/>
              <w:ind w:left="78"/>
              <w:spacing w:after="0" w:line="189" w:lineRule="exact"/>
              <w:rPr>
                <w:sz w:val="20"/>
                <w:szCs w:val="20"/>
                <w:color w:val="auto"/>
              </w:rPr>
            </w:pPr>
            <w:r>
              <w:rPr>
                <w:rFonts w:ascii="Arial" w:cs="Arial" w:eastAsia="Arial" w:hAnsi="Arial"/>
                <w:sz w:val="17"/>
                <w:szCs w:val="17"/>
                <w:color w:val="auto"/>
                <w:w w:val="99"/>
              </w:rPr>
              <w:t>66.7%</w:t>
            </w:r>
          </w:p>
        </w:tc>
        <w:tc>
          <w:tcPr>
            <w:tcW w:w="1040" w:type="dxa"/>
            <w:vAlign w:val="bottom"/>
          </w:tcPr>
          <w:p>
            <w:pPr>
              <w:jc w:val="center"/>
              <w:spacing w:after="0" w:line="189" w:lineRule="exact"/>
              <w:rPr>
                <w:sz w:val="20"/>
                <w:szCs w:val="20"/>
                <w:color w:val="auto"/>
              </w:rPr>
            </w:pPr>
            <w:r>
              <w:rPr>
                <w:rFonts w:ascii="Arial" w:cs="Arial" w:eastAsia="Arial" w:hAnsi="Arial"/>
                <w:sz w:val="17"/>
                <w:szCs w:val="17"/>
                <w:color w:val="auto"/>
                <w:w w:val="99"/>
              </w:rPr>
              <w:t>21,384</w:t>
            </w:r>
          </w:p>
        </w:tc>
        <w:tc>
          <w:tcPr>
            <w:tcW w:w="1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5"/>
              </w:rPr>
              <w:t>67.1%</w:t>
            </w:r>
          </w:p>
        </w:tc>
      </w:tr>
      <w:tr>
        <w:trPr>
          <w:trHeight w:val="211"/>
        </w:trPr>
        <w:tc>
          <w:tcPr>
            <w:tcW w:w="228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Fund 3</w:t>
            </w:r>
          </w:p>
        </w:tc>
        <w:tc>
          <w:tcPr>
            <w:tcW w:w="9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left="176"/>
              <w:spacing w:after="0"/>
              <w:rPr>
                <w:sz w:val="20"/>
                <w:szCs w:val="20"/>
                <w:color w:val="auto"/>
              </w:rPr>
            </w:pPr>
            <w:r>
              <w:rPr>
                <w:rFonts w:ascii="Arial" w:cs="Arial" w:eastAsia="Arial" w:hAnsi="Arial"/>
                <w:sz w:val="17"/>
                <w:szCs w:val="17"/>
                <w:color w:val="auto"/>
                <w:w w:val="98"/>
              </w:rPr>
              <w:t>3,840</w:t>
            </w:r>
          </w:p>
        </w:tc>
        <w:tc>
          <w:tcPr>
            <w:tcW w:w="1560" w:type="dxa"/>
            <w:vAlign w:val="bottom"/>
            <w:tcBorders>
              <w:bottom w:val="single" w:sz="8" w:color="auto"/>
              <w:right w:val="single" w:sz="8" w:color="auto"/>
            </w:tcBorders>
          </w:tcPr>
          <w:p>
            <w:pPr>
              <w:jc w:val="center"/>
              <w:ind w:left="78"/>
              <w:spacing w:after="0"/>
              <w:rPr>
                <w:sz w:val="20"/>
                <w:szCs w:val="20"/>
                <w:color w:val="auto"/>
              </w:rPr>
            </w:pPr>
            <w:r>
              <w:rPr>
                <w:rFonts w:ascii="Arial" w:cs="Arial" w:eastAsia="Arial" w:hAnsi="Arial"/>
                <w:sz w:val="17"/>
                <w:szCs w:val="17"/>
                <w:color w:val="auto"/>
                <w:w w:val="99"/>
              </w:rPr>
              <w:t>12.5%</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3,800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11.9%</w:t>
            </w:r>
          </w:p>
        </w:tc>
      </w:tr>
      <w:tr>
        <w:trPr>
          <w:trHeight w:val="194"/>
        </w:trPr>
        <w:tc>
          <w:tcPr>
            <w:tcW w:w="2280" w:type="dxa"/>
            <w:vAlign w:val="bottom"/>
            <w:tcBorders>
              <w:left w:val="single" w:sz="8" w:color="auto"/>
              <w:bottom w:val="single" w:sz="8" w:color="auto"/>
            </w:tcBorders>
          </w:tcPr>
          <w:p>
            <w:pPr>
              <w:ind w:left="60"/>
              <w:spacing w:after="0" w:line="189" w:lineRule="exact"/>
              <w:rPr>
                <w:sz w:val="20"/>
                <w:szCs w:val="20"/>
                <w:color w:val="auto"/>
              </w:rPr>
            </w:pPr>
            <w:r>
              <w:rPr>
                <w:rFonts w:ascii="Arial" w:cs="Arial" w:eastAsia="Arial" w:hAnsi="Arial"/>
                <w:sz w:val="17"/>
                <w:szCs w:val="17"/>
                <w:color w:val="auto"/>
              </w:rPr>
              <w:t>Total S/ Millions</w:t>
            </w:r>
          </w:p>
        </w:tc>
        <w:tc>
          <w:tcPr>
            <w:tcW w:w="92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left="196"/>
              <w:spacing w:after="0" w:line="189" w:lineRule="exact"/>
              <w:rPr>
                <w:sz w:val="20"/>
                <w:szCs w:val="20"/>
                <w:color w:val="auto"/>
              </w:rPr>
            </w:pPr>
            <w:r>
              <w:rPr>
                <w:rFonts w:ascii="Arial" w:cs="Arial" w:eastAsia="Arial" w:hAnsi="Arial"/>
                <w:sz w:val="17"/>
                <w:szCs w:val="17"/>
                <w:color w:val="auto"/>
                <w:w w:val="99"/>
              </w:rPr>
              <w:t>30,755</w:t>
            </w:r>
          </w:p>
        </w:tc>
        <w:tc>
          <w:tcPr>
            <w:tcW w:w="1560" w:type="dxa"/>
            <w:vAlign w:val="bottom"/>
            <w:tcBorders>
              <w:bottom w:val="single" w:sz="8" w:color="auto"/>
              <w:right w:val="single" w:sz="8" w:color="auto"/>
            </w:tcBorders>
          </w:tcPr>
          <w:p>
            <w:pPr>
              <w:jc w:val="center"/>
              <w:ind w:left="98"/>
              <w:spacing w:after="0" w:line="189" w:lineRule="exact"/>
              <w:rPr>
                <w:sz w:val="20"/>
                <w:szCs w:val="20"/>
                <w:color w:val="auto"/>
              </w:rPr>
            </w:pPr>
            <w:r>
              <w:rPr>
                <w:rFonts w:ascii="Arial" w:cs="Arial" w:eastAsia="Arial" w:hAnsi="Arial"/>
                <w:sz w:val="17"/>
                <w:szCs w:val="17"/>
                <w:color w:val="auto"/>
                <w:w w:val="96"/>
              </w:rPr>
              <w:t>100%</w:t>
            </w:r>
          </w:p>
        </w:tc>
        <w:tc>
          <w:tcPr>
            <w:tcW w:w="10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7"/>
                <w:szCs w:val="17"/>
                <w:color w:val="auto"/>
                <w:w w:val="99"/>
              </w:rPr>
              <w:t>31,850</w:t>
            </w:r>
          </w:p>
        </w:tc>
        <w:tc>
          <w:tcPr>
            <w:tcW w:w="12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w w:val="96"/>
              </w:rPr>
              <w:t>100%</w:t>
            </w:r>
          </w:p>
        </w:tc>
      </w:tr>
      <w:tr>
        <w:trPr>
          <w:trHeight w:val="154"/>
        </w:trPr>
        <w:tc>
          <w:tcPr>
            <w:tcW w:w="2280" w:type="dxa"/>
            <w:vAlign w:val="bottom"/>
          </w:tcPr>
          <w:p>
            <w:pPr>
              <w:ind w:left="20"/>
              <w:spacing w:after="0"/>
              <w:rPr>
                <w:sz w:val="20"/>
                <w:szCs w:val="20"/>
                <w:color w:val="auto"/>
              </w:rPr>
            </w:pPr>
            <w:r>
              <w:rPr>
                <w:rFonts w:ascii="Arial" w:cs="Arial" w:eastAsia="Arial" w:hAnsi="Arial"/>
                <w:sz w:val="12"/>
                <w:szCs w:val="12"/>
                <w:i w:val="1"/>
                <w:iCs w:val="1"/>
                <w:color w:val="auto"/>
              </w:rPr>
              <w:t>Source: SBS.</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55"/>
        </w:trPr>
        <w:tc>
          <w:tcPr>
            <w:tcW w:w="4080" w:type="dxa"/>
            <w:vAlign w:val="bottom"/>
            <w:gridSpan w:val="4"/>
          </w:tcPr>
          <w:p>
            <w:pPr>
              <w:ind w:left="20"/>
              <w:spacing w:after="0"/>
              <w:rPr>
                <w:sz w:val="20"/>
                <w:szCs w:val="20"/>
                <w:color w:val="auto"/>
              </w:rPr>
            </w:pPr>
            <w:r>
              <w:rPr>
                <w:rFonts w:ascii="Arial" w:cs="Arial" w:eastAsia="Arial" w:hAnsi="Arial"/>
                <w:sz w:val="15"/>
                <w:szCs w:val="15"/>
                <w:b w:val="1"/>
                <w:bCs w:val="1"/>
                <w:color w:val="auto"/>
              </w:rPr>
              <w:t>Nominal profitability over the last 12 months</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6"/>
        </w:trPr>
        <w:tc>
          <w:tcPr>
            <w:tcW w:w="2280" w:type="dxa"/>
            <w:vAlign w:val="bottom"/>
          </w:tcPr>
          <w:p>
            <w:pPr>
              <w:spacing w:after="0"/>
              <w:rPr>
                <w:sz w:val="15"/>
                <w:szCs w:val="15"/>
                <w:color w:val="auto"/>
              </w:rPr>
            </w:pPr>
          </w:p>
        </w:tc>
        <w:tc>
          <w:tcPr>
            <w:tcW w:w="1700" w:type="dxa"/>
            <w:vAlign w:val="bottom"/>
            <w:tcBorders>
              <w:bottom w:val="single" w:sz="8" w:color="auto"/>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4"/>
        </w:trPr>
        <w:tc>
          <w:tcPr>
            <w:tcW w:w="228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gridSpan w:val="2"/>
            <w:shd w:val="clear" w:color="auto" w:fill="2AD2C9"/>
          </w:tcPr>
          <w:p>
            <w:pPr>
              <w:ind w:left="220"/>
              <w:spacing w:after="0" w:line="189" w:lineRule="exact"/>
              <w:rPr>
                <w:sz w:val="20"/>
                <w:szCs w:val="20"/>
                <w:color w:val="auto"/>
              </w:rPr>
            </w:pPr>
            <w:r>
              <w:rPr>
                <w:rFonts w:ascii="Arial" w:cs="Arial" w:eastAsia="Arial" w:hAnsi="Arial"/>
                <w:sz w:val="17"/>
                <w:szCs w:val="17"/>
                <w:b w:val="1"/>
                <w:bCs w:val="1"/>
                <w:color w:val="FFFFFF"/>
              </w:rPr>
              <w:t>Sep 22 / Sep 21</w:t>
            </w:r>
          </w:p>
        </w:tc>
        <w:tc>
          <w:tcPr>
            <w:tcW w:w="100" w:type="dxa"/>
            <w:vAlign w:val="bottom"/>
            <w:tcBorders>
              <w:bottom w:val="single" w:sz="8" w:color="auto"/>
            </w:tcBorders>
            <w:shd w:val="clear" w:color="auto" w:fill="2AD2C9"/>
          </w:tcPr>
          <w:p>
            <w:pPr>
              <w:spacing w:after="0"/>
              <w:rPr>
                <w:sz w:val="16"/>
                <w:szCs w:val="16"/>
                <w:color w:val="auto"/>
              </w:rPr>
            </w:pPr>
          </w:p>
        </w:tc>
        <w:tc>
          <w:tcPr>
            <w:tcW w:w="1560" w:type="dxa"/>
            <w:vAlign w:val="bottom"/>
            <w:tcBorders>
              <w:bottom w:val="single" w:sz="8" w:color="auto"/>
              <w:right w:val="single" w:sz="8" w:color="auto"/>
            </w:tcBorders>
            <w:shd w:val="clear" w:color="auto" w:fill="2AD2C9"/>
          </w:tcPr>
          <w:p>
            <w:pPr>
              <w:ind w:left="20"/>
              <w:spacing w:after="0" w:line="189" w:lineRule="exact"/>
              <w:rPr>
                <w:sz w:val="20"/>
                <w:szCs w:val="20"/>
                <w:color w:val="auto"/>
              </w:rPr>
            </w:pPr>
            <w:r>
              <w:rPr>
                <w:rFonts w:ascii="Arial" w:cs="Arial" w:eastAsia="Arial" w:hAnsi="Arial"/>
                <w:sz w:val="14"/>
                <w:szCs w:val="14"/>
                <w:b w:val="1"/>
                <w:bCs w:val="1"/>
                <w:color w:val="FFFFFF"/>
              </w:rPr>
              <w:t>Dec 22 / Dec 21</w:t>
            </w:r>
            <w:r>
              <w:rPr>
                <w:rFonts w:ascii="Arial" w:cs="Arial" w:eastAsia="Arial" w:hAnsi="Arial"/>
                <w:sz w:val="21"/>
                <w:szCs w:val="21"/>
                <w:b w:val="1"/>
                <w:bCs w:val="1"/>
                <w:color w:val="FFFFFF"/>
                <w:vertAlign w:val="superscript"/>
              </w:rPr>
              <w:t>(1)</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2"/>
        </w:trPr>
        <w:tc>
          <w:tcPr>
            <w:tcW w:w="2280" w:type="dxa"/>
            <w:vAlign w:val="bottom"/>
            <w:tcBorders>
              <w:left w:val="single" w:sz="8" w:color="auto"/>
              <w:right w:val="single" w:sz="8" w:color="auto"/>
            </w:tcBorders>
          </w:tcPr>
          <w:p>
            <w:pPr>
              <w:ind w:left="60"/>
              <w:spacing w:after="0" w:line="172" w:lineRule="exact"/>
              <w:rPr>
                <w:sz w:val="20"/>
                <w:szCs w:val="20"/>
                <w:color w:val="auto"/>
              </w:rPr>
            </w:pPr>
            <w:r>
              <w:rPr>
                <w:rFonts w:ascii="Arial" w:cs="Arial" w:eastAsia="Arial" w:hAnsi="Arial"/>
                <w:sz w:val="17"/>
                <w:szCs w:val="17"/>
                <w:color w:val="auto"/>
              </w:rPr>
              <w:t>Fund 0</w:t>
            </w:r>
          </w:p>
        </w:tc>
        <w:tc>
          <w:tcPr>
            <w:tcW w:w="1700" w:type="dxa"/>
            <w:vAlign w:val="bottom"/>
            <w:tcBorders>
              <w:right w:val="single" w:sz="8" w:color="auto"/>
            </w:tcBorders>
            <w:gridSpan w:val="2"/>
          </w:tcPr>
          <w:p>
            <w:pPr>
              <w:jc w:val="center"/>
              <w:spacing w:after="0" w:line="172" w:lineRule="exact"/>
              <w:rPr>
                <w:sz w:val="20"/>
                <w:szCs w:val="20"/>
                <w:color w:val="auto"/>
              </w:rPr>
            </w:pPr>
            <w:r>
              <w:rPr>
                <w:rFonts w:ascii="Arial" w:cs="Arial" w:eastAsia="Arial" w:hAnsi="Arial"/>
                <w:sz w:val="17"/>
                <w:szCs w:val="17"/>
                <w:color w:val="auto"/>
                <w:w w:val="97"/>
              </w:rPr>
              <w:t>3.7%</w:t>
            </w:r>
          </w:p>
        </w:tc>
        <w:tc>
          <w:tcPr>
            <w:tcW w:w="100" w:type="dxa"/>
            <w:vAlign w:val="bottom"/>
          </w:tcPr>
          <w:p>
            <w:pPr>
              <w:spacing w:after="0"/>
              <w:rPr>
                <w:sz w:val="14"/>
                <w:szCs w:val="14"/>
                <w:color w:val="auto"/>
              </w:rPr>
            </w:pPr>
          </w:p>
        </w:tc>
        <w:tc>
          <w:tcPr>
            <w:tcW w:w="1560" w:type="dxa"/>
            <w:vAlign w:val="bottom"/>
            <w:tcBorders>
              <w:right w:val="single" w:sz="8" w:color="auto"/>
            </w:tcBorders>
          </w:tcPr>
          <w:p>
            <w:pPr>
              <w:jc w:val="center"/>
              <w:ind w:right="58"/>
              <w:spacing w:after="0" w:line="172" w:lineRule="exact"/>
              <w:rPr>
                <w:sz w:val="20"/>
                <w:szCs w:val="20"/>
                <w:color w:val="auto"/>
              </w:rPr>
            </w:pPr>
            <w:r>
              <w:rPr>
                <w:rFonts w:ascii="Arial" w:cs="Arial" w:eastAsia="Arial" w:hAnsi="Arial"/>
                <w:sz w:val="17"/>
                <w:szCs w:val="17"/>
                <w:color w:val="auto"/>
                <w:w w:val="97"/>
              </w:rPr>
              <w:t>5.2%</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2280" w:type="dxa"/>
            <w:vAlign w:val="bottom"/>
            <w:tcBorders>
              <w:left w:val="single" w:sz="8" w:color="auto"/>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Fund 1</w:t>
            </w:r>
          </w:p>
        </w:tc>
        <w:tc>
          <w:tcPr>
            <w:tcW w:w="1700" w:type="dxa"/>
            <w:vAlign w:val="bottom"/>
            <w:tcBorders>
              <w:right w:val="single" w:sz="8" w:color="auto"/>
            </w:tcBorders>
            <w:gridSpan w:val="2"/>
          </w:tcPr>
          <w:p>
            <w:pPr>
              <w:jc w:val="center"/>
              <w:spacing w:after="0" w:line="189" w:lineRule="exact"/>
              <w:rPr>
                <w:sz w:val="20"/>
                <w:szCs w:val="20"/>
                <w:color w:val="auto"/>
              </w:rPr>
            </w:pPr>
            <w:r>
              <w:rPr>
                <w:rFonts w:ascii="Arial" w:cs="Arial" w:eastAsia="Arial" w:hAnsi="Arial"/>
                <w:sz w:val="17"/>
                <w:szCs w:val="17"/>
                <w:color w:val="auto"/>
                <w:w w:val="98"/>
              </w:rPr>
              <w:t>-8.4%</w:t>
            </w:r>
          </w:p>
        </w:tc>
        <w:tc>
          <w:tcPr>
            <w:tcW w:w="100" w:type="dxa"/>
            <w:vAlign w:val="bottom"/>
          </w:tcPr>
          <w:p>
            <w:pPr>
              <w:spacing w:after="0"/>
              <w:rPr>
                <w:sz w:val="16"/>
                <w:szCs w:val="16"/>
                <w:color w:val="auto"/>
              </w:rPr>
            </w:pPr>
          </w:p>
        </w:tc>
        <w:tc>
          <w:tcPr>
            <w:tcW w:w="1560" w:type="dxa"/>
            <w:vAlign w:val="bottom"/>
            <w:tcBorders>
              <w:right w:val="single" w:sz="8" w:color="auto"/>
            </w:tcBorders>
          </w:tcPr>
          <w:p>
            <w:pPr>
              <w:jc w:val="center"/>
              <w:ind w:right="38"/>
              <w:spacing w:after="0" w:line="189" w:lineRule="exact"/>
              <w:rPr>
                <w:sz w:val="20"/>
                <w:szCs w:val="20"/>
                <w:color w:val="auto"/>
              </w:rPr>
            </w:pPr>
            <w:r>
              <w:rPr>
                <w:rFonts w:ascii="Arial" w:cs="Arial" w:eastAsia="Arial" w:hAnsi="Arial"/>
                <w:sz w:val="17"/>
                <w:szCs w:val="17"/>
                <w:color w:val="auto"/>
                <w:w w:val="98"/>
              </w:rPr>
              <w:t>-5.3%</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2280" w:type="dxa"/>
            <w:vAlign w:val="bottom"/>
            <w:tcBorders>
              <w:left w:val="single" w:sz="8" w:color="auto"/>
              <w:right w:val="single" w:sz="8" w:color="auto"/>
            </w:tcBorders>
          </w:tcPr>
          <w:p>
            <w:pPr>
              <w:ind w:left="60"/>
              <w:spacing w:after="0" w:line="189" w:lineRule="exact"/>
              <w:rPr>
                <w:sz w:val="20"/>
                <w:szCs w:val="20"/>
                <w:color w:val="auto"/>
              </w:rPr>
            </w:pPr>
            <w:r>
              <w:rPr>
                <w:rFonts w:ascii="Arial" w:cs="Arial" w:eastAsia="Arial" w:hAnsi="Arial"/>
                <w:sz w:val="17"/>
                <w:szCs w:val="17"/>
                <w:color w:val="auto"/>
              </w:rPr>
              <w:t>Fund 2</w:t>
            </w:r>
          </w:p>
        </w:tc>
        <w:tc>
          <w:tcPr>
            <w:tcW w:w="1700" w:type="dxa"/>
            <w:vAlign w:val="bottom"/>
            <w:tcBorders>
              <w:right w:val="single" w:sz="8" w:color="auto"/>
            </w:tcBorders>
            <w:gridSpan w:val="2"/>
          </w:tcPr>
          <w:p>
            <w:pPr>
              <w:jc w:val="center"/>
              <w:spacing w:after="0" w:line="189" w:lineRule="exact"/>
              <w:rPr>
                <w:sz w:val="20"/>
                <w:szCs w:val="20"/>
                <w:color w:val="auto"/>
              </w:rPr>
            </w:pPr>
            <w:r>
              <w:rPr>
                <w:rFonts w:ascii="Arial" w:cs="Arial" w:eastAsia="Arial" w:hAnsi="Arial"/>
                <w:sz w:val="17"/>
                <w:szCs w:val="17"/>
                <w:color w:val="auto"/>
                <w:w w:val="98"/>
              </w:rPr>
              <w:t>-8.1%</w:t>
            </w:r>
          </w:p>
        </w:tc>
        <w:tc>
          <w:tcPr>
            <w:tcW w:w="100" w:type="dxa"/>
            <w:vAlign w:val="bottom"/>
          </w:tcPr>
          <w:p>
            <w:pPr>
              <w:spacing w:after="0"/>
              <w:rPr>
                <w:sz w:val="16"/>
                <w:szCs w:val="16"/>
                <w:color w:val="auto"/>
              </w:rPr>
            </w:pPr>
          </w:p>
        </w:tc>
        <w:tc>
          <w:tcPr>
            <w:tcW w:w="1560" w:type="dxa"/>
            <w:vAlign w:val="bottom"/>
            <w:tcBorders>
              <w:right w:val="single" w:sz="8" w:color="auto"/>
            </w:tcBorders>
          </w:tcPr>
          <w:p>
            <w:pPr>
              <w:jc w:val="center"/>
              <w:ind w:right="38"/>
              <w:spacing w:after="0" w:line="189" w:lineRule="exact"/>
              <w:rPr>
                <w:sz w:val="20"/>
                <w:szCs w:val="20"/>
                <w:color w:val="auto"/>
              </w:rPr>
            </w:pPr>
            <w:r>
              <w:rPr>
                <w:rFonts w:ascii="Arial" w:cs="Arial" w:eastAsia="Arial" w:hAnsi="Arial"/>
                <w:sz w:val="17"/>
                <w:szCs w:val="17"/>
                <w:color w:val="auto"/>
                <w:w w:val="98"/>
              </w:rPr>
              <w:t>-7.0%</w:t>
            </w: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1"/>
        </w:trPr>
        <w:tc>
          <w:tcPr>
            <w:tcW w:w="22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Fund 3</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7"/>
                <w:szCs w:val="17"/>
                <w:color w:val="auto"/>
                <w:w w:val="98"/>
              </w:rPr>
              <w:t>-7.1%</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38"/>
              <w:spacing w:after="0"/>
              <w:rPr>
                <w:sz w:val="20"/>
                <w:szCs w:val="20"/>
                <w:color w:val="auto"/>
              </w:rPr>
            </w:pPr>
            <w:r>
              <w:rPr>
                <w:rFonts w:ascii="Arial" w:cs="Arial" w:eastAsia="Arial" w:hAnsi="Arial"/>
                <w:sz w:val="17"/>
                <w:szCs w:val="17"/>
                <w:color w:val="auto"/>
                <w:w w:val="98"/>
              </w:rPr>
              <w:t>-8.2%</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Included new methodology of SBS to calculate quota value.</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AFP Commissions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2340" w:type="dxa"/>
            <w:vAlign w:val="bottom"/>
            <w:tcBorders>
              <w:top w:val="single" w:sz="8" w:color="auto"/>
              <w:left w:val="single" w:sz="8" w:color="auto"/>
              <w:bottom w:val="single" w:sz="8" w:color="auto"/>
            </w:tcBorders>
            <w:shd w:val="clear" w:color="auto" w:fill="2AD2C9"/>
          </w:tcPr>
          <w:p>
            <w:pPr>
              <w:ind w:left="60"/>
              <w:spacing w:after="0"/>
              <w:rPr>
                <w:sz w:val="20"/>
                <w:szCs w:val="20"/>
                <w:color w:val="auto"/>
              </w:rPr>
            </w:pPr>
            <w:r>
              <w:rPr>
                <w:rFonts w:ascii="Arial" w:cs="Arial" w:eastAsia="Arial" w:hAnsi="Arial"/>
                <w:sz w:val="13"/>
                <w:szCs w:val="13"/>
                <w:b w:val="1"/>
                <w:bCs w:val="1"/>
                <w:color w:val="FFFFFF"/>
              </w:rPr>
              <w:t>Fee based on flow</w:t>
            </w:r>
          </w:p>
        </w:tc>
        <w:tc>
          <w:tcPr>
            <w:tcW w:w="1540" w:type="dxa"/>
            <w:vAlign w:val="bottom"/>
            <w:tcBorders>
              <w:top w:val="single" w:sz="8" w:color="auto"/>
              <w:bottom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3"/>
                <w:szCs w:val="13"/>
                <w:color w:val="FFFFFF"/>
              </w:rPr>
              <w:t>1.60%</w:t>
            </w:r>
          </w:p>
        </w:tc>
        <w:tc>
          <w:tcPr>
            <w:tcW w:w="6840" w:type="dxa"/>
            <w:vAlign w:val="bottom"/>
            <w:tcBorders>
              <w:top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3"/>
                <w:szCs w:val="13"/>
                <w:color w:val="FFFFFF"/>
              </w:rPr>
              <w:t>Applied to the affiliates' monthly remuneration.</w:t>
            </w:r>
          </w:p>
        </w:tc>
        <w:tc>
          <w:tcPr>
            <w:tcW w:w="0" w:type="dxa"/>
            <w:vAlign w:val="bottom"/>
          </w:tcPr>
          <w:p>
            <w:pPr>
              <w:spacing w:after="0"/>
              <w:rPr>
                <w:sz w:val="1"/>
                <w:szCs w:val="1"/>
                <w:color w:val="auto"/>
              </w:rPr>
            </w:pPr>
          </w:p>
        </w:tc>
      </w:tr>
      <w:tr>
        <w:trPr>
          <w:trHeight w:val="185"/>
        </w:trPr>
        <w:tc>
          <w:tcPr>
            <w:tcW w:w="2340" w:type="dxa"/>
            <w:vAlign w:val="bottom"/>
            <w:tcBorders>
              <w:left w:val="single" w:sz="8" w:color="auto"/>
            </w:tcBorders>
          </w:tcPr>
          <w:p>
            <w:pPr>
              <w:ind w:left="60"/>
              <w:spacing w:after="0"/>
              <w:rPr>
                <w:sz w:val="20"/>
                <w:szCs w:val="20"/>
                <w:color w:val="auto"/>
              </w:rPr>
            </w:pPr>
            <w:r>
              <w:rPr>
                <w:rFonts w:ascii="Arial" w:cs="Arial" w:eastAsia="Arial" w:hAnsi="Arial"/>
                <w:sz w:val="13"/>
                <w:szCs w:val="13"/>
                <w:b w:val="1"/>
                <w:bCs w:val="1"/>
                <w:color w:val="auto"/>
              </w:rPr>
              <w:t>Mixed fee</w:t>
            </w:r>
          </w:p>
        </w:tc>
        <w:tc>
          <w:tcPr>
            <w:tcW w:w="1540" w:type="dxa"/>
            <w:vAlign w:val="bottom"/>
            <w:tcBorders>
              <w:right w:val="single" w:sz="8" w:color="auto"/>
            </w:tcBorders>
          </w:tcPr>
          <w:p>
            <w:pPr>
              <w:spacing w:after="0"/>
              <w:rPr>
                <w:sz w:val="16"/>
                <w:szCs w:val="16"/>
                <w:color w:val="auto"/>
              </w:rPr>
            </w:pPr>
          </w:p>
        </w:tc>
        <w:tc>
          <w:tcPr>
            <w:tcW w:w="6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2340" w:type="dxa"/>
            <w:vAlign w:val="bottom"/>
            <w:tcBorders>
              <w:left w:val="single" w:sz="8" w:color="auto"/>
            </w:tcBorders>
          </w:tcPr>
          <w:p>
            <w:pPr>
              <w:ind w:left="60"/>
              <w:spacing w:after="0"/>
              <w:rPr>
                <w:sz w:val="20"/>
                <w:szCs w:val="20"/>
                <w:color w:val="auto"/>
              </w:rPr>
            </w:pPr>
            <w:r>
              <w:rPr>
                <w:rFonts w:ascii="Arial" w:cs="Arial" w:eastAsia="Arial" w:hAnsi="Arial"/>
                <w:sz w:val="13"/>
                <w:szCs w:val="13"/>
                <w:b w:val="1"/>
                <w:bCs w:val="1"/>
                <w:color w:val="auto"/>
              </w:rPr>
              <w:t>Flow</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0.18%</w:t>
            </w:r>
          </w:p>
        </w:tc>
        <w:tc>
          <w:tcPr>
            <w:tcW w:w="68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Applied to the affiliates' monthly remuneration since June 2017. Feb 17- may 17 =0.87%.</w:t>
            </w:r>
          </w:p>
        </w:tc>
        <w:tc>
          <w:tcPr>
            <w:tcW w:w="0" w:type="dxa"/>
            <w:vAlign w:val="bottom"/>
          </w:tcPr>
          <w:p>
            <w:pPr>
              <w:spacing w:after="0"/>
              <w:rPr>
                <w:sz w:val="1"/>
                <w:szCs w:val="1"/>
                <w:color w:val="auto"/>
              </w:rPr>
            </w:pPr>
          </w:p>
        </w:tc>
      </w:tr>
      <w:tr>
        <w:trPr>
          <w:trHeight w:val="307"/>
        </w:trPr>
        <w:tc>
          <w:tcPr>
            <w:tcW w:w="2340" w:type="dxa"/>
            <w:vAlign w:val="bottom"/>
            <w:tcBorders>
              <w:left w:val="single" w:sz="8" w:color="auto"/>
            </w:tcBorders>
            <w:vMerge w:val="restart"/>
          </w:tcPr>
          <w:p>
            <w:pPr>
              <w:ind w:left="60"/>
              <w:spacing w:after="0"/>
              <w:rPr>
                <w:sz w:val="20"/>
                <w:szCs w:val="20"/>
                <w:color w:val="auto"/>
              </w:rPr>
            </w:pPr>
            <w:r>
              <w:rPr>
                <w:rFonts w:ascii="Arial" w:cs="Arial" w:eastAsia="Arial" w:hAnsi="Arial"/>
                <w:sz w:val="13"/>
                <w:szCs w:val="13"/>
                <w:color w:val="auto"/>
              </w:rPr>
              <w:t>Balance</w:t>
            </w:r>
          </w:p>
        </w:tc>
        <w:tc>
          <w:tcPr>
            <w:tcW w:w="15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1.25%</w:t>
            </w:r>
          </w:p>
        </w:tc>
        <w:tc>
          <w:tcPr>
            <w:tcW w:w="68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Applies annualy to the new balance since February 2013 for new affiliates to the system and beginning on June</w:t>
            </w:r>
          </w:p>
        </w:tc>
        <w:tc>
          <w:tcPr>
            <w:tcW w:w="0" w:type="dxa"/>
            <w:vAlign w:val="bottom"/>
          </w:tcPr>
          <w:p>
            <w:pPr>
              <w:spacing w:after="0"/>
              <w:rPr>
                <w:sz w:val="1"/>
                <w:szCs w:val="1"/>
                <w:color w:val="auto"/>
              </w:rPr>
            </w:pPr>
          </w:p>
        </w:tc>
      </w:tr>
      <w:tr>
        <w:trPr>
          <w:trHeight w:val="164"/>
        </w:trPr>
        <w:tc>
          <w:tcPr>
            <w:tcW w:w="2340" w:type="dxa"/>
            <w:vAlign w:val="bottom"/>
            <w:tcBorders>
              <w:left w:val="single" w:sz="8" w:color="auto"/>
              <w:bottom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vMerge w:val="continue"/>
          </w:tcPr>
          <w:p>
            <w:pPr>
              <w:spacing w:after="0"/>
              <w:rPr>
                <w:sz w:val="14"/>
                <w:szCs w:val="14"/>
                <w:color w:val="auto"/>
              </w:rPr>
            </w:pPr>
          </w:p>
        </w:tc>
        <w:tc>
          <w:tcPr>
            <w:tcW w:w="68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2013 for old affiliates who have chosen this commission scheme.</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Main Indicators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660" w:type="dxa"/>
            <w:vAlign w:val="bottom"/>
            <w:tcBorders>
              <w:top w:val="single" w:sz="8" w:color="auto"/>
              <w:left w:val="single" w:sz="8" w:color="auto"/>
              <w:right w:val="single" w:sz="8" w:color="auto"/>
            </w:tcBorders>
            <w:vMerge w:val="restart"/>
            <w:shd w:val="clear" w:color="auto" w:fill="2AD2C9"/>
          </w:tcPr>
          <w:p>
            <w:pPr>
              <w:ind w:left="60"/>
              <w:spacing w:after="0"/>
              <w:rPr>
                <w:sz w:val="20"/>
                <w:szCs w:val="20"/>
                <w:color w:val="auto"/>
              </w:rPr>
            </w:pPr>
            <w:r>
              <w:rPr>
                <w:rFonts w:ascii="Arial" w:cs="Arial" w:eastAsia="Arial" w:hAnsi="Arial"/>
                <w:sz w:val="13"/>
                <w:szCs w:val="13"/>
                <w:b w:val="1"/>
                <w:bCs w:val="1"/>
                <w:color w:val="FFFFFF"/>
              </w:rPr>
              <w:t>Main indicators and market share</w:t>
            </w:r>
          </w:p>
        </w:tc>
        <w:tc>
          <w:tcPr>
            <w:tcW w:w="1680" w:type="dxa"/>
            <w:vAlign w:val="bottom"/>
            <w:tcBorders>
              <w:top w:val="single" w:sz="8" w:color="auto"/>
            </w:tcBorders>
            <w:shd w:val="clear" w:color="auto" w:fill="2AD2C9"/>
          </w:tcPr>
          <w:p>
            <w:pPr>
              <w:jc w:val="right"/>
              <w:ind w:right="733"/>
              <w:spacing w:after="0"/>
              <w:rPr>
                <w:sz w:val="20"/>
                <w:szCs w:val="20"/>
                <w:color w:val="auto"/>
              </w:rPr>
            </w:pPr>
            <w:r>
              <w:rPr>
                <w:rFonts w:ascii="Arial" w:cs="Arial" w:eastAsia="Arial" w:hAnsi="Arial"/>
                <w:sz w:val="13"/>
                <w:szCs w:val="13"/>
                <w:b w:val="1"/>
                <w:bCs w:val="1"/>
                <w:color w:val="FFFFFF"/>
              </w:rPr>
              <w:t>Prima</w:t>
            </w:r>
          </w:p>
        </w:tc>
        <w:tc>
          <w:tcPr>
            <w:tcW w:w="1380" w:type="dxa"/>
            <w:vAlign w:val="bottom"/>
            <w:tcBorders>
              <w:top w:val="single" w:sz="8" w:color="auto"/>
            </w:tcBorders>
            <w:shd w:val="clear" w:color="auto" w:fill="2AD2C9"/>
          </w:tcPr>
          <w:p>
            <w:pPr>
              <w:jc w:val="right"/>
              <w:ind w:right="553"/>
              <w:spacing w:after="0"/>
              <w:rPr>
                <w:sz w:val="20"/>
                <w:szCs w:val="20"/>
                <w:color w:val="auto"/>
              </w:rPr>
            </w:pPr>
            <w:r>
              <w:rPr>
                <w:rFonts w:ascii="Arial" w:cs="Arial" w:eastAsia="Arial" w:hAnsi="Arial"/>
                <w:sz w:val="13"/>
                <w:szCs w:val="13"/>
                <w:b w:val="1"/>
                <w:bCs w:val="1"/>
                <w:color w:val="FFFFFF"/>
              </w:rPr>
              <w:t>System</w:t>
            </w:r>
          </w:p>
        </w:tc>
        <w:tc>
          <w:tcPr>
            <w:tcW w:w="880" w:type="dxa"/>
            <w:vAlign w:val="bottom"/>
            <w:tcBorders>
              <w:top w:val="single" w:sz="8" w:color="auto"/>
              <w:right w:val="single" w:sz="8" w:color="auto"/>
            </w:tcBorders>
            <w:shd w:val="clear" w:color="auto" w:fill="2AD2C9"/>
          </w:tcPr>
          <w:p>
            <w:pPr>
              <w:jc w:val="right"/>
              <w:ind w:right="173"/>
              <w:spacing w:after="0"/>
              <w:rPr>
                <w:sz w:val="20"/>
                <w:szCs w:val="20"/>
                <w:color w:val="auto"/>
              </w:rPr>
            </w:pPr>
            <w:r>
              <w:rPr>
                <w:rFonts w:ascii="Arial" w:cs="Arial" w:eastAsia="Arial" w:hAnsi="Arial"/>
                <w:sz w:val="13"/>
                <w:szCs w:val="13"/>
                <w:b w:val="1"/>
                <w:bCs w:val="1"/>
                <w:color w:val="FFFFFF"/>
              </w:rPr>
              <w:t>% share</w:t>
            </w:r>
          </w:p>
        </w:tc>
        <w:tc>
          <w:tcPr>
            <w:tcW w:w="1000" w:type="dxa"/>
            <w:vAlign w:val="bottom"/>
            <w:tcBorders>
              <w:top w:val="single" w:sz="8" w:color="auto"/>
            </w:tcBorders>
            <w:shd w:val="clear" w:color="auto" w:fill="2AD2C9"/>
          </w:tcPr>
          <w:p>
            <w:pPr>
              <w:jc w:val="right"/>
              <w:ind w:right="313"/>
              <w:spacing w:after="0"/>
              <w:rPr>
                <w:sz w:val="20"/>
                <w:szCs w:val="20"/>
                <w:color w:val="auto"/>
              </w:rPr>
            </w:pPr>
            <w:r>
              <w:rPr>
                <w:rFonts w:ascii="Arial" w:cs="Arial" w:eastAsia="Arial" w:hAnsi="Arial"/>
                <w:sz w:val="13"/>
                <w:szCs w:val="13"/>
                <w:b w:val="1"/>
                <w:bCs w:val="1"/>
                <w:color w:val="FFFFFF"/>
              </w:rPr>
              <w:t>Prima</w:t>
            </w:r>
          </w:p>
        </w:tc>
        <w:tc>
          <w:tcPr>
            <w:tcW w:w="900" w:type="dxa"/>
            <w:vAlign w:val="bottom"/>
            <w:tcBorders>
              <w:top w:val="single" w:sz="8" w:color="auto"/>
            </w:tcBorders>
            <w:shd w:val="clear" w:color="auto" w:fill="2AD2C9"/>
          </w:tcPr>
          <w:p>
            <w:pPr>
              <w:jc w:val="right"/>
              <w:ind w:right="233"/>
              <w:spacing w:after="0"/>
              <w:rPr>
                <w:sz w:val="20"/>
                <w:szCs w:val="20"/>
                <w:color w:val="auto"/>
              </w:rPr>
            </w:pPr>
            <w:r>
              <w:rPr>
                <w:rFonts w:ascii="Arial" w:cs="Arial" w:eastAsia="Arial" w:hAnsi="Arial"/>
                <w:sz w:val="13"/>
                <w:szCs w:val="13"/>
                <w:b w:val="1"/>
                <w:bCs w:val="1"/>
                <w:color w:val="FFFFFF"/>
              </w:rPr>
              <w:t>System</w:t>
            </w:r>
          </w:p>
        </w:tc>
        <w:tc>
          <w:tcPr>
            <w:tcW w:w="880" w:type="dxa"/>
            <w:vAlign w:val="bottom"/>
            <w:tcBorders>
              <w:top w:val="single" w:sz="8" w:color="auto"/>
              <w:right w:val="single" w:sz="8" w:color="auto"/>
            </w:tcBorders>
            <w:shd w:val="clear" w:color="auto" w:fill="2AD2C9"/>
          </w:tcPr>
          <w:p>
            <w:pPr>
              <w:jc w:val="right"/>
              <w:ind w:right="193"/>
              <w:spacing w:after="0"/>
              <w:rPr>
                <w:sz w:val="20"/>
                <w:szCs w:val="20"/>
                <w:color w:val="auto"/>
              </w:rPr>
            </w:pPr>
            <w:r>
              <w:rPr>
                <w:rFonts w:ascii="Arial" w:cs="Arial" w:eastAsia="Arial" w:hAnsi="Arial"/>
                <w:sz w:val="13"/>
                <w:szCs w:val="13"/>
                <w:b w:val="1"/>
                <w:bCs w:val="1"/>
                <w:color w:val="FFFFFF"/>
              </w:rPr>
              <w:t>% share</w:t>
            </w:r>
          </w:p>
        </w:tc>
        <w:tc>
          <w:tcPr>
            <w:tcW w:w="0" w:type="dxa"/>
            <w:vAlign w:val="bottom"/>
          </w:tcPr>
          <w:p>
            <w:pPr>
              <w:spacing w:after="0"/>
              <w:rPr>
                <w:sz w:val="1"/>
                <w:szCs w:val="1"/>
                <w:color w:val="auto"/>
              </w:rPr>
            </w:pPr>
          </w:p>
        </w:tc>
      </w:tr>
      <w:tr>
        <w:trPr>
          <w:trHeight w:val="166"/>
        </w:trPr>
        <w:tc>
          <w:tcPr>
            <w:tcW w:w="3660" w:type="dxa"/>
            <w:vAlign w:val="bottom"/>
            <w:tcBorders>
              <w:left w:val="single" w:sz="8" w:color="auto"/>
              <w:bottom w:val="single" w:sz="8" w:color="2AD2C9"/>
              <w:right w:val="single" w:sz="8" w:color="auto"/>
            </w:tcBorders>
            <w:vMerge w:val="continue"/>
            <w:shd w:val="clear" w:color="auto" w:fill="2AD2C9"/>
          </w:tcPr>
          <w:p>
            <w:pPr>
              <w:spacing w:after="0"/>
              <w:rPr>
                <w:sz w:val="14"/>
                <w:szCs w:val="14"/>
                <w:color w:val="auto"/>
              </w:rPr>
            </w:pPr>
          </w:p>
        </w:tc>
        <w:tc>
          <w:tcPr>
            <w:tcW w:w="1680" w:type="dxa"/>
            <w:vAlign w:val="bottom"/>
            <w:tcBorders>
              <w:bottom w:val="single" w:sz="8" w:color="2AD2C9"/>
            </w:tcBorders>
            <w:shd w:val="clear" w:color="auto" w:fill="2AD2C9"/>
          </w:tcPr>
          <w:p>
            <w:pPr>
              <w:jc w:val="right"/>
              <w:ind w:right="753"/>
              <w:spacing w:after="0"/>
              <w:rPr>
                <w:sz w:val="20"/>
                <w:szCs w:val="20"/>
                <w:color w:val="auto"/>
              </w:rPr>
            </w:pPr>
            <w:r>
              <w:rPr>
                <w:rFonts w:ascii="Arial" w:cs="Arial" w:eastAsia="Arial" w:hAnsi="Arial"/>
                <w:sz w:val="13"/>
                <w:szCs w:val="13"/>
                <w:b w:val="1"/>
                <w:bCs w:val="1"/>
                <w:color w:val="FFFFFF"/>
              </w:rPr>
              <w:t>3Q22</w:t>
            </w:r>
          </w:p>
        </w:tc>
        <w:tc>
          <w:tcPr>
            <w:tcW w:w="1380" w:type="dxa"/>
            <w:vAlign w:val="bottom"/>
            <w:tcBorders>
              <w:bottom w:val="single" w:sz="8" w:color="2AD2C9"/>
            </w:tcBorders>
            <w:shd w:val="clear" w:color="auto" w:fill="2AD2C9"/>
          </w:tcPr>
          <w:p>
            <w:pPr>
              <w:jc w:val="right"/>
              <w:ind w:right="633"/>
              <w:spacing w:after="0"/>
              <w:rPr>
                <w:sz w:val="20"/>
                <w:szCs w:val="20"/>
                <w:color w:val="auto"/>
              </w:rPr>
            </w:pPr>
            <w:r>
              <w:rPr>
                <w:rFonts w:ascii="Arial" w:cs="Arial" w:eastAsia="Arial" w:hAnsi="Arial"/>
                <w:sz w:val="13"/>
                <w:szCs w:val="13"/>
                <w:b w:val="1"/>
                <w:bCs w:val="1"/>
                <w:color w:val="FFFFFF"/>
              </w:rPr>
              <w:t>3Q22</w:t>
            </w:r>
          </w:p>
        </w:tc>
        <w:tc>
          <w:tcPr>
            <w:tcW w:w="880" w:type="dxa"/>
            <w:vAlign w:val="bottom"/>
            <w:tcBorders>
              <w:bottom w:val="single" w:sz="8" w:color="2AD2C9"/>
              <w:right w:val="single" w:sz="8" w:color="auto"/>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3Q22</w:t>
            </w:r>
          </w:p>
        </w:tc>
        <w:tc>
          <w:tcPr>
            <w:tcW w:w="1000" w:type="dxa"/>
            <w:vAlign w:val="bottom"/>
            <w:tcBorders>
              <w:bottom w:val="single" w:sz="8" w:color="2AD2C9"/>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4Q22</w:t>
            </w:r>
          </w:p>
        </w:tc>
        <w:tc>
          <w:tcPr>
            <w:tcW w:w="900" w:type="dxa"/>
            <w:vAlign w:val="bottom"/>
            <w:tcBorders>
              <w:bottom w:val="single" w:sz="8" w:color="2AD2C9"/>
            </w:tcBorders>
            <w:shd w:val="clear" w:color="auto" w:fill="2AD2C9"/>
          </w:tcPr>
          <w:p>
            <w:pPr>
              <w:jc w:val="right"/>
              <w:ind w:right="313"/>
              <w:spacing w:after="0"/>
              <w:rPr>
                <w:sz w:val="20"/>
                <w:szCs w:val="20"/>
                <w:color w:val="auto"/>
              </w:rPr>
            </w:pPr>
            <w:r>
              <w:rPr>
                <w:rFonts w:ascii="Arial" w:cs="Arial" w:eastAsia="Arial" w:hAnsi="Arial"/>
                <w:sz w:val="13"/>
                <w:szCs w:val="13"/>
                <w:b w:val="1"/>
                <w:bCs w:val="1"/>
                <w:color w:val="FFFFFF"/>
              </w:rPr>
              <w:t>4Q22</w:t>
            </w:r>
          </w:p>
        </w:tc>
        <w:tc>
          <w:tcPr>
            <w:tcW w:w="880" w:type="dxa"/>
            <w:vAlign w:val="bottom"/>
            <w:tcBorders>
              <w:bottom w:val="single" w:sz="8" w:color="2AD2C9"/>
              <w:right w:val="single" w:sz="8" w:color="auto"/>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4Q22</w:t>
            </w:r>
          </w:p>
        </w:tc>
        <w:tc>
          <w:tcPr>
            <w:tcW w:w="0" w:type="dxa"/>
            <w:vAlign w:val="bottom"/>
          </w:tcPr>
          <w:p>
            <w:pPr>
              <w:spacing w:after="0"/>
              <w:rPr>
                <w:sz w:val="1"/>
                <w:szCs w:val="1"/>
                <w:color w:val="auto"/>
              </w:rPr>
            </w:pPr>
          </w:p>
        </w:tc>
      </w:tr>
      <w:tr>
        <w:trPr>
          <w:trHeight w:val="128"/>
        </w:trPr>
        <w:tc>
          <w:tcPr>
            <w:tcW w:w="3660" w:type="dxa"/>
            <w:vAlign w:val="bottom"/>
            <w:tcBorders>
              <w:top w:val="single" w:sz="8" w:color="auto"/>
              <w:left w:val="single" w:sz="8" w:color="auto"/>
              <w:right w:val="single" w:sz="8" w:color="auto"/>
            </w:tcBorders>
          </w:tcPr>
          <w:p>
            <w:pPr>
              <w:ind w:left="60"/>
              <w:spacing w:after="0" w:line="128" w:lineRule="exact"/>
              <w:rPr>
                <w:sz w:val="20"/>
                <w:szCs w:val="20"/>
                <w:color w:val="auto"/>
              </w:rPr>
            </w:pPr>
            <w:r>
              <w:rPr>
                <w:rFonts w:ascii="Arial" w:cs="Arial" w:eastAsia="Arial" w:hAnsi="Arial"/>
                <w:sz w:val="13"/>
                <w:szCs w:val="13"/>
                <w:color w:val="auto"/>
              </w:rPr>
              <w:t>Affiliates</w:t>
            </w:r>
          </w:p>
        </w:tc>
        <w:tc>
          <w:tcPr>
            <w:tcW w:w="1680" w:type="dxa"/>
            <w:vAlign w:val="bottom"/>
            <w:tcBorders>
              <w:top w:val="single" w:sz="8" w:color="auto"/>
            </w:tcBorders>
          </w:tcPr>
          <w:p>
            <w:pPr>
              <w:jc w:val="right"/>
              <w:ind w:right="213"/>
              <w:spacing w:after="0" w:line="128" w:lineRule="exact"/>
              <w:rPr>
                <w:sz w:val="20"/>
                <w:szCs w:val="20"/>
                <w:color w:val="auto"/>
              </w:rPr>
            </w:pPr>
            <w:r>
              <w:rPr>
                <w:rFonts w:ascii="Arial" w:cs="Arial" w:eastAsia="Arial" w:hAnsi="Arial"/>
                <w:sz w:val="13"/>
                <w:szCs w:val="13"/>
                <w:color w:val="auto"/>
              </w:rPr>
              <w:t>2,346,509</w:t>
            </w:r>
          </w:p>
        </w:tc>
        <w:tc>
          <w:tcPr>
            <w:tcW w:w="1380" w:type="dxa"/>
            <w:vAlign w:val="bottom"/>
            <w:tcBorders>
              <w:top w:val="single" w:sz="8" w:color="auto"/>
            </w:tcBorders>
          </w:tcPr>
          <w:p>
            <w:pPr>
              <w:jc w:val="right"/>
              <w:ind w:right="33"/>
              <w:spacing w:after="0" w:line="128" w:lineRule="exact"/>
              <w:rPr>
                <w:sz w:val="20"/>
                <w:szCs w:val="20"/>
                <w:color w:val="auto"/>
              </w:rPr>
            </w:pPr>
            <w:r>
              <w:rPr>
                <w:rFonts w:ascii="Arial" w:cs="Arial" w:eastAsia="Arial" w:hAnsi="Arial"/>
                <w:sz w:val="13"/>
                <w:szCs w:val="13"/>
                <w:color w:val="auto"/>
              </w:rPr>
              <w:t>8,684,144</w:t>
            </w:r>
          </w:p>
        </w:tc>
        <w:tc>
          <w:tcPr>
            <w:tcW w:w="880" w:type="dxa"/>
            <w:vAlign w:val="bottom"/>
            <w:tcBorders>
              <w:top w:val="single" w:sz="8" w:color="auto"/>
              <w:right w:val="single" w:sz="8" w:color="auto"/>
            </w:tcBorders>
          </w:tcPr>
          <w:p>
            <w:pPr>
              <w:jc w:val="right"/>
              <w:spacing w:after="0" w:line="128" w:lineRule="exact"/>
              <w:rPr>
                <w:sz w:val="20"/>
                <w:szCs w:val="20"/>
                <w:color w:val="auto"/>
              </w:rPr>
            </w:pPr>
            <w:r>
              <w:rPr>
                <w:rFonts w:ascii="Arial" w:cs="Arial" w:eastAsia="Arial" w:hAnsi="Arial"/>
                <w:sz w:val="13"/>
                <w:szCs w:val="13"/>
                <w:color w:val="auto"/>
              </w:rPr>
              <w:t>27.0%</w:t>
            </w:r>
          </w:p>
        </w:tc>
        <w:tc>
          <w:tcPr>
            <w:tcW w:w="1000" w:type="dxa"/>
            <w:vAlign w:val="bottom"/>
            <w:tcBorders>
              <w:top w:val="single" w:sz="8" w:color="auto"/>
            </w:tcBorders>
          </w:tcPr>
          <w:p>
            <w:pPr>
              <w:jc w:val="right"/>
              <w:ind w:right="53"/>
              <w:spacing w:after="0" w:line="128" w:lineRule="exact"/>
              <w:rPr>
                <w:sz w:val="20"/>
                <w:szCs w:val="20"/>
                <w:color w:val="auto"/>
              </w:rPr>
            </w:pPr>
            <w:r>
              <w:rPr>
                <w:rFonts w:ascii="Arial" w:cs="Arial" w:eastAsia="Arial" w:hAnsi="Arial"/>
                <w:sz w:val="13"/>
                <w:szCs w:val="13"/>
                <w:color w:val="auto"/>
              </w:rPr>
              <w:t>2,344,701</w:t>
            </w:r>
          </w:p>
        </w:tc>
        <w:tc>
          <w:tcPr>
            <w:tcW w:w="900" w:type="dxa"/>
            <w:vAlign w:val="bottom"/>
            <w:tcBorders>
              <w:top w:val="single" w:sz="8" w:color="auto"/>
            </w:tcBorders>
          </w:tcPr>
          <w:p>
            <w:pPr>
              <w:jc w:val="right"/>
              <w:ind w:right="33"/>
              <w:spacing w:after="0" w:line="128" w:lineRule="exact"/>
              <w:rPr>
                <w:sz w:val="20"/>
                <w:szCs w:val="20"/>
                <w:color w:val="auto"/>
              </w:rPr>
            </w:pPr>
            <w:r>
              <w:rPr>
                <w:rFonts w:ascii="Arial" w:cs="Arial" w:eastAsia="Arial" w:hAnsi="Arial"/>
                <w:sz w:val="13"/>
                <w:szCs w:val="13"/>
                <w:color w:val="auto"/>
              </w:rPr>
              <w:t>8,816,304</w:t>
            </w:r>
          </w:p>
        </w:tc>
        <w:tc>
          <w:tcPr>
            <w:tcW w:w="880" w:type="dxa"/>
            <w:vAlign w:val="bottom"/>
            <w:tcBorders>
              <w:top w:val="single" w:sz="8" w:color="auto"/>
              <w:right w:val="single" w:sz="8" w:color="auto"/>
            </w:tcBorders>
          </w:tcPr>
          <w:p>
            <w:pPr>
              <w:jc w:val="right"/>
              <w:ind w:right="13"/>
              <w:spacing w:after="0" w:line="128" w:lineRule="exact"/>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66"/>
        </w:trPr>
        <w:tc>
          <w:tcPr>
            <w:tcW w:w="3660" w:type="dxa"/>
            <w:vAlign w:val="bottom"/>
            <w:tcBorders>
              <w:left w:val="single" w:sz="8" w:color="auto"/>
              <w:right w:val="single" w:sz="8" w:color="auto"/>
            </w:tcBorders>
          </w:tcPr>
          <w:p>
            <w:pPr>
              <w:ind w:left="60"/>
              <w:spacing w:after="0" w:line="166" w:lineRule="exact"/>
              <w:rPr>
                <w:sz w:val="20"/>
                <w:szCs w:val="20"/>
                <w:color w:val="auto"/>
              </w:rPr>
            </w:pPr>
            <w:r>
              <w:rPr>
                <w:rFonts w:ascii="Arial" w:cs="Arial" w:eastAsia="Arial" w:hAnsi="Arial"/>
                <w:sz w:val="12"/>
                <w:szCs w:val="12"/>
                <w:color w:val="auto"/>
              </w:rPr>
              <w:t xml:space="preserve">New affiliations </w:t>
            </w:r>
            <w:r>
              <w:rPr>
                <w:rFonts w:ascii="Arial" w:cs="Arial" w:eastAsia="Arial" w:hAnsi="Arial"/>
                <w:sz w:val="19"/>
                <w:szCs w:val="19"/>
                <w:color w:val="auto"/>
                <w:vertAlign w:val="superscript"/>
              </w:rPr>
              <w:t>(1)</w:t>
            </w:r>
          </w:p>
        </w:tc>
        <w:tc>
          <w:tcPr>
            <w:tcW w:w="168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3"/>
              <w:spacing w:after="0"/>
              <w:rPr>
                <w:sz w:val="20"/>
                <w:szCs w:val="20"/>
                <w:color w:val="auto"/>
              </w:rPr>
            </w:pPr>
            <w:r>
              <w:rPr>
                <w:rFonts w:ascii="Arial" w:cs="Arial" w:eastAsia="Arial" w:hAnsi="Arial"/>
                <w:sz w:val="13"/>
                <w:szCs w:val="13"/>
                <w:color w:val="auto"/>
              </w:rPr>
              <w:t>158,592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0.0%</w:t>
            </w:r>
          </w:p>
        </w:tc>
        <w:tc>
          <w:tcPr>
            <w:tcW w:w="100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136,632</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1"/>
        </w:trPr>
        <w:tc>
          <w:tcPr>
            <w:tcW w:w="3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Funds under management (S/ Millions)</w:t>
            </w:r>
          </w:p>
        </w:tc>
        <w:tc>
          <w:tcPr>
            <w:tcW w:w="1680" w:type="dxa"/>
            <w:vAlign w:val="bottom"/>
          </w:tcPr>
          <w:p>
            <w:pPr>
              <w:jc w:val="right"/>
              <w:ind w:right="213"/>
              <w:spacing w:after="0"/>
              <w:rPr>
                <w:sz w:val="20"/>
                <w:szCs w:val="20"/>
                <w:color w:val="auto"/>
              </w:rPr>
            </w:pPr>
            <w:r>
              <w:rPr>
                <w:rFonts w:ascii="Arial" w:cs="Arial" w:eastAsia="Arial" w:hAnsi="Arial"/>
                <w:sz w:val="13"/>
                <w:szCs w:val="13"/>
                <w:color w:val="auto"/>
              </w:rPr>
              <w:t>30,755</w:t>
            </w:r>
          </w:p>
        </w:tc>
        <w:tc>
          <w:tcPr>
            <w:tcW w:w="1380" w:type="dxa"/>
            <w:vAlign w:val="bottom"/>
          </w:tcPr>
          <w:p>
            <w:pPr>
              <w:jc w:val="right"/>
              <w:ind w:right="33"/>
              <w:spacing w:after="0"/>
              <w:rPr>
                <w:sz w:val="20"/>
                <w:szCs w:val="20"/>
                <w:color w:val="auto"/>
              </w:rPr>
            </w:pPr>
            <w:r>
              <w:rPr>
                <w:rFonts w:ascii="Arial" w:cs="Arial" w:eastAsia="Arial" w:hAnsi="Arial"/>
                <w:sz w:val="13"/>
                <w:szCs w:val="13"/>
                <w:color w:val="auto"/>
              </w:rPr>
              <w:t>103,106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31,850</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105,863</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51"/>
        </w:trPr>
        <w:tc>
          <w:tcPr>
            <w:tcW w:w="36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Collections (S/ Millions)</w:t>
            </w:r>
          </w:p>
        </w:tc>
        <w:tc>
          <w:tcPr>
            <w:tcW w:w="1680" w:type="dxa"/>
            <w:vAlign w:val="bottom"/>
          </w:tcPr>
          <w:p>
            <w:pPr>
              <w:jc w:val="right"/>
              <w:ind w:right="213"/>
              <w:spacing w:after="0"/>
              <w:rPr>
                <w:sz w:val="20"/>
                <w:szCs w:val="20"/>
                <w:color w:val="auto"/>
              </w:rPr>
            </w:pPr>
            <w:r>
              <w:rPr>
                <w:rFonts w:ascii="Arial" w:cs="Arial" w:eastAsia="Arial" w:hAnsi="Arial"/>
                <w:sz w:val="13"/>
                <w:szCs w:val="13"/>
                <w:color w:val="auto"/>
              </w:rPr>
              <w:t>982</w:t>
            </w:r>
          </w:p>
        </w:tc>
        <w:tc>
          <w:tcPr>
            <w:tcW w:w="1380" w:type="dxa"/>
            <w:vAlign w:val="bottom"/>
          </w:tcPr>
          <w:p>
            <w:pPr>
              <w:jc w:val="right"/>
              <w:ind w:right="33"/>
              <w:spacing w:after="0"/>
              <w:rPr>
                <w:sz w:val="20"/>
                <w:szCs w:val="20"/>
                <w:color w:val="auto"/>
              </w:rPr>
            </w:pPr>
            <w:r>
              <w:rPr>
                <w:rFonts w:ascii="Arial" w:cs="Arial" w:eastAsia="Arial" w:hAnsi="Arial"/>
                <w:sz w:val="13"/>
                <w:szCs w:val="13"/>
                <w:color w:val="auto"/>
              </w:rPr>
              <w:t>3,641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27.0%</w:t>
            </w: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1005</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3,620</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35"/>
        </w:trPr>
        <w:tc>
          <w:tcPr>
            <w:tcW w:w="3660" w:type="dxa"/>
            <w:vAlign w:val="bottom"/>
            <w:tcBorders>
              <w:left w:val="single" w:sz="8" w:color="auto"/>
              <w:right w:val="single" w:sz="8" w:color="auto"/>
            </w:tcBorders>
          </w:tcPr>
          <w:p>
            <w:pPr>
              <w:ind w:left="60"/>
              <w:spacing w:after="0" w:line="136" w:lineRule="exact"/>
              <w:rPr>
                <w:sz w:val="20"/>
                <w:szCs w:val="20"/>
                <w:color w:val="auto"/>
              </w:rPr>
            </w:pPr>
            <w:r>
              <w:rPr>
                <w:rFonts w:ascii="Arial" w:cs="Arial" w:eastAsia="Arial" w:hAnsi="Arial"/>
                <w:sz w:val="13"/>
                <w:szCs w:val="13"/>
                <w:color w:val="auto"/>
              </w:rPr>
              <w:t>Voluntary contributions (S/ Millions)</w:t>
            </w:r>
          </w:p>
        </w:tc>
        <w:tc>
          <w:tcPr>
            <w:tcW w:w="1680" w:type="dxa"/>
            <w:vAlign w:val="bottom"/>
          </w:tcPr>
          <w:p>
            <w:pPr>
              <w:jc w:val="right"/>
              <w:ind w:right="213"/>
              <w:spacing w:after="0" w:line="136" w:lineRule="exact"/>
              <w:rPr>
                <w:sz w:val="20"/>
                <w:szCs w:val="20"/>
                <w:color w:val="auto"/>
              </w:rPr>
            </w:pPr>
            <w:r>
              <w:rPr>
                <w:rFonts w:ascii="Arial" w:cs="Arial" w:eastAsia="Arial" w:hAnsi="Arial"/>
                <w:sz w:val="13"/>
                <w:szCs w:val="13"/>
                <w:color w:val="auto"/>
              </w:rPr>
              <w:t>810</w:t>
            </w:r>
          </w:p>
        </w:tc>
        <w:tc>
          <w:tcPr>
            <w:tcW w:w="13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2,214</w:t>
            </w:r>
          </w:p>
        </w:tc>
        <w:tc>
          <w:tcPr>
            <w:tcW w:w="88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36.6%</w:t>
            </w:r>
          </w:p>
        </w:tc>
        <w:tc>
          <w:tcPr>
            <w:tcW w:w="1000" w:type="dxa"/>
            <w:vAlign w:val="bottom"/>
          </w:tcPr>
          <w:p>
            <w:pPr>
              <w:jc w:val="right"/>
              <w:ind w:right="53"/>
              <w:spacing w:after="0" w:line="136" w:lineRule="exact"/>
              <w:rPr>
                <w:sz w:val="20"/>
                <w:szCs w:val="20"/>
                <w:color w:val="auto"/>
              </w:rPr>
            </w:pPr>
            <w:r>
              <w:rPr>
                <w:rFonts w:ascii="Arial" w:cs="Arial" w:eastAsia="Arial" w:hAnsi="Arial"/>
                <w:sz w:val="13"/>
                <w:szCs w:val="13"/>
                <w:color w:val="auto"/>
              </w:rPr>
              <w:t>781</w:t>
            </w:r>
          </w:p>
        </w:tc>
        <w:tc>
          <w:tcPr>
            <w:tcW w:w="900" w:type="dxa"/>
            <w:vAlign w:val="bottom"/>
          </w:tcPr>
          <w:p>
            <w:pPr>
              <w:jc w:val="right"/>
              <w:ind w:right="33"/>
              <w:spacing w:after="0" w:line="136" w:lineRule="exact"/>
              <w:rPr>
                <w:sz w:val="20"/>
                <w:szCs w:val="20"/>
                <w:color w:val="auto"/>
              </w:rPr>
            </w:pPr>
            <w:r>
              <w:rPr>
                <w:rFonts w:ascii="Arial" w:cs="Arial" w:eastAsia="Arial" w:hAnsi="Arial"/>
                <w:sz w:val="13"/>
                <w:szCs w:val="13"/>
                <w:color w:val="auto"/>
              </w:rPr>
              <w:t>2,110</w:t>
            </w:r>
          </w:p>
        </w:tc>
        <w:tc>
          <w:tcPr>
            <w:tcW w:w="880" w:type="dxa"/>
            <w:vAlign w:val="bottom"/>
            <w:tcBorders>
              <w:right w:val="single" w:sz="8" w:color="auto"/>
            </w:tcBorders>
          </w:tcPr>
          <w:p>
            <w:pPr>
              <w:jc w:val="right"/>
              <w:ind w:right="13"/>
              <w:spacing w:after="0" w:line="136" w:lineRule="exact"/>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79"/>
        </w:trPr>
        <w:tc>
          <w:tcPr>
            <w:tcW w:w="3660" w:type="dxa"/>
            <w:vAlign w:val="bottom"/>
            <w:tcBorders>
              <w:left w:val="single" w:sz="8" w:color="auto"/>
              <w:bottom w:val="single" w:sz="8" w:color="auto"/>
              <w:right w:val="single" w:sz="8" w:color="auto"/>
            </w:tcBorders>
          </w:tcPr>
          <w:p>
            <w:pPr>
              <w:ind w:left="60"/>
              <w:spacing w:after="0" w:line="174" w:lineRule="exact"/>
              <w:rPr>
                <w:sz w:val="20"/>
                <w:szCs w:val="20"/>
                <w:color w:val="auto"/>
              </w:rPr>
            </w:pPr>
            <w:r>
              <w:rPr>
                <w:rFonts w:ascii="Arial" w:cs="Arial" w:eastAsia="Arial" w:hAnsi="Arial"/>
                <w:sz w:val="12"/>
                <w:szCs w:val="12"/>
                <w:color w:val="auto"/>
              </w:rPr>
              <w:t xml:space="preserve">RAM Flow (S/ Millions) </w:t>
            </w:r>
            <w:r>
              <w:rPr>
                <w:rFonts w:ascii="Arial" w:cs="Arial" w:eastAsia="Arial" w:hAnsi="Arial"/>
                <w:sz w:val="20"/>
                <w:szCs w:val="20"/>
                <w:color w:val="auto"/>
                <w:vertAlign w:val="superscript"/>
              </w:rPr>
              <w:t>(2)</w:t>
            </w:r>
          </w:p>
        </w:tc>
        <w:tc>
          <w:tcPr>
            <w:tcW w:w="16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1,409</w:t>
            </w:r>
          </w:p>
        </w:tc>
        <w:tc>
          <w:tcPr>
            <w:tcW w:w="13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4,538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31.1%</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1,340</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4,452</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Source: SBS</w:t>
      </w:r>
    </w:p>
    <w:p>
      <w:pPr>
        <w:ind w:left="200" w:hanging="179"/>
        <w:spacing w:after="0" w:line="218" w:lineRule="auto"/>
        <w:tabs>
          <w:tab w:leader="none" w:pos="2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As of June 2019, another AFP has the exclusivity of affiliations.</w:t>
      </w:r>
    </w:p>
    <w:p>
      <w:pPr>
        <w:ind w:left="200" w:hanging="179"/>
        <w:spacing w:after="0"/>
        <w:tabs>
          <w:tab w:leader="none" w:pos="2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Prima AFP estimate: Average of aggregated income for flow during the last 4 months, excluding special collections and voluntary contribution fees.</w:t>
      </w:r>
    </w:p>
    <w:p>
      <w:pPr>
        <w:spacing w:after="0" w:line="14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41845"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80"/>
          </w:cols>
          <w:pgMar w:left="300" w:top="433" w:right="319" w:bottom="1440" w:gutter="0" w:footer="0" w:header="0"/>
        </w:sectPr>
      </w:pPr>
    </w:p>
    <w:bookmarkStart w:id="67" w:name="page68"/>
    <w:bookmarkEnd w:id="67"/>
    <w:p>
      <w:pPr>
        <w:ind w:left="2980"/>
        <w:spacing w:after="0"/>
        <w:tabs>
          <w:tab w:leader="none" w:pos="752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88900</wp:posOffset>
            </wp:positionV>
            <wp:extent cx="7141845" cy="535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41845" cy="3517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1845" cy="3517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FFFFFF"/>
        </w:rPr>
        <w:t>12. Appendix</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12.5.8. Grupo Pacifico</w:t>
      </w:r>
    </w:p>
    <w:p>
      <w:pPr>
        <w:spacing w:after="0" w:line="224"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GRUPO PACIFICO</w:t>
      </w:r>
    </w:p>
    <w:p>
      <w:pPr>
        <w:spacing w:after="0" w:line="18" w:lineRule="exact"/>
        <w:rPr>
          <w:sz w:val="20"/>
          <w:szCs w:val="20"/>
          <w:color w:val="auto"/>
        </w:rPr>
      </w:pPr>
    </w:p>
    <w:p>
      <w:pPr>
        <w:ind w:left="5020"/>
        <w:spacing w:after="0"/>
        <w:rPr>
          <w:sz w:val="20"/>
          <w:szCs w:val="20"/>
          <w:color w:val="auto"/>
        </w:rPr>
      </w:pPr>
      <w:r>
        <w:rPr>
          <w:rFonts w:ascii="Arial" w:cs="Arial" w:eastAsia="Arial" w:hAnsi="Arial"/>
          <w:sz w:val="15"/>
          <w:szCs w:val="15"/>
          <w:b w:val="1"/>
          <w:bCs w:val="1"/>
          <w:color w:val="auto"/>
        </w:rPr>
        <w:t>(S/ in thousands )</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860" w:type="dxa"/>
            <w:vAlign w:val="bottom"/>
            <w:tcBorders>
              <w:right w:val="single" w:sz="8" w:color="auto"/>
            </w:tcBorders>
          </w:tcPr>
          <w:p>
            <w:pPr>
              <w:spacing w:after="0"/>
              <w:rPr>
                <w:sz w:val="14"/>
                <w:szCs w:val="14"/>
                <w:color w:val="auto"/>
              </w:rPr>
            </w:pPr>
          </w:p>
        </w:tc>
        <w:tc>
          <w:tcPr>
            <w:tcW w:w="1120" w:type="dxa"/>
            <w:vAlign w:val="bottom"/>
            <w:tcBorders>
              <w:top w:val="single" w:sz="8" w:color="auto"/>
            </w:tcBorders>
            <w:shd w:val="clear" w:color="auto" w:fill="2AD2C9"/>
          </w:tcPr>
          <w:p>
            <w:pPr>
              <w:spacing w:after="0"/>
              <w:rPr>
                <w:sz w:val="14"/>
                <w:szCs w:val="14"/>
                <w:color w:val="auto"/>
              </w:rPr>
            </w:pPr>
          </w:p>
        </w:tc>
        <w:tc>
          <w:tcPr>
            <w:tcW w:w="1000" w:type="dxa"/>
            <w:vAlign w:val="bottom"/>
            <w:tcBorders>
              <w:top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As of</w:t>
            </w:r>
          </w:p>
        </w:tc>
        <w:tc>
          <w:tcPr>
            <w:tcW w:w="940" w:type="dxa"/>
            <w:vAlign w:val="bottom"/>
            <w:tcBorders>
              <w:top w:val="single" w:sz="8" w:color="auto"/>
              <w:right w:val="single" w:sz="8" w:color="auto"/>
            </w:tcBorders>
            <w:shd w:val="clear" w:color="auto" w:fill="2AD2C9"/>
          </w:tcPr>
          <w:p>
            <w:pPr>
              <w:spacing w:after="0"/>
              <w:rPr>
                <w:sz w:val="14"/>
                <w:szCs w:val="14"/>
                <w:color w:val="auto"/>
              </w:rPr>
            </w:pPr>
          </w:p>
        </w:tc>
        <w:tc>
          <w:tcPr>
            <w:tcW w:w="1560" w:type="dxa"/>
            <w:vAlign w:val="bottom"/>
            <w:tcBorders>
              <w:top w:val="single" w:sz="8" w:color="auto"/>
              <w:right w:val="single" w:sz="8" w:color="auto"/>
            </w:tcBorders>
            <w:gridSpan w:val="2"/>
            <w:shd w:val="clear" w:color="auto" w:fill="2AD2C9"/>
          </w:tcPr>
          <w:p>
            <w:pPr>
              <w:ind w:left="480"/>
              <w:spacing w:after="0"/>
              <w:rPr>
                <w:sz w:val="20"/>
                <w:szCs w:val="20"/>
                <w:color w:val="auto"/>
              </w:rPr>
            </w:pPr>
            <w:r>
              <w:rPr>
                <w:rFonts w:ascii="Arial" w:cs="Arial" w:eastAsia="Arial" w:hAnsi="Arial"/>
                <w:sz w:val="13"/>
                <w:szCs w:val="13"/>
                <w:b w:val="1"/>
                <w:bCs w:val="1"/>
                <w:color w:val="FFFFFF"/>
              </w:rPr>
              <w:t>% change</w:t>
            </w:r>
          </w:p>
        </w:tc>
      </w:tr>
      <w:tr>
        <w:trPr>
          <w:trHeight w:val="166"/>
        </w:trPr>
        <w:tc>
          <w:tcPr>
            <w:tcW w:w="38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Dec 21</w:t>
            </w:r>
          </w:p>
        </w:tc>
        <w:tc>
          <w:tcPr>
            <w:tcW w:w="1000" w:type="dxa"/>
            <w:vAlign w:val="bottom"/>
            <w:tcBorders>
              <w:bottom w:val="single" w:sz="8" w:color="auto"/>
            </w:tcBorders>
            <w:shd w:val="clear" w:color="auto" w:fill="2AD2C9"/>
          </w:tcPr>
          <w:p>
            <w:pPr>
              <w:jc w:val="right"/>
              <w:ind w:right="373"/>
              <w:spacing w:after="0"/>
              <w:rPr>
                <w:sz w:val="20"/>
                <w:szCs w:val="20"/>
                <w:color w:val="auto"/>
              </w:rPr>
            </w:pPr>
            <w:r>
              <w:rPr>
                <w:rFonts w:ascii="Arial" w:cs="Arial" w:eastAsia="Arial" w:hAnsi="Arial"/>
                <w:sz w:val="13"/>
                <w:szCs w:val="13"/>
                <w:b w:val="1"/>
                <w:bCs w:val="1"/>
                <w:color w:val="FFFFFF"/>
              </w:rPr>
              <w:t>Set 22</w:t>
            </w:r>
          </w:p>
        </w:tc>
        <w:tc>
          <w:tcPr>
            <w:tcW w:w="940" w:type="dxa"/>
            <w:vAlign w:val="bottom"/>
            <w:tcBorders>
              <w:bottom w:val="single" w:sz="8" w:color="auto"/>
              <w:right w:val="single" w:sz="8" w:color="auto"/>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Dec 22</w:t>
            </w:r>
          </w:p>
        </w:tc>
        <w:tc>
          <w:tcPr>
            <w:tcW w:w="76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3"/>
                <w:szCs w:val="13"/>
                <w:b w:val="1"/>
                <w:bCs w:val="1"/>
                <w:color w:val="FFFFFF"/>
              </w:rPr>
              <w:t>QoQ</w:t>
            </w:r>
          </w:p>
        </w:tc>
        <w:tc>
          <w:tcPr>
            <w:tcW w:w="800" w:type="dxa"/>
            <w:vAlign w:val="bottom"/>
            <w:tcBorders>
              <w:bottom w:val="single" w:sz="8" w:color="auto"/>
              <w:right w:val="single" w:sz="8" w:color="auto"/>
            </w:tcBorders>
            <w:shd w:val="clear" w:color="auto" w:fill="2AD2C9"/>
          </w:tcPr>
          <w:p>
            <w:pPr>
              <w:ind w:left="240"/>
              <w:spacing w:after="0"/>
              <w:rPr>
                <w:sz w:val="20"/>
                <w:szCs w:val="20"/>
                <w:color w:val="auto"/>
              </w:rPr>
            </w:pPr>
            <w:r>
              <w:rPr>
                <w:rFonts w:ascii="Arial" w:cs="Arial" w:eastAsia="Arial" w:hAnsi="Arial"/>
                <w:sz w:val="13"/>
                <w:szCs w:val="13"/>
                <w:b w:val="1"/>
                <w:bCs w:val="1"/>
                <w:color w:val="FFFFFF"/>
              </w:rPr>
              <w:t>YoY</w:t>
            </w:r>
          </w:p>
        </w:tc>
      </w:tr>
      <w:tr>
        <w:trPr>
          <w:trHeight w:val="128"/>
        </w:trPr>
        <w:tc>
          <w:tcPr>
            <w:tcW w:w="3860" w:type="dxa"/>
            <w:vAlign w:val="bottom"/>
            <w:tcBorders>
              <w:left w:val="single" w:sz="8" w:color="auto"/>
              <w:right w:val="single" w:sz="8" w:color="auto"/>
            </w:tcBorders>
          </w:tcPr>
          <w:p>
            <w:pPr>
              <w:ind w:left="60"/>
              <w:spacing w:after="0" w:line="128" w:lineRule="exact"/>
              <w:rPr>
                <w:sz w:val="20"/>
                <w:szCs w:val="20"/>
                <w:color w:val="auto"/>
              </w:rPr>
            </w:pPr>
            <w:r>
              <w:rPr>
                <w:rFonts w:ascii="Arial" w:cs="Arial" w:eastAsia="Arial" w:hAnsi="Arial"/>
                <w:sz w:val="13"/>
                <w:szCs w:val="13"/>
                <w:color w:val="auto"/>
              </w:rPr>
              <w:t>Total assets</w:t>
            </w:r>
          </w:p>
        </w:tc>
        <w:tc>
          <w:tcPr>
            <w:tcW w:w="1120" w:type="dxa"/>
            <w:vAlign w:val="bottom"/>
          </w:tcPr>
          <w:p>
            <w:pPr>
              <w:jc w:val="right"/>
              <w:ind w:right="93"/>
              <w:spacing w:after="0" w:line="128" w:lineRule="exact"/>
              <w:rPr>
                <w:sz w:val="20"/>
                <w:szCs w:val="20"/>
                <w:color w:val="auto"/>
              </w:rPr>
            </w:pPr>
            <w:r>
              <w:rPr>
                <w:rFonts w:ascii="Arial" w:cs="Arial" w:eastAsia="Arial" w:hAnsi="Arial"/>
                <w:sz w:val="13"/>
                <w:szCs w:val="13"/>
                <w:color w:val="auto"/>
              </w:rPr>
              <w:t>16,487,225</w:t>
            </w:r>
          </w:p>
        </w:tc>
        <w:tc>
          <w:tcPr>
            <w:tcW w:w="1000" w:type="dxa"/>
            <w:vAlign w:val="bottom"/>
          </w:tcPr>
          <w:p>
            <w:pPr>
              <w:jc w:val="right"/>
              <w:ind w:right="73"/>
              <w:spacing w:after="0" w:line="128" w:lineRule="exact"/>
              <w:rPr>
                <w:sz w:val="20"/>
                <w:szCs w:val="20"/>
                <w:color w:val="auto"/>
              </w:rPr>
            </w:pPr>
            <w:r>
              <w:rPr>
                <w:rFonts w:ascii="Arial" w:cs="Arial" w:eastAsia="Arial" w:hAnsi="Arial"/>
                <w:sz w:val="13"/>
                <w:szCs w:val="13"/>
                <w:color w:val="auto"/>
              </w:rPr>
              <w:t>15,302,437</w:t>
            </w:r>
          </w:p>
        </w:tc>
        <w:tc>
          <w:tcPr>
            <w:tcW w:w="940" w:type="dxa"/>
            <w:vAlign w:val="bottom"/>
            <w:tcBorders>
              <w:right w:val="single" w:sz="8" w:color="auto"/>
            </w:tcBorders>
          </w:tcPr>
          <w:p>
            <w:pPr>
              <w:jc w:val="right"/>
              <w:ind w:right="13"/>
              <w:spacing w:after="0" w:line="128" w:lineRule="exact"/>
              <w:rPr>
                <w:sz w:val="20"/>
                <w:szCs w:val="20"/>
                <w:color w:val="auto"/>
              </w:rPr>
            </w:pPr>
            <w:r>
              <w:rPr>
                <w:rFonts w:ascii="Arial" w:cs="Arial" w:eastAsia="Arial" w:hAnsi="Arial"/>
                <w:sz w:val="13"/>
                <w:szCs w:val="13"/>
                <w:color w:val="auto"/>
              </w:rPr>
              <w:t>15,899,565</w:t>
            </w:r>
          </w:p>
        </w:tc>
        <w:tc>
          <w:tcPr>
            <w:tcW w:w="760" w:type="dxa"/>
            <w:vAlign w:val="bottom"/>
          </w:tcPr>
          <w:p>
            <w:pPr>
              <w:jc w:val="center"/>
              <w:spacing w:after="0" w:line="128" w:lineRule="exact"/>
              <w:rPr>
                <w:sz w:val="20"/>
                <w:szCs w:val="20"/>
                <w:color w:val="auto"/>
              </w:rPr>
            </w:pPr>
            <w:r>
              <w:rPr>
                <w:rFonts w:ascii="Arial" w:cs="Arial" w:eastAsia="Arial" w:hAnsi="Arial"/>
                <w:sz w:val="13"/>
                <w:szCs w:val="13"/>
                <w:color w:val="auto"/>
              </w:rPr>
              <w:t>3.9%</w:t>
            </w:r>
          </w:p>
        </w:tc>
        <w:tc>
          <w:tcPr>
            <w:tcW w:w="800" w:type="dxa"/>
            <w:vAlign w:val="bottom"/>
            <w:tcBorders>
              <w:right w:val="single" w:sz="8" w:color="auto"/>
            </w:tcBorders>
          </w:tcPr>
          <w:p>
            <w:pPr>
              <w:jc w:val="center"/>
              <w:spacing w:after="0" w:line="128" w:lineRule="exact"/>
              <w:rPr>
                <w:sz w:val="20"/>
                <w:szCs w:val="20"/>
                <w:color w:val="auto"/>
              </w:rPr>
            </w:pPr>
            <w:r>
              <w:rPr>
                <w:rFonts w:ascii="Arial" w:cs="Arial" w:eastAsia="Arial" w:hAnsi="Arial"/>
                <w:sz w:val="13"/>
                <w:szCs w:val="13"/>
                <w:color w:val="auto"/>
                <w:w w:val="99"/>
              </w:rPr>
              <w:t>-3.6%</w:t>
            </w:r>
          </w:p>
        </w:tc>
      </w:tr>
      <w:tr>
        <w:trPr>
          <w:trHeight w:val="166"/>
        </w:trPr>
        <w:tc>
          <w:tcPr>
            <w:tcW w:w="3860" w:type="dxa"/>
            <w:vAlign w:val="bottom"/>
            <w:tcBorders>
              <w:left w:val="single" w:sz="8" w:color="auto"/>
              <w:right w:val="single" w:sz="8" w:color="auto"/>
            </w:tcBorders>
          </w:tcPr>
          <w:p>
            <w:pPr>
              <w:ind w:left="60"/>
              <w:spacing w:after="0" w:line="166" w:lineRule="exact"/>
              <w:rPr>
                <w:sz w:val="20"/>
                <w:szCs w:val="20"/>
                <w:color w:val="auto"/>
              </w:rPr>
            </w:pPr>
            <w:r>
              <w:rPr>
                <w:rFonts w:ascii="Arial" w:cs="Arial" w:eastAsia="Arial" w:hAnsi="Arial"/>
                <w:sz w:val="12"/>
                <w:szCs w:val="12"/>
                <w:color w:val="auto"/>
              </w:rPr>
              <w:t xml:space="preserve">Invesment on securities </w:t>
            </w:r>
            <w:r>
              <w:rPr>
                <w:rFonts w:ascii="Arial" w:cs="Arial" w:eastAsia="Arial" w:hAnsi="Arial"/>
                <w:sz w:val="19"/>
                <w:szCs w:val="19"/>
                <w:color w:val="auto"/>
                <w:vertAlign w:val="superscript"/>
              </w:rPr>
              <w:t>(1)</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12,491,114</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11,776,123</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12,126,609</w:t>
            </w:r>
          </w:p>
        </w:tc>
        <w:tc>
          <w:tcPr>
            <w:tcW w:w="760" w:type="dxa"/>
            <w:vAlign w:val="bottom"/>
          </w:tcPr>
          <w:p>
            <w:pPr>
              <w:jc w:val="center"/>
              <w:spacing w:after="0"/>
              <w:rPr>
                <w:sz w:val="20"/>
                <w:szCs w:val="20"/>
                <w:color w:val="auto"/>
              </w:rPr>
            </w:pPr>
            <w:r>
              <w:rPr>
                <w:rFonts w:ascii="Arial" w:cs="Arial" w:eastAsia="Arial" w:hAnsi="Arial"/>
                <w:sz w:val="13"/>
                <w:szCs w:val="13"/>
                <w:color w:val="auto"/>
              </w:rPr>
              <w:t>3.0%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-2.9%</w:t>
            </w: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Technical reserves</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12,543,226</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11,715,964</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11,997,576</w:t>
            </w:r>
          </w:p>
        </w:tc>
        <w:tc>
          <w:tcPr>
            <w:tcW w:w="760" w:type="dxa"/>
            <w:vAlign w:val="bottom"/>
          </w:tcPr>
          <w:p>
            <w:pPr>
              <w:jc w:val="center"/>
              <w:spacing w:after="0"/>
              <w:rPr>
                <w:sz w:val="20"/>
                <w:szCs w:val="20"/>
                <w:color w:val="auto"/>
              </w:rPr>
            </w:pPr>
            <w:r>
              <w:rPr>
                <w:rFonts w:ascii="Arial" w:cs="Arial" w:eastAsia="Arial" w:hAnsi="Arial"/>
                <w:sz w:val="13"/>
                <w:szCs w:val="13"/>
                <w:color w:val="auto"/>
              </w:rPr>
              <w:t>2.4%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-4.4%</w:t>
            </w:r>
          </w:p>
        </w:tc>
      </w:tr>
      <w:tr>
        <w:trPr>
          <w:trHeight w:val="164"/>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 equity</w:t>
            </w: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2,280,033</w:t>
            </w: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2,104,227</w:t>
            </w:r>
          </w:p>
        </w:tc>
        <w:tc>
          <w:tcPr>
            <w:tcW w:w="9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2,381,740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13.2%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4.5%</w:t>
            </w:r>
          </w:p>
        </w:tc>
      </w:tr>
    </w:tbl>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860" w:type="dxa"/>
            <w:vAlign w:val="bottom"/>
            <w:tcBorders>
              <w:right w:val="single" w:sz="8" w:color="auto"/>
            </w:tcBorders>
          </w:tcPr>
          <w:p>
            <w:pPr>
              <w:spacing w:after="0"/>
              <w:rPr>
                <w:sz w:val="14"/>
                <w:szCs w:val="14"/>
                <w:color w:val="auto"/>
              </w:rPr>
            </w:pPr>
          </w:p>
        </w:tc>
        <w:tc>
          <w:tcPr>
            <w:tcW w:w="1140" w:type="dxa"/>
            <w:vAlign w:val="bottom"/>
            <w:tcBorders>
              <w:top w:val="single" w:sz="8" w:color="auto"/>
            </w:tcBorders>
            <w:shd w:val="clear" w:color="auto" w:fill="2AD2C9"/>
          </w:tcPr>
          <w:p>
            <w:pPr>
              <w:spacing w:after="0"/>
              <w:rPr>
                <w:sz w:val="14"/>
                <w:szCs w:val="14"/>
                <w:color w:val="auto"/>
              </w:rPr>
            </w:pPr>
          </w:p>
        </w:tc>
        <w:tc>
          <w:tcPr>
            <w:tcW w:w="1040" w:type="dxa"/>
            <w:vAlign w:val="bottom"/>
            <w:tcBorders>
              <w:top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4"/>
                <w:szCs w:val="14"/>
                <w:color w:val="auto"/>
              </w:rPr>
            </w:pPr>
          </w:p>
        </w:tc>
        <w:tc>
          <w:tcPr>
            <w:tcW w:w="1560" w:type="dxa"/>
            <w:vAlign w:val="bottom"/>
            <w:tcBorders>
              <w:top w:val="single" w:sz="8" w:color="auto"/>
              <w:right w:val="single" w:sz="8" w:color="auto"/>
            </w:tcBorders>
            <w:gridSpan w:val="2"/>
            <w:shd w:val="clear" w:color="auto" w:fill="2AD2C9"/>
          </w:tcPr>
          <w:p>
            <w:pPr>
              <w:jc w:val="right"/>
              <w:ind w:right="413"/>
              <w:spacing w:after="0"/>
              <w:rPr>
                <w:sz w:val="20"/>
                <w:szCs w:val="20"/>
                <w:color w:val="auto"/>
              </w:rPr>
            </w:pPr>
            <w:r>
              <w:rPr>
                <w:rFonts w:ascii="Arial" w:cs="Arial" w:eastAsia="Arial" w:hAnsi="Arial"/>
                <w:sz w:val="13"/>
                <w:szCs w:val="13"/>
                <w:b w:val="1"/>
                <w:bCs w:val="1"/>
                <w:color w:val="FFFFFF"/>
              </w:rPr>
              <w:t>% change</w:t>
            </w:r>
          </w:p>
        </w:tc>
        <w:tc>
          <w:tcPr>
            <w:tcW w:w="1240" w:type="dxa"/>
            <w:vAlign w:val="bottom"/>
            <w:tcBorders>
              <w:top w:val="single" w:sz="8" w:color="auto"/>
            </w:tcBorders>
            <w:shd w:val="clear" w:color="auto" w:fill="2AD2C9"/>
          </w:tcPr>
          <w:p>
            <w:pPr>
              <w:jc w:val="right"/>
              <w:ind w:right="13"/>
              <w:spacing w:after="0"/>
              <w:rPr>
                <w:sz w:val="20"/>
                <w:szCs w:val="20"/>
                <w:color w:val="auto"/>
              </w:rPr>
            </w:pPr>
            <w:r>
              <w:rPr>
                <w:rFonts w:ascii="Arial" w:cs="Arial" w:eastAsia="Arial" w:hAnsi="Arial"/>
                <w:sz w:val="13"/>
                <w:szCs w:val="13"/>
                <w:b w:val="1"/>
                <w:bCs w:val="1"/>
                <w:color w:val="FFFFFF"/>
              </w:rPr>
              <w:t>As of</w:t>
            </w:r>
          </w:p>
        </w:tc>
        <w:tc>
          <w:tcPr>
            <w:tcW w:w="780" w:type="dxa"/>
            <w:vAlign w:val="bottom"/>
            <w:tcBorders>
              <w:top w:val="single" w:sz="8" w:color="auto"/>
              <w:right w:val="single" w:sz="8" w:color="auto"/>
            </w:tcBorders>
            <w:shd w:val="clear" w:color="auto" w:fill="2AD2C9"/>
          </w:tcPr>
          <w:p>
            <w:pPr>
              <w:spacing w:after="0"/>
              <w:rPr>
                <w:sz w:val="14"/>
                <w:szCs w:val="14"/>
                <w:color w:val="auto"/>
              </w:rPr>
            </w:pPr>
          </w:p>
        </w:tc>
        <w:tc>
          <w:tcPr>
            <w:tcW w:w="8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66"/>
        </w:trPr>
        <w:tc>
          <w:tcPr>
            <w:tcW w:w="38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shd w:val="clear" w:color="auto" w:fill="2AD2C9"/>
          </w:tcPr>
          <w:p>
            <w:pPr>
              <w:jc w:val="right"/>
              <w:ind w:right="433"/>
              <w:spacing w:after="0"/>
              <w:rPr>
                <w:sz w:val="20"/>
                <w:szCs w:val="20"/>
                <w:color w:val="auto"/>
              </w:rPr>
            </w:pPr>
            <w:r>
              <w:rPr>
                <w:rFonts w:ascii="Arial" w:cs="Arial" w:eastAsia="Arial" w:hAnsi="Arial"/>
                <w:sz w:val="13"/>
                <w:szCs w:val="13"/>
                <w:b w:val="1"/>
                <w:bCs w:val="1"/>
                <w:color w:val="FFFFFF"/>
              </w:rPr>
              <w:t>4Q21</w:t>
            </w:r>
          </w:p>
        </w:tc>
        <w:tc>
          <w:tcPr>
            <w:tcW w:w="1040" w:type="dxa"/>
            <w:vAlign w:val="bottom"/>
            <w:tcBorders>
              <w:bottom w:val="single" w:sz="8" w:color="auto"/>
            </w:tcBorders>
            <w:shd w:val="clear" w:color="auto" w:fill="2AD2C9"/>
          </w:tcPr>
          <w:p>
            <w:pPr>
              <w:jc w:val="right"/>
              <w:ind w:right="453"/>
              <w:spacing w:after="0"/>
              <w:rPr>
                <w:sz w:val="20"/>
                <w:szCs w:val="20"/>
                <w:color w:val="auto"/>
              </w:rPr>
            </w:pPr>
            <w:r>
              <w:rPr>
                <w:rFonts w:ascii="Arial" w:cs="Arial" w:eastAsia="Arial" w:hAnsi="Arial"/>
                <w:sz w:val="13"/>
                <w:szCs w:val="13"/>
                <w:b w:val="1"/>
                <w:bCs w:val="1"/>
                <w:color w:val="FFFFFF"/>
              </w:rPr>
              <w:t>3Q22</w:t>
            </w:r>
          </w:p>
        </w:tc>
        <w:tc>
          <w:tcPr>
            <w:tcW w:w="880" w:type="dxa"/>
            <w:vAlign w:val="bottom"/>
            <w:tcBorders>
              <w:bottom w:val="single" w:sz="8" w:color="auto"/>
              <w:right w:val="single" w:sz="8" w:color="auto"/>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4Q22</w:t>
            </w:r>
          </w:p>
        </w:tc>
        <w:tc>
          <w:tcPr>
            <w:tcW w:w="800" w:type="dxa"/>
            <w:vAlign w:val="bottom"/>
            <w:tcBorders>
              <w:bottom w:val="single" w:sz="8" w:color="auto"/>
            </w:tcBorders>
            <w:shd w:val="clear" w:color="auto" w:fill="2AD2C9"/>
          </w:tcPr>
          <w:p>
            <w:pPr>
              <w:jc w:val="right"/>
              <w:ind w:right="233"/>
              <w:spacing w:after="0"/>
              <w:rPr>
                <w:sz w:val="20"/>
                <w:szCs w:val="20"/>
                <w:color w:val="auto"/>
              </w:rPr>
            </w:pPr>
            <w:r>
              <w:rPr>
                <w:rFonts w:ascii="Arial" w:cs="Arial" w:eastAsia="Arial" w:hAnsi="Arial"/>
                <w:sz w:val="13"/>
                <w:szCs w:val="13"/>
                <w:b w:val="1"/>
                <w:bCs w:val="1"/>
                <w:color w:val="FFFFFF"/>
              </w:rPr>
              <w:t>QoQ</w:t>
            </w:r>
          </w:p>
        </w:tc>
        <w:tc>
          <w:tcPr>
            <w:tcW w:w="760" w:type="dxa"/>
            <w:vAlign w:val="bottom"/>
            <w:tcBorders>
              <w:bottom w:val="single" w:sz="8" w:color="auto"/>
              <w:right w:val="single" w:sz="8" w:color="auto"/>
            </w:tcBorders>
            <w:shd w:val="clear" w:color="auto" w:fill="2AD2C9"/>
          </w:tcPr>
          <w:p>
            <w:pPr>
              <w:jc w:val="right"/>
              <w:ind w:right="233"/>
              <w:spacing w:after="0"/>
              <w:rPr>
                <w:sz w:val="20"/>
                <w:szCs w:val="20"/>
                <w:color w:val="auto"/>
              </w:rPr>
            </w:pPr>
            <w:r>
              <w:rPr>
                <w:rFonts w:ascii="Arial" w:cs="Arial" w:eastAsia="Arial" w:hAnsi="Arial"/>
                <w:sz w:val="13"/>
                <w:szCs w:val="13"/>
                <w:b w:val="1"/>
                <w:bCs w:val="1"/>
                <w:color w:val="FFFFFF"/>
              </w:rPr>
              <w:t>YoY</w:t>
            </w:r>
          </w:p>
        </w:tc>
        <w:tc>
          <w:tcPr>
            <w:tcW w:w="1240" w:type="dxa"/>
            <w:vAlign w:val="bottom"/>
            <w:tcBorders>
              <w:bottom w:val="single" w:sz="8" w:color="auto"/>
            </w:tcBorders>
            <w:shd w:val="clear" w:color="auto" w:fill="2AD2C9"/>
          </w:tcPr>
          <w:p>
            <w:pPr>
              <w:jc w:val="right"/>
              <w:ind w:right="553"/>
              <w:spacing w:after="0"/>
              <w:rPr>
                <w:sz w:val="20"/>
                <w:szCs w:val="20"/>
                <w:color w:val="auto"/>
              </w:rPr>
            </w:pPr>
            <w:r>
              <w:rPr>
                <w:rFonts w:ascii="Arial" w:cs="Arial" w:eastAsia="Arial" w:hAnsi="Arial"/>
                <w:sz w:val="13"/>
                <w:szCs w:val="13"/>
                <w:b w:val="1"/>
                <w:bCs w:val="1"/>
                <w:color w:val="FFFFFF"/>
              </w:rPr>
              <w:t>2021</w:t>
            </w:r>
          </w:p>
        </w:tc>
        <w:tc>
          <w:tcPr>
            <w:tcW w:w="780" w:type="dxa"/>
            <w:vAlign w:val="bottom"/>
            <w:tcBorders>
              <w:bottom w:val="single" w:sz="8" w:color="auto"/>
              <w:right w:val="single" w:sz="8" w:color="auto"/>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2022</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43"/>
        </w:trPr>
        <w:tc>
          <w:tcPr>
            <w:tcW w:w="3860" w:type="dxa"/>
            <w:vAlign w:val="bottom"/>
            <w:tcBorders>
              <w:left w:val="single" w:sz="8" w:color="auto"/>
              <w:right w:val="single" w:sz="8" w:color="auto"/>
            </w:tcBorders>
          </w:tcPr>
          <w:p>
            <w:pPr>
              <w:ind w:left="60"/>
              <w:spacing w:after="0" w:line="144" w:lineRule="exact"/>
              <w:rPr>
                <w:sz w:val="20"/>
                <w:szCs w:val="20"/>
                <w:color w:val="auto"/>
              </w:rPr>
            </w:pPr>
            <w:r>
              <w:rPr>
                <w:rFonts w:ascii="Arial" w:cs="Arial" w:eastAsia="Arial" w:hAnsi="Arial"/>
                <w:sz w:val="13"/>
                <w:szCs w:val="13"/>
                <w:color w:val="auto"/>
              </w:rPr>
              <w:t>Net earned premiums</w:t>
            </w:r>
          </w:p>
        </w:tc>
        <w:tc>
          <w:tcPr>
            <w:tcW w:w="1140" w:type="dxa"/>
            <w:vAlign w:val="bottom"/>
          </w:tcPr>
          <w:p>
            <w:pPr>
              <w:jc w:val="right"/>
              <w:ind w:right="113"/>
              <w:spacing w:after="0" w:line="144" w:lineRule="exact"/>
              <w:rPr>
                <w:sz w:val="20"/>
                <w:szCs w:val="20"/>
                <w:color w:val="auto"/>
              </w:rPr>
            </w:pPr>
            <w:r>
              <w:rPr>
                <w:rFonts w:ascii="Arial" w:cs="Arial" w:eastAsia="Arial" w:hAnsi="Arial"/>
                <w:sz w:val="13"/>
                <w:szCs w:val="13"/>
                <w:color w:val="auto"/>
              </w:rPr>
              <w:t>714,026</w:t>
            </w:r>
          </w:p>
        </w:tc>
        <w:tc>
          <w:tcPr>
            <w:tcW w:w="1040" w:type="dxa"/>
            <w:vAlign w:val="bottom"/>
          </w:tcPr>
          <w:p>
            <w:pPr>
              <w:jc w:val="right"/>
              <w:ind w:right="133"/>
              <w:spacing w:after="0" w:line="144" w:lineRule="exact"/>
              <w:rPr>
                <w:sz w:val="20"/>
                <w:szCs w:val="20"/>
                <w:color w:val="auto"/>
              </w:rPr>
            </w:pPr>
            <w:r>
              <w:rPr>
                <w:rFonts w:ascii="Arial" w:cs="Arial" w:eastAsia="Arial" w:hAnsi="Arial"/>
                <w:sz w:val="13"/>
                <w:szCs w:val="13"/>
                <w:color w:val="auto"/>
              </w:rPr>
              <w:t>753,089</w:t>
            </w:r>
          </w:p>
        </w:tc>
        <w:tc>
          <w:tcPr>
            <w:tcW w:w="880" w:type="dxa"/>
            <w:vAlign w:val="bottom"/>
            <w:tcBorders>
              <w:right w:val="single" w:sz="8" w:color="auto"/>
            </w:tcBorders>
          </w:tcPr>
          <w:p>
            <w:pPr>
              <w:jc w:val="right"/>
              <w:ind w:right="13"/>
              <w:spacing w:after="0" w:line="144" w:lineRule="exact"/>
              <w:rPr>
                <w:sz w:val="20"/>
                <w:szCs w:val="20"/>
                <w:color w:val="auto"/>
              </w:rPr>
            </w:pPr>
            <w:r>
              <w:rPr>
                <w:rFonts w:ascii="Arial" w:cs="Arial" w:eastAsia="Arial" w:hAnsi="Arial"/>
                <w:sz w:val="13"/>
                <w:szCs w:val="13"/>
                <w:color w:val="auto"/>
              </w:rPr>
              <w:t>737,505</w:t>
            </w:r>
          </w:p>
        </w:tc>
        <w:tc>
          <w:tcPr>
            <w:tcW w:w="800" w:type="dxa"/>
            <w:vAlign w:val="bottom"/>
          </w:tcPr>
          <w:p>
            <w:pPr>
              <w:jc w:val="center"/>
              <w:ind w:right="13"/>
              <w:spacing w:after="0" w:line="144" w:lineRule="exact"/>
              <w:rPr>
                <w:sz w:val="20"/>
                <w:szCs w:val="20"/>
                <w:color w:val="auto"/>
              </w:rPr>
            </w:pPr>
            <w:r>
              <w:rPr>
                <w:rFonts w:ascii="Arial" w:cs="Arial" w:eastAsia="Arial" w:hAnsi="Arial"/>
                <w:sz w:val="13"/>
                <w:szCs w:val="13"/>
                <w:color w:val="auto"/>
              </w:rPr>
              <w:t>-2.1%</w:t>
            </w:r>
          </w:p>
        </w:tc>
        <w:tc>
          <w:tcPr>
            <w:tcW w:w="760" w:type="dxa"/>
            <w:vAlign w:val="bottom"/>
            <w:tcBorders>
              <w:right w:val="single" w:sz="8" w:color="auto"/>
            </w:tcBorders>
          </w:tcPr>
          <w:p>
            <w:pPr>
              <w:jc w:val="center"/>
              <w:ind w:right="33"/>
              <w:spacing w:after="0" w:line="144" w:lineRule="exact"/>
              <w:rPr>
                <w:sz w:val="20"/>
                <w:szCs w:val="20"/>
                <w:color w:val="auto"/>
              </w:rPr>
            </w:pPr>
            <w:r>
              <w:rPr>
                <w:rFonts w:ascii="Arial" w:cs="Arial" w:eastAsia="Arial" w:hAnsi="Arial"/>
                <w:sz w:val="13"/>
                <w:szCs w:val="13"/>
                <w:color w:val="auto"/>
              </w:rPr>
              <w:t>3.3%</w:t>
            </w:r>
          </w:p>
        </w:tc>
        <w:tc>
          <w:tcPr>
            <w:tcW w:w="1240" w:type="dxa"/>
            <w:vAlign w:val="bottom"/>
          </w:tcPr>
          <w:p>
            <w:pPr>
              <w:jc w:val="right"/>
              <w:ind w:right="213"/>
              <w:spacing w:after="0" w:line="144" w:lineRule="exact"/>
              <w:rPr>
                <w:sz w:val="20"/>
                <w:szCs w:val="20"/>
                <w:color w:val="auto"/>
              </w:rPr>
            </w:pPr>
            <w:r>
              <w:rPr>
                <w:rFonts w:ascii="Arial" w:cs="Arial" w:eastAsia="Arial" w:hAnsi="Arial"/>
                <w:sz w:val="13"/>
                <w:szCs w:val="13"/>
                <w:color w:val="auto"/>
              </w:rPr>
              <w:t>2,686,710</w:t>
            </w:r>
          </w:p>
        </w:tc>
        <w:tc>
          <w:tcPr>
            <w:tcW w:w="780" w:type="dxa"/>
            <w:vAlign w:val="bottom"/>
            <w:tcBorders>
              <w:right w:val="single" w:sz="8" w:color="auto"/>
            </w:tcBorders>
          </w:tcPr>
          <w:p>
            <w:pPr>
              <w:jc w:val="right"/>
              <w:ind w:right="13"/>
              <w:spacing w:after="0" w:line="144" w:lineRule="exact"/>
              <w:rPr>
                <w:sz w:val="20"/>
                <w:szCs w:val="20"/>
                <w:color w:val="auto"/>
              </w:rPr>
            </w:pPr>
            <w:r>
              <w:rPr>
                <w:rFonts w:ascii="Arial" w:cs="Arial" w:eastAsia="Arial" w:hAnsi="Arial"/>
                <w:sz w:val="13"/>
                <w:szCs w:val="13"/>
                <w:color w:val="auto"/>
              </w:rPr>
              <w:t>2,881,289</w:t>
            </w:r>
          </w:p>
        </w:tc>
        <w:tc>
          <w:tcPr>
            <w:tcW w:w="8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auto"/>
              </w:rPr>
              <w:t>7.2%</w:t>
            </w: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 claims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(509,279)</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(478,040)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(481,087)</w:t>
            </w:r>
          </w:p>
        </w:tc>
        <w:tc>
          <w:tcPr>
            <w:tcW w:w="800" w:type="dxa"/>
            <w:vAlign w:val="bottom"/>
          </w:tcPr>
          <w:p>
            <w:pPr>
              <w:jc w:val="center"/>
              <w:ind w:right="13"/>
              <w:spacing w:after="0"/>
              <w:rPr>
                <w:sz w:val="20"/>
                <w:szCs w:val="20"/>
                <w:color w:val="auto"/>
              </w:rPr>
            </w:pPr>
            <w:r>
              <w:rPr>
                <w:rFonts w:ascii="Arial" w:cs="Arial" w:eastAsia="Arial" w:hAnsi="Arial"/>
                <w:sz w:val="13"/>
                <w:szCs w:val="13"/>
                <w:color w:val="auto"/>
              </w:rPr>
              <w:t>0.6%</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w w:val="99"/>
              </w:rPr>
              <w:t>-5.5%</w:t>
            </w: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(2,346,469)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(1,929,890)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-17.8%</w:t>
            </w: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 fees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(165,647)</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(160,758)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(158,535)</w:t>
            </w:r>
          </w:p>
        </w:tc>
        <w:tc>
          <w:tcPr>
            <w:tcW w:w="800" w:type="dxa"/>
            <w:vAlign w:val="bottom"/>
          </w:tcPr>
          <w:p>
            <w:pPr>
              <w:jc w:val="center"/>
              <w:ind w:right="13"/>
              <w:spacing w:after="0"/>
              <w:rPr>
                <w:sz w:val="20"/>
                <w:szCs w:val="20"/>
                <w:color w:val="auto"/>
              </w:rPr>
            </w:pPr>
            <w:r>
              <w:rPr>
                <w:rFonts w:ascii="Arial" w:cs="Arial" w:eastAsia="Arial" w:hAnsi="Arial"/>
                <w:sz w:val="13"/>
                <w:szCs w:val="13"/>
                <w:color w:val="auto"/>
              </w:rPr>
              <w:t>-1.4%</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w w:val="99"/>
              </w:rPr>
              <w:t>-4.3%</w:t>
            </w: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(602,506)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(620,686)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3.0%</w:t>
            </w:r>
          </w:p>
        </w:tc>
      </w:tr>
      <w:tr>
        <w:trPr>
          <w:trHeight w:val="149"/>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 underwriting expenses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(18,792)</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(31,317)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(31,181)</w:t>
            </w:r>
          </w:p>
        </w:tc>
        <w:tc>
          <w:tcPr>
            <w:tcW w:w="800" w:type="dxa"/>
            <w:vAlign w:val="bottom"/>
          </w:tcPr>
          <w:p>
            <w:pPr>
              <w:jc w:val="center"/>
              <w:ind w:right="13"/>
              <w:spacing w:after="0"/>
              <w:rPr>
                <w:sz w:val="20"/>
                <w:szCs w:val="20"/>
                <w:color w:val="auto"/>
              </w:rPr>
            </w:pPr>
            <w:r>
              <w:rPr>
                <w:rFonts w:ascii="Arial" w:cs="Arial" w:eastAsia="Arial" w:hAnsi="Arial"/>
                <w:sz w:val="13"/>
                <w:szCs w:val="13"/>
                <w:color w:val="auto"/>
              </w:rPr>
              <w:t>-0.4%</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65.9%</w:t>
            </w: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(115,944)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(120,003)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w:t>
            </w:r>
          </w:p>
        </w:tc>
      </w:tr>
      <w:tr>
        <w:trPr>
          <w:trHeight w:val="153"/>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Underwriting result</w:t>
            </w:r>
          </w:p>
        </w:tc>
        <w:tc>
          <w:tcPr>
            <w:tcW w:w="1140" w:type="dxa"/>
            <w:vAlign w:val="bottom"/>
          </w:tcPr>
          <w:p>
            <w:pPr>
              <w:jc w:val="right"/>
              <w:ind w:right="113"/>
              <w:spacing w:after="0"/>
              <w:rPr>
                <w:sz w:val="20"/>
                <w:szCs w:val="20"/>
                <w:color w:val="auto"/>
              </w:rPr>
            </w:pPr>
            <w:r>
              <w:rPr>
                <w:rFonts w:ascii="Arial" w:cs="Arial" w:eastAsia="Arial" w:hAnsi="Arial"/>
                <w:sz w:val="13"/>
                <w:szCs w:val="13"/>
                <w:b w:val="1"/>
                <w:bCs w:val="1"/>
                <w:color w:val="auto"/>
              </w:rPr>
              <w:t>20,309</w:t>
            </w:r>
          </w:p>
        </w:tc>
        <w:tc>
          <w:tcPr>
            <w:tcW w:w="1040" w:type="dxa"/>
            <w:vAlign w:val="bottom"/>
          </w:tcPr>
          <w:p>
            <w:pPr>
              <w:jc w:val="right"/>
              <w:ind w:right="133"/>
              <w:spacing w:after="0"/>
              <w:rPr>
                <w:sz w:val="20"/>
                <w:szCs w:val="20"/>
                <w:color w:val="auto"/>
              </w:rPr>
            </w:pPr>
            <w:r>
              <w:rPr>
                <w:rFonts w:ascii="Arial" w:cs="Arial" w:eastAsia="Arial" w:hAnsi="Arial"/>
                <w:sz w:val="13"/>
                <w:szCs w:val="13"/>
                <w:b w:val="1"/>
                <w:bCs w:val="1"/>
                <w:color w:val="auto"/>
              </w:rPr>
              <w:t>82,975</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66,702</w:t>
            </w:r>
          </w:p>
        </w:tc>
        <w:tc>
          <w:tcPr>
            <w:tcW w:w="800" w:type="dxa"/>
            <w:vAlign w:val="bottom"/>
          </w:tcPr>
          <w:p>
            <w:pPr>
              <w:jc w:val="center"/>
              <w:ind w:right="13"/>
              <w:spacing w:after="0"/>
              <w:rPr>
                <w:sz w:val="20"/>
                <w:szCs w:val="20"/>
                <w:color w:val="auto"/>
              </w:rPr>
            </w:pPr>
            <w:r>
              <w:rPr>
                <w:rFonts w:ascii="Arial" w:cs="Arial" w:eastAsia="Arial" w:hAnsi="Arial"/>
                <w:sz w:val="13"/>
                <w:szCs w:val="13"/>
                <w:b w:val="1"/>
                <w:bCs w:val="1"/>
                <w:color w:val="auto"/>
              </w:rPr>
              <w:t>-19.6%</w:t>
            </w:r>
          </w:p>
        </w:tc>
        <w:tc>
          <w:tcPr>
            <w:tcW w:w="760" w:type="dxa"/>
            <w:vAlign w:val="bottom"/>
            <w:tcBorders>
              <w:right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n.a.</w:t>
            </w:r>
          </w:p>
        </w:tc>
        <w:tc>
          <w:tcPr>
            <w:tcW w:w="1240" w:type="dxa"/>
            <w:vAlign w:val="bottom"/>
          </w:tcPr>
          <w:p>
            <w:pPr>
              <w:jc w:val="right"/>
              <w:ind w:right="173"/>
              <w:spacing w:after="0"/>
              <w:rPr>
                <w:sz w:val="20"/>
                <w:szCs w:val="20"/>
                <w:color w:val="auto"/>
              </w:rPr>
            </w:pPr>
            <w:r>
              <w:rPr>
                <w:rFonts w:ascii="Arial" w:cs="Arial" w:eastAsia="Arial" w:hAnsi="Arial"/>
                <w:sz w:val="13"/>
                <w:szCs w:val="13"/>
                <w:b w:val="1"/>
                <w:bCs w:val="1"/>
                <w:color w:val="auto"/>
              </w:rPr>
              <w:t>(378,210)</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210,710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n.a.</w:t>
            </w:r>
          </w:p>
        </w:tc>
      </w:tr>
      <w:tr>
        <w:trPr>
          <w:trHeight w:val="175"/>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 financial income</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163,616</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187,362</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193,128</w:t>
            </w:r>
          </w:p>
        </w:tc>
        <w:tc>
          <w:tcPr>
            <w:tcW w:w="800" w:type="dxa"/>
            <w:vAlign w:val="bottom"/>
          </w:tcPr>
          <w:p>
            <w:pPr>
              <w:jc w:val="center"/>
              <w:ind w:right="13"/>
              <w:spacing w:after="0"/>
              <w:rPr>
                <w:sz w:val="20"/>
                <w:szCs w:val="20"/>
                <w:color w:val="auto"/>
              </w:rPr>
            </w:pPr>
            <w:r>
              <w:rPr>
                <w:rFonts w:ascii="Arial" w:cs="Arial" w:eastAsia="Arial" w:hAnsi="Arial"/>
                <w:sz w:val="13"/>
                <w:szCs w:val="13"/>
                <w:color w:val="auto"/>
              </w:rPr>
              <w:t>3.1%</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18.0%</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654,276</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711,761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8.8%</w:t>
            </w:r>
          </w:p>
        </w:tc>
      </w:tr>
      <w:tr>
        <w:trPr>
          <w:trHeight w:val="340"/>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Total expenses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(131,029)</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(123,397)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(167,812)</w:t>
            </w:r>
          </w:p>
        </w:tc>
        <w:tc>
          <w:tcPr>
            <w:tcW w:w="800" w:type="dxa"/>
            <w:vAlign w:val="bottom"/>
          </w:tcPr>
          <w:p>
            <w:pPr>
              <w:jc w:val="center"/>
              <w:ind w:right="33"/>
              <w:spacing w:after="0"/>
              <w:rPr>
                <w:sz w:val="20"/>
                <w:szCs w:val="20"/>
                <w:color w:val="auto"/>
              </w:rPr>
            </w:pPr>
            <w:r>
              <w:rPr>
                <w:rFonts w:ascii="Arial" w:cs="Arial" w:eastAsia="Arial" w:hAnsi="Arial"/>
                <w:sz w:val="13"/>
                <w:szCs w:val="13"/>
                <w:color w:val="auto"/>
              </w:rPr>
              <w:t>36.0%</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28.1%</w:t>
            </w: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(455,035)</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(531,281)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16.8%</w:t>
            </w:r>
          </w:p>
        </w:tc>
      </w:tr>
      <w:tr>
        <w:trPr>
          <w:trHeight w:val="315"/>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Other income</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17,650</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6,494</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19,891</w:t>
            </w:r>
          </w:p>
        </w:tc>
        <w:tc>
          <w:tcPr>
            <w:tcW w:w="800" w:type="dxa"/>
            <w:vAlign w:val="bottom"/>
          </w:tcPr>
          <w:p>
            <w:pPr>
              <w:jc w:val="center"/>
              <w:ind w:right="13"/>
              <w:spacing w:after="0"/>
              <w:rPr>
                <w:sz w:val="20"/>
                <w:szCs w:val="20"/>
                <w:color w:val="auto"/>
              </w:rPr>
            </w:pPr>
            <w:r>
              <w:rPr>
                <w:rFonts w:ascii="Arial" w:cs="Arial" w:eastAsia="Arial" w:hAnsi="Arial"/>
                <w:sz w:val="13"/>
                <w:szCs w:val="13"/>
                <w:color w:val="auto"/>
                <w:w w:val="99"/>
              </w:rPr>
              <w:t>206.3%</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12.7%</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47,481</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44,833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-5.6%</w:t>
            </w: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Traslations results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(1,559)</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1,603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(373)</w:t>
            </w:r>
          </w:p>
        </w:tc>
        <w:tc>
          <w:tcPr>
            <w:tcW w:w="800" w:type="dxa"/>
            <w:vAlign w:val="bottom"/>
          </w:tcPr>
          <w:p>
            <w:pPr>
              <w:jc w:val="right"/>
              <w:ind w:right="253"/>
              <w:spacing w:after="0"/>
              <w:rPr>
                <w:sz w:val="20"/>
                <w:szCs w:val="20"/>
                <w:color w:val="auto"/>
              </w:rPr>
            </w:pPr>
            <w:r>
              <w:rPr>
                <w:rFonts w:ascii="Arial" w:cs="Arial" w:eastAsia="Arial" w:hAnsi="Arial"/>
                <w:sz w:val="13"/>
                <w:szCs w:val="13"/>
                <w:color w:val="auto"/>
              </w:rPr>
              <w:t>n.a.</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-76.1%</w:t>
            </w: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(537)</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(4,473)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EPS business deduction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8,785</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17,393</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23,417</w:t>
            </w:r>
          </w:p>
        </w:tc>
        <w:tc>
          <w:tcPr>
            <w:tcW w:w="800" w:type="dxa"/>
            <w:vAlign w:val="bottom"/>
          </w:tcPr>
          <w:p>
            <w:pPr>
              <w:jc w:val="center"/>
              <w:ind w:right="33"/>
              <w:spacing w:after="0"/>
              <w:rPr>
                <w:sz w:val="20"/>
                <w:szCs w:val="20"/>
                <w:color w:val="auto"/>
              </w:rPr>
            </w:pPr>
            <w:r>
              <w:rPr>
                <w:rFonts w:ascii="Arial" w:cs="Arial" w:eastAsia="Arial" w:hAnsi="Arial"/>
                <w:sz w:val="13"/>
                <w:szCs w:val="13"/>
                <w:color w:val="auto"/>
              </w:rPr>
              <w:t>34.6%</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166.6%</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53,956</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73,404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36.0%</w:t>
            </w:r>
          </w:p>
        </w:tc>
      </w:tr>
      <w:tr>
        <w:trPr>
          <w:trHeight w:val="151"/>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Medical Assistance insurance deduction</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(13,965)</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(9,999)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(12,936)</w:t>
            </w:r>
          </w:p>
        </w:tc>
        <w:tc>
          <w:tcPr>
            <w:tcW w:w="800" w:type="dxa"/>
            <w:vAlign w:val="bottom"/>
          </w:tcPr>
          <w:p>
            <w:pPr>
              <w:jc w:val="center"/>
              <w:ind w:right="33"/>
              <w:spacing w:after="0"/>
              <w:rPr>
                <w:sz w:val="20"/>
                <w:szCs w:val="20"/>
                <w:color w:val="auto"/>
              </w:rPr>
            </w:pPr>
            <w:r>
              <w:rPr>
                <w:rFonts w:ascii="Arial" w:cs="Arial" w:eastAsia="Arial" w:hAnsi="Arial"/>
                <w:sz w:val="13"/>
                <w:szCs w:val="13"/>
                <w:color w:val="auto"/>
              </w:rPr>
              <w:t>29.4%</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w w:val="99"/>
              </w:rPr>
              <w:t>-7.4%</w:t>
            </w: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(47,176)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(40,955)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-13.2%</w:t>
            </w:r>
          </w:p>
        </w:tc>
      </w:tr>
      <w:tr>
        <w:trPr>
          <w:trHeight w:val="175"/>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Income tax</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(1,486)</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(3,028)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(3,096)</w:t>
            </w:r>
          </w:p>
        </w:tc>
        <w:tc>
          <w:tcPr>
            <w:tcW w:w="800" w:type="dxa"/>
            <w:vAlign w:val="bottom"/>
          </w:tcPr>
          <w:p>
            <w:pPr>
              <w:jc w:val="center"/>
              <w:ind w:right="13"/>
              <w:spacing w:after="0"/>
              <w:rPr>
                <w:sz w:val="20"/>
                <w:szCs w:val="20"/>
                <w:color w:val="auto"/>
              </w:rPr>
            </w:pPr>
            <w:r>
              <w:rPr>
                <w:rFonts w:ascii="Arial" w:cs="Arial" w:eastAsia="Arial" w:hAnsi="Arial"/>
                <w:sz w:val="13"/>
                <w:szCs w:val="13"/>
                <w:color w:val="auto"/>
              </w:rPr>
              <w:t>2.2%</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108.4%</w:t>
            </w: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(5,247)</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(12,318)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134.8%</w:t>
            </w:r>
          </w:p>
        </w:tc>
      </w:tr>
      <w:tr>
        <w:trPr>
          <w:trHeight w:val="315"/>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Income before minority interest</w:t>
            </w:r>
          </w:p>
        </w:tc>
        <w:tc>
          <w:tcPr>
            <w:tcW w:w="1140" w:type="dxa"/>
            <w:vAlign w:val="bottom"/>
          </w:tcPr>
          <w:p>
            <w:pPr>
              <w:jc w:val="right"/>
              <w:ind w:right="113"/>
              <w:spacing w:after="0"/>
              <w:rPr>
                <w:sz w:val="20"/>
                <w:szCs w:val="20"/>
                <w:color w:val="auto"/>
              </w:rPr>
            </w:pPr>
            <w:r>
              <w:rPr>
                <w:rFonts w:ascii="Arial" w:cs="Arial" w:eastAsia="Arial" w:hAnsi="Arial"/>
                <w:sz w:val="13"/>
                <w:szCs w:val="13"/>
                <w:b w:val="1"/>
                <w:bCs w:val="1"/>
                <w:color w:val="auto"/>
              </w:rPr>
              <w:t>62,321</w:t>
            </w:r>
          </w:p>
        </w:tc>
        <w:tc>
          <w:tcPr>
            <w:tcW w:w="1040" w:type="dxa"/>
            <w:vAlign w:val="bottom"/>
          </w:tcPr>
          <w:p>
            <w:pPr>
              <w:jc w:val="right"/>
              <w:ind w:right="133"/>
              <w:spacing w:after="0"/>
              <w:rPr>
                <w:sz w:val="20"/>
                <w:szCs w:val="20"/>
                <w:color w:val="auto"/>
              </w:rPr>
            </w:pPr>
            <w:r>
              <w:rPr>
                <w:rFonts w:ascii="Arial" w:cs="Arial" w:eastAsia="Arial" w:hAnsi="Arial"/>
                <w:sz w:val="13"/>
                <w:szCs w:val="13"/>
                <w:b w:val="1"/>
                <w:bCs w:val="1"/>
                <w:color w:val="auto"/>
              </w:rPr>
              <w:t>159,402</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118,922</w:t>
            </w:r>
          </w:p>
        </w:tc>
        <w:tc>
          <w:tcPr>
            <w:tcW w:w="800" w:type="dxa"/>
            <w:vAlign w:val="bottom"/>
          </w:tcPr>
          <w:p>
            <w:pPr>
              <w:jc w:val="center"/>
              <w:ind w:right="13"/>
              <w:spacing w:after="0"/>
              <w:rPr>
                <w:sz w:val="20"/>
                <w:szCs w:val="20"/>
                <w:color w:val="auto"/>
              </w:rPr>
            </w:pPr>
            <w:r>
              <w:rPr>
                <w:rFonts w:ascii="Arial" w:cs="Arial" w:eastAsia="Arial" w:hAnsi="Arial"/>
                <w:sz w:val="13"/>
                <w:szCs w:val="13"/>
                <w:b w:val="1"/>
                <w:bCs w:val="1"/>
                <w:color w:val="auto"/>
              </w:rPr>
              <w:t>-25.4%</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90.8%</w:t>
            </w:r>
          </w:p>
        </w:tc>
        <w:tc>
          <w:tcPr>
            <w:tcW w:w="1240" w:type="dxa"/>
            <w:vAlign w:val="bottom"/>
          </w:tcPr>
          <w:p>
            <w:pPr>
              <w:jc w:val="right"/>
              <w:ind w:right="213"/>
              <w:spacing w:after="0"/>
              <w:rPr>
                <w:sz w:val="20"/>
                <w:szCs w:val="20"/>
                <w:color w:val="auto"/>
              </w:rPr>
            </w:pPr>
            <w:r>
              <w:rPr>
                <w:rFonts w:ascii="Arial" w:cs="Arial" w:eastAsia="Arial" w:hAnsi="Arial"/>
                <w:sz w:val="13"/>
                <w:szCs w:val="13"/>
                <w:b w:val="1"/>
                <w:bCs w:val="1"/>
                <w:color w:val="auto"/>
              </w:rPr>
              <w:t>(130,491)</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451,680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n.a.</w:t>
            </w:r>
          </w:p>
        </w:tc>
      </w:tr>
      <w:tr>
        <w:trPr>
          <w:trHeight w:val="175"/>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Non-controlling interest</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(760)</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(1,431)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(1,535)</w:t>
            </w:r>
          </w:p>
        </w:tc>
        <w:tc>
          <w:tcPr>
            <w:tcW w:w="800" w:type="dxa"/>
            <w:vAlign w:val="bottom"/>
          </w:tcPr>
          <w:p>
            <w:pPr>
              <w:jc w:val="center"/>
              <w:ind w:right="13"/>
              <w:spacing w:after="0"/>
              <w:rPr>
                <w:sz w:val="20"/>
                <w:szCs w:val="20"/>
                <w:color w:val="auto"/>
              </w:rPr>
            </w:pPr>
            <w:r>
              <w:rPr>
                <w:rFonts w:ascii="Arial" w:cs="Arial" w:eastAsia="Arial" w:hAnsi="Arial"/>
                <w:sz w:val="13"/>
                <w:szCs w:val="13"/>
                <w:color w:val="auto"/>
              </w:rPr>
              <w:t>7.3%</w:t>
            </w:r>
          </w:p>
        </w:tc>
        <w:tc>
          <w:tcPr>
            <w:tcW w:w="760" w:type="dxa"/>
            <w:vAlign w:val="bottom"/>
            <w:tcBorders>
              <w:right w:val="single" w:sz="8" w:color="auto"/>
            </w:tcBorders>
          </w:tcPr>
          <w:p>
            <w:pPr>
              <w:jc w:val="center"/>
              <w:ind w:right="33"/>
              <w:spacing w:after="0"/>
              <w:rPr>
                <w:sz w:val="20"/>
                <w:szCs w:val="20"/>
                <w:color w:val="auto"/>
              </w:rPr>
            </w:pPr>
            <w:r>
              <w:rPr>
                <w:rFonts w:ascii="Arial" w:cs="Arial" w:eastAsia="Arial" w:hAnsi="Arial"/>
                <w:sz w:val="13"/>
                <w:szCs w:val="13"/>
                <w:color w:val="auto"/>
              </w:rPr>
              <w:t>101.9%</w:t>
            </w:r>
          </w:p>
        </w:tc>
        <w:tc>
          <w:tcPr>
            <w:tcW w:w="1240" w:type="dxa"/>
            <w:vAlign w:val="bottom"/>
          </w:tcPr>
          <w:p>
            <w:pPr>
              <w:jc w:val="right"/>
              <w:ind w:right="173"/>
              <w:spacing w:after="0"/>
              <w:rPr>
                <w:sz w:val="20"/>
                <w:szCs w:val="20"/>
                <w:color w:val="auto"/>
              </w:rPr>
            </w:pPr>
            <w:r>
              <w:rPr>
                <w:rFonts w:ascii="Arial" w:cs="Arial" w:eastAsia="Arial" w:hAnsi="Arial"/>
                <w:sz w:val="13"/>
                <w:szCs w:val="13"/>
                <w:color w:val="auto"/>
              </w:rPr>
              <w:t>(4,394)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(6,077)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38.3%</w:t>
            </w:r>
          </w:p>
        </w:tc>
      </w:tr>
      <w:tr>
        <w:trPr>
          <w:trHeight w:val="328"/>
        </w:trPr>
        <w:tc>
          <w:tcPr>
            <w:tcW w:w="3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Net income</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61,560</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157,972</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117,386</w:t>
            </w: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rPr>
              <w:t>-25.7%</w:t>
            </w:r>
          </w:p>
        </w:tc>
        <w:tc>
          <w:tcPr>
            <w:tcW w:w="760" w:type="dxa"/>
            <w:vAlign w:val="bottom"/>
            <w:tcBorders>
              <w:bottom w:val="single" w:sz="8" w:color="auto"/>
              <w:right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90.7%</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(134,885)</w:t>
            </w:r>
          </w:p>
        </w:tc>
        <w:tc>
          <w:tcPr>
            <w:tcW w:w="7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445,603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n.a.</w:t>
            </w:r>
          </w:p>
        </w:tc>
      </w:tr>
      <w:tr>
        <w:trPr>
          <w:trHeight w:val="156"/>
        </w:trPr>
        <w:tc>
          <w:tcPr>
            <w:tcW w:w="38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43"/>
        </w:trPr>
        <w:tc>
          <w:tcPr>
            <w:tcW w:w="3860" w:type="dxa"/>
            <w:vAlign w:val="bottom"/>
            <w:tcBorders>
              <w:left w:val="single" w:sz="8" w:color="auto"/>
              <w:right w:val="single" w:sz="8" w:color="auto"/>
            </w:tcBorders>
          </w:tcPr>
          <w:p>
            <w:pPr>
              <w:ind w:left="60"/>
              <w:spacing w:after="0" w:line="144" w:lineRule="exact"/>
              <w:rPr>
                <w:sz w:val="20"/>
                <w:szCs w:val="20"/>
                <w:color w:val="auto"/>
              </w:rPr>
            </w:pPr>
            <w:r>
              <w:rPr>
                <w:rFonts w:ascii="Arial" w:cs="Arial" w:eastAsia="Arial" w:hAnsi="Arial"/>
                <w:sz w:val="13"/>
                <w:szCs w:val="13"/>
                <w:b w:val="1"/>
                <w:bCs w:val="1"/>
                <w:color w:val="auto"/>
              </w:rPr>
              <w:t>Ratios</w:t>
            </w: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r>
      <w:tr>
        <w:trPr>
          <w:trHeight w:val="135"/>
        </w:trPr>
        <w:tc>
          <w:tcPr>
            <w:tcW w:w="3860" w:type="dxa"/>
            <w:vAlign w:val="bottom"/>
            <w:tcBorders>
              <w:left w:val="single" w:sz="8" w:color="auto"/>
              <w:right w:val="single" w:sz="8" w:color="auto"/>
            </w:tcBorders>
          </w:tcPr>
          <w:p>
            <w:pPr>
              <w:ind w:left="60"/>
              <w:spacing w:after="0" w:line="136" w:lineRule="exact"/>
              <w:rPr>
                <w:sz w:val="20"/>
                <w:szCs w:val="20"/>
                <w:color w:val="auto"/>
              </w:rPr>
            </w:pPr>
            <w:r>
              <w:rPr>
                <w:rFonts w:ascii="Arial" w:cs="Arial" w:eastAsia="Arial" w:hAnsi="Arial"/>
                <w:sz w:val="13"/>
                <w:szCs w:val="13"/>
                <w:color w:val="auto"/>
              </w:rPr>
              <w:t>Ceded</w:t>
            </w:r>
          </w:p>
        </w:tc>
        <w:tc>
          <w:tcPr>
            <w:tcW w:w="1140" w:type="dxa"/>
            <w:vAlign w:val="bottom"/>
          </w:tcPr>
          <w:p>
            <w:pPr>
              <w:jc w:val="right"/>
              <w:ind w:right="113"/>
              <w:spacing w:after="0" w:line="136" w:lineRule="exact"/>
              <w:rPr>
                <w:sz w:val="20"/>
                <w:szCs w:val="20"/>
                <w:color w:val="auto"/>
              </w:rPr>
            </w:pPr>
            <w:r>
              <w:rPr>
                <w:rFonts w:ascii="Arial" w:cs="Arial" w:eastAsia="Arial" w:hAnsi="Arial"/>
                <w:sz w:val="13"/>
                <w:szCs w:val="13"/>
                <w:color w:val="auto"/>
              </w:rPr>
              <w:t>21.4%</w:t>
            </w:r>
          </w:p>
        </w:tc>
        <w:tc>
          <w:tcPr>
            <w:tcW w:w="104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15.4%</w:t>
            </w:r>
          </w:p>
        </w:tc>
        <w:tc>
          <w:tcPr>
            <w:tcW w:w="880" w:type="dxa"/>
            <w:vAlign w:val="bottom"/>
            <w:tcBorders>
              <w:right w:val="single" w:sz="8" w:color="auto"/>
            </w:tcBorders>
          </w:tcPr>
          <w:p>
            <w:pPr>
              <w:jc w:val="right"/>
              <w:ind w:right="13"/>
              <w:spacing w:after="0" w:line="136" w:lineRule="exact"/>
              <w:rPr>
                <w:sz w:val="20"/>
                <w:szCs w:val="20"/>
                <w:color w:val="auto"/>
              </w:rPr>
            </w:pPr>
            <w:r>
              <w:rPr>
                <w:rFonts w:ascii="Arial" w:cs="Arial" w:eastAsia="Arial" w:hAnsi="Arial"/>
                <w:sz w:val="13"/>
                <w:szCs w:val="13"/>
                <w:color w:val="auto"/>
              </w:rPr>
              <w:t>21.5%</w:t>
            </w:r>
          </w:p>
        </w:tc>
        <w:tc>
          <w:tcPr>
            <w:tcW w:w="800" w:type="dxa"/>
            <w:vAlign w:val="bottom"/>
          </w:tcPr>
          <w:p>
            <w:pPr>
              <w:jc w:val="right"/>
              <w:ind w:right="13"/>
              <w:spacing w:after="0" w:line="136" w:lineRule="exact"/>
              <w:rPr>
                <w:sz w:val="20"/>
                <w:szCs w:val="20"/>
                <w:color w:val="auto"/>
              </w:rPr>
            </w:pPr>
            <w:r>
              <w:rPr>
                <w:rFonts w:ascii="Arial" w:cs="Arial" w:eastAsia="Arial" w:hAnsi="Arial"/>
                <w:sz w:val="13"/>
                <w:szCs w:val="13"/>
                <w:color w:val="auto"/>
              </w:rPr>
              <w:t>610 bps</w:t>
            </w:r>
          </w:p>
        </w:tc>
        <w:tc>
          <w:tcPr>
            <w:tcW w:w="7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10 bps</w:t>
            </w:r>
          </w:p>
        </w:tc>
        <w:tc>
          <w:tcPr>
            <w:tcW w:w="1240" w:type="dxa"/>
            <w:vAlign w:val="bottom"/>
          </w:tcPr>
          <w:p>
            <w:pPr>
              <w:jc w:val="right"/>
              <w:ind w:right="213"/>
              <w:spacing w:after="0" w:line="136" w:lineRule="exact"/>
              <w:rPr>
                <w:sz w:val="20"/>
                <w:szCs w:val="20"/>
                <w:color w:val="auto"/>
              </w:rPr>
            </w:pPr>
            <w:r>
              <w:rPr>
                <w:rFonts w:ascii="Arial" w:cs="Arial" w:eastAsia="Arial" w:hAnsi="Arial"/>
                <w:sz w:val="13"/>
                <w:szCs w:val="13"/>
                <w:color w:val="auto"/>
              </w:rPr>
              <w:t>18.2%</w:t>
            </w:r>
          </w:p>
        </w:tc>
        <w:tc>
          <w:tcPr>
            <w:tcW w:w="780" w:type="dxa"/>
            <w:vAlign w:val="bottom"/>
            <w:tcBorders>
              <w:right w:val="single" w:sz="8" w:color="auto"/>
            </w:tcBorders>
          </w:tcPr>
          <w:p>
            <w:pPr>
              <w:jc w:val="right"/>
              <w:ind w:right="13"/>
              <w:spacing w:after="0" w:line="136" w:lineRule="exact"/>
              <w:rPr>
                <w:sz w:val="20"/>
                <w:szCs w:val="20"/>
                <w:color w:val="auto"/>
              </w:rPr>
            </w:pPr>
            <w:r>
              <w:rPr>
                <w:rFonts w:ascii="Arial" w:cs="Arial" w:eastAsia="Arial" w:hAnsi="Arial"/>
                <w:sz w:val="13"/>
                <w:szCs w:val="13"/>
                <w:color w:val="auto"/>
              </w:rPr>
              <w:t>18.4%</w:t>
            </w:r>
          </w:p>
        </w:tc>
        <w:tc>
          <w:tcPr>
            <w:tcW w:w="8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30 bps</w:t>
            </w:r>
          </w:p>
        </w:tc>
      </w:tr>
      <w:tr>
        <w:trPr>
          <w:trHeight w:val="299"/>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 xml:space="preserve">Loss ratio </w:t>
            </w:r>
            <w:r>
              <w:rPr>
                <w:rFonts w:ascii="Arial" w:cs="Arial" w:eastAsia="Arial" w:hAnsi="Arial"/>
                <w:sz w:val="22"/>
                <w:szCs w:val="22"/>
                <w:color w:val="auto"/>
                <w:vertAlign w:val="superscript"/>
              </w:rPr>
              <w:t>(2)</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-71.3%</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-63.5%</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-65.2%</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-170 bps</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610 bps</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-87.3%</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-67.0%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2030 bps</w:t>
            </w:r>
          </w:p>
        </w:tc>
      </w:tr>
      <w:tr>
        <w:trPr>
          <w:trHeight w:val="207"/>
        </w:trPr>
        <w:tc>
          <w:tcPr>
            <w:tcW w:w="3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Fees + underwritting expenses, net / net earned premiums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-25.8%</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-25.5%</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-25.7%</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-20 bps</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 bps</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-26.7%</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-25.7%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100 bps</w:t>
            </w:r>
          </w:p>
        </w:tc>
      </w:tr>
      <w:tr>
        <w:trPr>
          <w:trHeight w:val="135"/>
        </w:trPr>
        <w:tc>
          <w:tcPr>
            <w:tcW w:w="3860" w:type="dxa"/>
            <w:vAlign w:val="bottom"/>
            <w:tcBorders>
              <w:left w:val="single" w:sz="8" w:color="auto"/>
              <w:right w:val="single" w:sz="8" w:color="auto"/>
            </w:tcBorders>
          </w:tcPr>
          <w:p>
            <w:pPr>
              <w:ind w:left="60"/>
              <w:spacing w:after="0" w:line="136" w:lineRule="exact"/>
              <w:rPr>
                <w:sz w:val="20"/>
                <w:szCs w:val="20"/>
                <w:color w:val="auto"/>
              </w:rPr>
            </w:pPr>
            <w:r>
              <w:rPr>
                <w:rFonts w:ascii="Arial" w:cs="Arial" w:eastAsia="Arial" w:hAnsi="Arial"/>
                <w:sz w:val="13"/>
                <w:szCs w:val="13"/>
                <w:color w:val="auto"/>
              </w:rPr>
              <w:t>Operating expenses / net earned premiums</w:t>
            </w:r>
          </w:p>
        </w:tc>
        <w:tc>
          <w:tcPr>
            <w:tcW w:w="1140" w:type="dxa"/>
            <w:vAlign w:val="bottom"/>
          </w:tcPr>
          <w:p>
            <w:pPr>
              <w:jc w:val="right"/>
              <w:ind w:right="113"/>
              <w:spacing w:after="0" w:line="136" w:lineRule="exact"/>
              <w:rPr>
                <w:sz w:val="20"/>
                <w:szCs w:val="20"/>
                <w:color w:val="auto"/>
              </w:rPr>
            </w:pPr>
            <w:r>
              <w:rPr>
                <w:rFonts w:ascii="Arial" w:cs="Arial" w:eastAsia="Arial" w:hAnsi="Arial"/>
                <w:sz w:val="13"/>
                <w:szCs w:val="13"/>
                <w:color w:val="auto"/>
              </w:rPr>
              <w:t>-18.4%</w:t>
            </w:r>
          </w:p>
        </w:tc>
        <w:tc>
          <w:tcPr>
            <w:tcW w:w="104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-16.4%</w:t>
            </w:r>
          </w:p>
        </w:tc>
        <w:tc>
          <w:tcPr>
            <w:tcW w:w="880" w:type="dxa"/>
            <w:vAlign w:val="bottom"/>
            <w:tcBorders>
              <w:right w:val="single" w:sz="8" w:color="auto"/>
            </w:tcBorders>
          </w:tcPr>
          <w:p>
            <w:pPr>
              <w:jc w:val="right"/>
              <w:ind w:right="13"/>
              <w:spacing w:after="0" w:line="136" w:lineRule="exact"/>
              <w:rPr>
                <w:sz w:val="20"/>
                <w:szCs w:val="20"/>
                <w:color w:val="auto"/>
              </w:rPr>
            </w:pPr>
            <w:r>
              <w:rPr>
                <w:rFonts w:ascii="Arial" w:cs="Arial" w:eastAsia="Arial" w:hAnsi="Arial"/>
                <w:sz w:val="13"/>
                <w:szCs w:val="13"/>
                <w:color w:val="auto"/>
              </w:rPr>
              <w:t>-22.8%</w:t>
            </w:r>
          </w:p>
        </w:tc>
        <w:tc>
          <w:tcPr>
            <w:tcW w:w="800" w:type="dxa"/>
            <w:vAlign w:val="bottom"/>
          </w:tcPr>
          <w:p>
            <w:pPr>
              <w:jc w:val="right"/>
              <w:ind w:right="13"/>
              <w:spacing w:after="0" w:line="136" w:lineRule="exact"/>
              <w:rPr>
                <w:sz w:val="20"/>
                <w:szCs w:val="20"/>
                <w:color w:val="auto"/>
              </w:rPr>
            </w:pPr>
            <w:r>
              <w:rPr>
                <w:rFonts w:ascii="Arial" w:cs="Arial" w:eastAsia="Arial" w:hAnsi="Arial"/>
                <w:sz w:val="13"/>
                <w:szCs w:val="13"/>
                <w:color w:val="auto"/>
              </w:rPr>
              <w:t>-640 bps</w:t>
            </w:r>
          </w:p>
        </w:tc>
        <w:tc>
          <w:tcPr>
            <w:tcW w:w="7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-440 bps</w:t>
            </w:r>
          </w:p>
        </w:tc>
        <w:tc>
          <w:tcPr>
            <w:tcW w:w="1240" w:type="dxa"/>
            <w:vAlign w:val="bottom"/>
          </w:tcPr>
          <w:p>
            <w:pPr>
              <w:jc w:val="right"/>
              <w:ind w:right="213"/>
              <w:spacing w:after="0" w:line="136" w:lineRule="exact"/>
              <w:rPr>
                <w:sz w:val="20"/>
                <w:szCs w:val="20"/>
                <w:color w:val="auto"/>
              </w:rPr>
            </w:pPr>
            <w:r>
              <w:rPr>
                <w:rFonts w:ascii="Arial" w:cs="Arial" w:eastAsia="Arial" w:hAnsi="Arial"/>
                <w:sz w:val="13"/>
                <w:szCs w:val="13"/>
                <w:color w:val="auto"/>
              </w:rPr>
              <w:t>-16.9%</w:t>
            </w:r>
          </w:p>
        </w:tc>
        <w:tc>
          <w:tcPr>
            <w:tcW w:w="780" w:type="dxa"/>
            <w:vAlign w:val="bottom"/>
            <w:tcBorders>
              <w:right w:val="single" w:sz="8" w:color="auto"/>
            </w:tcBorders>
          </w:tcPr>
          <w:p>
            <w:pPr>
              <w:jc w:val="right"/>
              <w:ind w:right="13"/>
              <w:spacing w:after="0" w:line="136" w:lineRule="exact"/>
              <w:rPr>
                <w:sz w:val="20"/>
                <w:szCs w:val="20"/>
                <w:color w:val="auto"/>
              </w:rPr>
            </w:pPr>
            <w:r>
              <w:rPr>
                <w:rFonts w:ascii="Arial" w:cs="Arial" w:eastAsia="Arial" w:hAnsi="Arial"/>
                <w:sz w:val="13"/>
                <w:szCs w:val="13"/>
                <w:color w:val="auto"/>
              </w:rPr>
              <w:t>-18.4%</w:t>
            </w:r>
          </w:p>
        </w:tc>
        <w:tc>
          <w:tcPr>
            <w:tcW w:w="8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-150 bps</w:t>
            </w:r>
          </w:p>
        </w:tc>
      </w:tr>
      <w:tr>
        <w:trPr>
          <w:trHeight w:val="166"/>
        </w:trPr>
        <w:tc>
          <w:tcPr>
            <w:tcW w:w="3860" w:type="dxa"/>
            <w:vAlign w:val="bottom"/>
            <w:tcBorders>
              <w:left w:val="single" w:sz="8" w:color="auto"/>
              <w:right w:val="single" w:sz="8" w:color="auto"/>
            </w:tcBorders>
          </w:tcPr>
          <w:p>
            <w:pPr>
              <w:ind w:left="60"/>
              <w:spacing w:after="0" w:line="166" w:lineRule="exact"/>
              <w:rPr>
                <w:sz w:val="20"/>
                <w:szCs w:val="20"/>
                <w:color w:val="auto"/>
              </w:rPr>
            </w:pPr>
            <w:r>
              <w:rPr>
                <w:rFonts w:ascii="Arial" w:cs="Arial" w:eastAsia="Arial" w:hAnsi="Arial"/>
                <w:sz w:val="19"/>
                <w:szCs w:val="19"/>
                <w:color w:val="auto"/>
                <w:vertAlign w:val="subscript"/>
              </w:rPr>
              <w:t>ROAE</w:t>
            </w:r>
            <w:r>
              <w:rPr>
                <w:rFonts w:ascii="Arial" w:cs="Arial" w:eastAsia="Arial" w:hAnsi="Arial"/>
                <w:sz w:val="9"/>
                <w:szCs w:val="9"/>
                <w:color w:val="auto"/>
              </w:rPr>
              <w:t xml:space="preserve"> (3)(4)</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11.8%</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30.1%</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21.0%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-910 bps</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920 bps</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-4.9%</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19.2%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2410 bps</w:t>
            </w:r>
          </w:p>
        </w:tc>
      </w:tr>
      <w:tr>
        <w:trPr>
          <w:trHeight w:val="135"/>
        </w:trPr>
        <w:tc>
          <w:tcPr>
            <w:tcW w:w="3860" w:type="dxa"/>
            <w:vAlign w:val="bottom"/>
            <w:tcBorders>
              <w:left w:val="single" w:sz="8" w:color="auto"/>
              <w:right w:val="single" w:sz="8" w:color="auto"/>
            </w:tcBorders>
          </w:tcPr>
          <w:p>
            <w:pPr>
              <w:ind w:left="60"/>
              <w:spacing w:after="0" w:line="136" w:lineRule="exact"/>
              <w:rPr>
                <w:sz w:val="20"/>
                <w:szCs w:val="20"/>
                <w:color w:val="auto"/>
              </w:rPr>
            </w:pPr>
            <w:r>
              <w:rPr>
                <w:rFonts w:ascii="Arial" w:cs="Arial" w:eastAsia="Arial" w:hAnsi="Arial"/>
                <w:sz w:val="13"/>
                <w:szCs w:val="13"/>
                <w:color w:val="auto"/>
              </w:rPr>
              <w:t>Return on written premiums</w:t>
            </w:r>
          </w:p>
        </w:tc>
        <w:tc>
          <w:tcPr>
            <w:tcW w:w="1140" w:type="dxa"/>
            <w:vAlign w:val="bottom"/>
          </w:tcPr>
          <w:p>
            <w:pPr>
              <w:jc w:val="right"/>
              <w:ind w:right="113"/>
              <w:spacing w:after="0" w:line="136" w:lineRule="exact"/>
              <w:rPr>
                <w:sz w:val="20"/>
                <w:szCs w:val="20"/>
                <w:color w:val="auto"/>
              </w:rPr>
            </w:pPr>
            <w:r>
              <w:rPr>
                <w:rFonts w:ascii="Arial" w:cs="Arial" w:eastAsia="Arial" w:hAnsi="Arial"/>
                <w:sz w:val="13"/>
                <w:szCs w:val="13"/>
                <w:color w:val="auto"/>
              </w:rPr>
              <w:t>4.8%</w:t>
            </w:r>
          </w:p>
        </w:tc>
        <w:tc>
          <w:tcPr>
            <w:tcW w:w="1040" w:type="dxa"/>
            <w:vAlign w:val="bottom"/>
          </w:tcPr>
          <w:p>
            <w:pPr>
              <w:jc w:val="right"/>
              <w:ind w:right="133"/>
              <w:spacing w:after="0" w:line="136" w:lineRule="exact"/>
              <w:rPr>
                <w:sz w:val="20"/>
                <w:szCs w:val="20"/>
                <w:color w:val="auto"/>
              </w:rPr>
            </w:pPr>
            <w:r>
              <w:rPr>
                <w:rFonts w:ascii="Arial" w:cs="Arial" w:eastAsia="Arial" w:hAnsi="Arial"/>
                <w:sz w:val="13"/>
                <w:szCs w:val="13"/>
                <w:color w:val="auto"/>
              </w:rPr>
              <w:t>14.3%</w:t>
            </w:r>
          </w:p>
        </w:tc>
        <w:tc>
          <w:tcPr>
            <w:tcW w:w="880" w:type="dxa"/>
            <w:vAlign w:val="bottom"/>
            <w:tcBorders>
              <w:right w:val="single" w:sz="8" w:color="auto"/>
            </w:tcBorders>
          </w:tcPr>
          <w:p>
            <w:pPr>
              <w:jc w:val="right"/>
              <w:ind w:right="13"/>
              <w:spacing w:after="0" w:line="136" w:lineRule="exact"/>
              <w:rPr>
                <w:sz w:val="20"/>
                <w:szCs w:val="20"/>
                <w:color w:val="auto"/>
              </w:rPr>
            </w:pPr>
            <w:r>
              <w:rPr>
                <w:rFonts w:ascii="Arial" w:cs="Arial" w:eastAsia="Arial" w:hAnsi="Arial"/>
                <w:sz w:val="13"/>
                <w:szCs w:val="13"/>
                <w:color w:val="auto"/>
              </w:rPr>
              <w:t>9.7%</w:t>
            </w:r>
          </w:p>
        </w:tc>
        <w:tc>
          <w:tcPr>
            <w:tcW w:w="800" w:type="dxa"/>
            <w:vAlign w:val="bottom"/>
          </w:tcPr>
          <w:p>
            <w:pPr>
              <w:jc w:val="right"/>
              <w:ind w:right="13"/>
              <w:spacing w:after="0" w:line="136" w:lineRule="exact"/>
              <w:rPr>
                <w:sz w:val="20"/>
                <w:szCs w:val="20"/>
                <w:color w:val="auto"/>
              </w:rPr>
            </w:pPr>
            <w:r>
              <w:rPr>
                <w:rFonts w:ascii="Arial" w:cs="Arial" w:eastAsia="Arial" w:hAnsi="Arial"/>
                <w:sz w:val="13"/>
                <w:szCs w:val="13"/>
                <w:color w:val="auto"/>
              </w:rPr>
              <w:t>-460 bps</w:t>
            </w:r>
          </w:p>
        </w:tc>
        <w:tc>
          <w:tcPr>
            <w:tcW w:w="7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color w:val="auto"/>
              </w:rPr>
              <w:t>490 bps</w:t>
            </w:r>
          </w:p>
        </w:tc>
        <w:tc>
          <w:tcPr>
            <w:tcW w:w="1240" w:type="dxa"/>
            <w:vAlign w:val="bottom"/>
          </w:tcPr>
          <w:p>
            <w:pPr>
              <w:jc w:val="right"/>
              <w:ind w:right="213"/>
              <w:spacing w:after="0" w:line="136" w:lineRule="exact"/>
              <w:rPr>
                <w:sz w:val="20"/>
                <w:szCs w:val="20"/>
                <w:color w:val="auto"/>
              </w:rPr>
            </w:pPr>
            <w:r>
              <w:rPr>
                <w:rFonts w:ascii="Arial" w:cs="Arial" w:eastAsia="Arial" w:hAnsi="Arial"/>
                <w:sz w:val="13"/>
                <w:szCs w:val="13"/>
                <w:color w:val="auto"/>
              </w:rPr>
              <w:t>-10.5%</w:t>
            </w:r>
          </w:p>
        </w:tc>
        <w:tc>
          <w:tcPr>
            <w:tcW w:w="780" w:type="dxa"/>
            <w:vAlign w:val="bottom"/>
            <w:tcBorders>
              <w:right w:val="single" w:sz="8" w:color="auto"/>
            </w:tcBorders>
          </w:tcPr>
          <w:p>
            <w:pPr>
              <w:jc w:val="right"/>
              <w:ind w:right="13"/>
              <w:spacing w:after="0" w:line="136" w:lineRule="exact"/>
              <w:rPr>
                <w:sz w:val="20"/>
                <w:szCs w:val="20"/>
                <w:color w:val="auto"/>
              </w:rPr>
            </w:pPr>
            <w:r>
              <w:rPr>
                <w:rFonts w:ascii="Arial" w:cs="Arial" w:eastAsia="Arial" w:hAnsi="Arial"/>
                <w:sz w:val="13"/>
                <w:szCs w:val="13"/>
                <w:color w:val="auto"/>
              </w:rPr>
              <w:t>20.1%</w:t>
            </w:r>
          </w:p>
        </w:tc>
        <w:tc>
          <w:tcPr>
            <w:tcW w:w="8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3060 bps</w:t>
            </w:r>
          </w:p>
        </w:tc>
      </w:tr>
      <w:tr>
        <w:trPr>
          <w:trHeight w:val="151"/>
        </w:trPr>
        <w:tc>
          <w:tcPr>
            <w:tcW w:w="3860" w:type="dxa"/>
            <w:vAlign w:val="bottom"/>
            <w:tcBorders>
              <w:left w:val="single" w:sz="8" w:color="auto"/>
              <w:right w:val="single" w:sz="8" w:color="auto"/>
            </w:tcBorders>
          </w:tcPr>
          <w:p>
            <w:pPr>
              <w:ind w:left="60"/>
              <w:spacing w:after="0" w:line="151" w:lineRule="exact"/>
              <w:rPr>
                <w:sz w:val="20"/>
                <w:szCs w:val="20"/>
                <w:color w:val="auto"/>
              </w:rPr>
            </w:pPr>
            <w:r>
              <w:rPr>
                <w:rFonts w:ascii="Arial" w:cs="Arial" w:eastAsia="Arial" w:hAnsi="Arial"/>
                <w:sz w:val="11"/>
                <w:szCs w:val="11"/>
                <w:color w:val="auto"/>
              </w:rPr>
              <w:t xml:space="preserve">Combined ratio of Life </w:t>
            </w:r>
            <w:r>
              <w:rPr>
                <w:rFonts w:ascii="Arial" w:cs="Arial" w:eastAsia="Arial" w:hAnsi="Arial"/>
                <w:sz w:val="17"/>
                <w:szCs w:val="17"/>
                <w:color w:val="auto"/>
                <w:vertAlign w:val="superscript"/>
              </w:rPr>
              <w:t>(5)</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96.7%</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79.6%</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84.6%</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500 bps</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-1210 bps</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96.7%</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84.6%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-1210 bps</w:t>
            </w:r>
          </w:p>
        </w:tc>
      </w:tr>
      <w:tr>
        <w:trPr>
          <w:trHeight w:val="151"/>
        </w:trPr>
        <w:tc>
          <w:tcPr>
            <w:tcW w:w="3860" w:type="dxa"/>
            <w:vAlign w:val="bottom"/>
            <w:tcBorders>
              <w:left w:val="single" w:sz="8" w:color="auto"/>
              <w:right w:val="single" w:sz="8" w:color="auto"/>
            </w:tcBorders>
          </w:tcPr>
          <w:p>
            <w:pPr>
              <w:ind w:left="60"/>
              <w:spacing w:after="0" w:line="151" w:lineRule="exact"/>
              <w:rPr>
                <w:sz w:val="20"/>
                <w:szCs w:val="20"/>
                <w:color w:val="auto"/>
              </w:rPr>
            </w:pPr>
            <w:r>
              <w:rPr>
                <w:rFonts w:ascii="Arial" w:cs="Arial" w:eastAsia="Arial" w:hAnsi="Arial"/>
                <w:sz w:val="11"/>
                <w:szCs w:val="11"/>
                <w:color w:val="auto"/>
              </w:rPr>
              <w:t xml:space="preserve">Combined ratio of P&amp;C </w:t>
            </w:r>
            <w:r>
              <w:rPr>
                <w:rFonts w:ascii="Arial" w:cs="Arial" w:eastAsia="Arial" w:hAnsi="Arial"/>
                <w:sz w:val="17"/>
                <w:szCs w:val="17"/>
                <w:color w:val="auto"/>
                <w:vertAlign w:val="superscript"/>
              </w:rPr>
              <w:t>(6)</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87.0%</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91.2%</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93.1%</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190 bps</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610 bps</w:t>
            </w:r>
          </w:p>
        </w:tc>
        <w:tc>
          <w:tcPr>
            <w:tcW w:w="1240" w:type="dxa"/>
            <w:vAlign w:val="bottom"/>
          </w:tcPr>
          <w:p>
            <w:pPr>
              <w:jc w:val="right"/>
              <w:ind w:right="213"/>
              <w:spacing w:after="0"/>
              <w:rPr>
                <w:sz w:val="20"/>
                <w:szCs w:val="20"/>
                <w:color w:val="auto"/>
              </w:rPr>
            </w:pPr>
            <w:r>
              <w:rPr>
                <w:rFonts w:ascii="Arial" w:cs="Arial" w:eastAsia="Arial" w:hAnsi="Arial"/>
                <w:sz w:val="13"/>
                <w:szCs w:val="13"/>
                <w:color w:val="auto"/>
              </w:rPr>
              <w:t>87.0%</w:t>
            </w:r>
          </w:p>
        </w:tc>
        <w:tc>
          <w:tcPr>
            <w:tcW w:w="7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93.1%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610 bps</w:t>
            </w:r>
          </w:p>
        </w:tc>
      </w:tr>
      <w:tr>
        <w:trPr>
          <w:trHeight w:val="179"/>
        </w:trPr>
        <w:tc>
          <w:tcPr>
            <w:tcW w:w="3860" w:type="dxa"/>
            <w:vAlign w:val="bottom"/>
            <w:tcBorders>
              <w:left w:val="single" w:sz="8" w:color="auto"/>
              <w:bottom w:val="single" w:sz="8" w:color="auto"/>
              <w:right w:val="single" w:sz="8" w:color="auto"/>
            </w:tcBorders>
          </w:tcPr>
          <w:p>
            <w:pPr>
              <w:ind w:left="60"/>
              <w:spacing w:after="0" w:line="174" w:lineRule="exact"/>
              <w:rPr>
                <w:sz w:val="20"/>
                <w:szCs w:val="20"/>
                <w:color w:val="auto"/>
              </w:rPr>
            </w:pPr>
            <w:r>
              <w:rPr>
                <w:rFonts w:ascii="Arial" w:cs="Arial" w:eastAsia="Arial" w:hAnsi="Arial"/>
                <w:sz w:val="12"/>
                <w:szCs w:val="12"/>
                <w:color w:val="auto"/>
              </w:rPr>
              <w:t xml:space="preserve">Equity requirement ratio </w:t>
            </w:r>
            <w:r>
              <w:rPr>
                <w:rFonts w:ascii="Arial" w:cs="Arial" w:eastAsia="Arial" w:hAnsi="Arial"/>
                <w:sz w:val="20"/>
                <w:szCs w:val="20"/>
                <w:color w:val="auto"/>
                <w:vertAlign w:val="superscript"/>
              </w:rPr>
              <w:t>(7)</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1.18</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1.15</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1.15</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0 bps</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-300 bps</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1.18</w:t>
            </w:r>
          </w:p>
        </w:tc>
        <w:tc>
          <w:tcPr>
            <w:tcW w:w="7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1.15</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-300 bps</w:t>
            </w:r>
          </w:p>
        </w:tc>
      </w:tr>
    </w:tbl>
    <w:p>
      <w:pPr>
        <w:spacing w:after="0" w:line="209" w:lineRule="exact"/>
        <w:rPr>
          <w:sz w:val="20"/>
          <w:szCs w:val="20"/>
          <w:color w:val="auto"/>
        </w:rPr>
      </w:pPr>
    </w:p>
    <w:p>
      <w:pPr>
        <w:ind w:left="20"/>
        <w:spacing w:after="0"/>
        <w:rPr>
          <w:sz w:val="20"/>
          <w:szCs w:val="20"/>
          <w:color w:val="auto"/>
        </w:rPr>
      </w:pPr>
      <w:r>
        <w:rPr>
          <w:rFonts w:ascii="Arial" w:cs="Arial" w:eastAsia="Arial" w:hAnsi="Arial"/>
          <w:sz w:val="12"/>
          <w:szCs w:val="12"/>
          <w:color w:val="auto"/>
        </w:rPr>
        <w:t>*Financial statements without consolidation adjustments.</w:t>
      </w:r>
    </w:p>
    <w:p>
      <w:pPr>
        <w:ind w:left="200" w:hanging="179"/>
        <w:spacing w:after="0" w:line="218" w:lineRule="auto"/>
        <w:tabs>
          <w:tab w:leader="none" w:pos="2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Excluding investments in real estate.</w:t>
      </w:r>
    </w:p>
    <w:p>
      <w:pPr>
        <w:ind w:left="200" w:hanging="179"/>
        <w:spacing w:after="0" w:line="218" w:lineRule="auto"/>
        <w:tabs>
          <w:tab w:leader="none" w:pos="2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Net claims / Net earned premiums.</w:t>
      </w:r>
    </w:p>
    <w:p>
      <w:pPr>
        <w:ind w:left="200" w:hanging="179"/>
        <w:spacing w:after="0" w:line="218" w:lineRule="auto"/>
        <w:tabs>
          <w:tab w:leader="none" w:pos="2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Includes unrealized gains.</w:t>
      </w:r>
    </w:p>
    <w:p>
      <w:pPr>
        <w:ind w:left="200" w:hanging="179"/>
        <w:spacing w:after="0" w:line="218" w:lineRule="auto"/>
        <w:tabs>
          <w:tab w:leader="none" w:pos="2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Annualized and average are determined as the average of period beginning and period ending.</w:t>
      </w:r>
    </w:p>
    <w:p>
      <w:pPr>
        <w:ind w:left="20" w:right="20" w:firstLine="1"/>
        <w:spacing w:after="0" w:line="218" w:lineRule="auto"/>
        <w:tabs>
          <w:tab w:leader="none" w:pos="2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(Net claims / Net earned premiums) + Reserves / Net earned premiums) + [(Acquisition cost + total expenses) / Net earned premiums] - (Net Financial Income without real state sales, securities sales, impairment loss and fluctuation / Net earned premiums).</w:t>
      </w:r>
    </w:p>
    <w:p>
      <w:pPr>
        <w:ind w:left="200" w:hanging="179"/>
        <w:spacing w:after="0" w:line="218" w:lineRule="auto"/>
        <w:tabs>
          <w:tab w:leader="none" w:pos="2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(Net claims / Net earned premiums) + [(Acquisition cost + total expenses) / Net earned premiums].</w:t>
      </w:r>
    </w:p>
    <w:p>
      <w:pPr>
        <w:ind w:left="200" w:hanging="179"/>
        <w:spacing w:after="0"/>
        <w:tabs>
          <w:tab w:leader="none" w:pos="2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Support to cover credit risk, market risk and operational risk.</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From 1Q15 and on, Grupo Pacifico’s financial statements reflect the agreement with Banmedica (in equal parts) of the businesses of:</w:t>
      </w:r>
    </w:p>
    <w:p>
      <w:pPr>
        <w:spacing w:after="0" w:line="2" w:lineRule="exact"/>
        <w:rPr>
          <w:sz w:val="20"/>
          <w:szCs w:val="20"/>
          <w:color w:val="auto"/>
        </w:rPr>
      </w:pPr>
    </w:p>
    <w:p>
      <w:pPr>
        <w:ind w:left="680" w:hanging="332"/>
        <w:spacing w:after="0"/>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private health insurance managed by Grupo Pacifico and included in its Financial Statements in each of the accounting lines;</w:t>
      </w:r>
    </w:p>
    <w:p>
      <w:pPr>
        <w:ind w:left="680" w:hanging="332"/>
        <w:spacing w:after="0" w:line="231" w:lineRule="auto"/>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corporate health insurance (dependent workers); and</w:t>
      </w:r>
    </w:p>
    <w:p>
      <w:pPr>
        <w:ind w:left="680" w:hanging="332"/>
        <w:spacing w:after="0"/>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medical services.</w:t>
      </w:r>
    </w:p>
    <w:p>
      <w:pPr>
        <w:spacing w:after="0" w:line="166" w:lineRule="exact"/>
        <w:rPr>
          <w:sz w:val="20"/>
          <w:szCs w:val="20"/>
          <w:color w:val="auto"/>
        </w:rPr>
      </w:pPr>
    </w:p>
    <w:p>
      <w:pPr>
        <w:ind w:left="20" w:right="20"/>
        <w:spacing w:after="0" w:line="263"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 The 50% of net income generated by Banmedica is recorded in Grupo Pacifico’s income Statement as a gain/loss on investments in subsidiaries.</w:t>
      </w:r>
    </w:p>
    <w:p>
      <w:pPr>
        <w:spacing w:after="0" w:line="138" w:lineRule="exact"/>
        <w:rPr>
          <w:sz w:val="20"/>
          <w:szCs w:val="20"/>
          <w:color w:val="auto"/>
        </w:rPr>
      </w:pPr>
    </w:p>
    <w:p>
      <w:pPr>
        <w:ind w:left="20" w:right="20"/>
        <w:spacing w:after="0" w:line="263" w:lineRule="auto"/>
        <w:rPr>
          <w:sz w:val="20"/>
          <w:szCs w:val="20"/>
          <w:color w:val="auto"/>
        </w:rPr>
      </w:pPr>
      <w:r>
        <w:rPr>
          <w:rFonts w:ascii="Arial" w:cs="Arial" w:eastAsia="Arial" w:hAnsi="Arial"/>
          <w:sz w:val="17"/>
          <w:szCs w:val="17"/>
          <w:color w:val="auto"/>
        </w:rPr>
        <w:t>As explained before, corporate health insurance and medical services businesses are consolidated by Banmedica. The following table reflects the consolidated results from which Grupo Pacifico receives the 50% net income.</w:t>
      </w:r>
    </w:p>
    <w:p>
      <w:pPr>
        <w:spacing w:after="0" w:line="122" w:lineRule="exact"/>
        <w:rPr>
          <w:sz w:val="20"/>
          <w:szCs w:val="20"/>
          <w:color w:val="auto"/>
        </w:rPr>
      </w:pPr>
    </w:p>
    <w:p>
      <w:pPr>
        <w:ind w:left="111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41845" cy="1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80"/>
          </w:cols>
          <w:pgMar w:left="300" w:top="433" w:right="319" w:bottom="1440" w:gutter="0" w:footer="0" w:header="0"/>
        </w:sectPr>
      </w:pPr>
    </w:p>
    <w:bookmarkStart w:id="68" w:name="page69"/>
    <w:bookmarkEnd w:id="68"/>
    <w:p>
      <w:pPr>
        <w:ind w:left="2980"/>
        <w:spacing w:after="0"/>
        <w:tabs>
          <w:tab w:leader="none" w:pos="752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88900</wp:posOffset>
            </wp:positionV>
            <wp:extent cx="7141845" cy="535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141845" cy="3517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1845" cy="3517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FFFFFF"/>
        </w:rPr>
        <w:t>12. Appendix</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Corporate health insurance and Medical services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 in thousands )</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 w:type="dxa"/>
            <w:vAlign w:val="bottom"/>
          </w:tcPr>
          <w:p>
            <w:pPr>
              <w:spacing w:after="0"/>
              <w:rPr>
                <w:sz w:val="14"/>
                <w:szCs w:val="14"/>
                <w:color w:val="auto"/>
              </w:rPr>
            </w:pPr>
          </w:p>
        </w:tc>
        <w:tc>
          <w:tcPr>
            <w:tcW w:w="3820" w:type="dxa"/>
            <w:vAlign w:val="bottom"/>
            <w:tcBorders>
              <w:right w:val="single" w:sz="8" w:color="auto"/>
            </w:tcBorders>
          </w:tcPr>
          <w:p>
            <w:pPr>
              <w:spacing w:after="0"/>
              <w:rPr>
                <w:sz w:val="14"/>
                <w:szCs w:val="14"/>
                <w:color w:val="auto"/>
              </w:rPr>
            </w:pPr>
          </w:p>
        </w:tc>
        <w:tc>
          <w:tcPr>
            <w:tcW w:w="1140" w:type="dxa"/>
            <w:vAlign w:val="bottom"/>
            <w:tcBorders>
              <w:top w:val="single" w:sz="8" w:color="auto"/>
            </w:tcBorders>
            <w:shd w:val="clear" w:color="auto" w:fill="2AD2C9"/>
          </w:tcPr>
          <w:p>
            <w:pPr>
              <w:spacing w:after="0"/>
              <w:rPr>
                <w:sz w:val="14"/>
                <w:szCs w:val="14"/>
                <w:color w:val="auto"/>
              </w:rPr>
            </w:pPr>
          </w:p>
        </w:tc>
        <w:tc>
          <w:tcPr>
            <w:tcW w:w="1040" w:type="dxa"/>
            <w:vAlign w:val="bottom"/>
            <w:tcBorders>
              <w:top w:val="single" w:sz="8" w:color="auto"/>
            </w:tcBorders>
            <w:shd w:val="clear" w:color="auto" w:fill="2AD2C9"/>
          </w:tcPr>
          <w:p>
            <w:pPr>
              <w:jc w:val="right"/>
              <w:ind w:right="353"/>
              <w:spacing w:after="0"/>
              <w:rPr>
                <w:sz w:val="20"/>
                <w:szCs w:val="20"/>
                <w:color w:val="auto"/>
              </w:rPr>
            </w:pPr>
            <w:r>
              <w:rPr>
                <w:rFonts w:ascii="Arial" w:cs="Arial" w:eastAsia="Arial" w:hAnsi="Arial"/>
                <w:sz w:val="13"/>
                <w:szCs w:val="13"/>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4"/>
                <w:szCs w:val="14"/>
                <w:color w:val="auto"/>
              </w:rPr>
            </w:pPr>
          </w:p>
        </w:tc>
        <w:tc>
          <w:tcPr>
            <w:tcW w:w="1560" w:type="dxa"/>
            <w:vAlign w:val="bottom"/>
            <w:tcBorders>
              <w:top w:val="single" w:sz="8" w:color="auto"/>
              <w:right w:val="single" w:sz="8" w:color="auto"/>
            </w:tcBorders>
            <w:gridSpan w:val="2"/>
            <w:shd w:val="clear" w:color="auto" w:fill="2AD2C9"/>
          </w:tcPr>
          <w:p>
            <w:pPr>
              <w:ind w:left="460"/>
              <w:spacing w:after="0"/>
              <w:rPr>
                <w:sz w:val="20"/>
                <w:szCs w:val="20"/>
                <w:color w:val="auto"/>
              </w:rPr>
            </w:pPr>
            <w:r>
              <w:rPr>
                <w:rFonts w:ascii="Arial" w:cs="Arial" w:eastAsia="Arial" w:hAnsi="Arial"/>
                <w:sz w:val="13"/>
                <w:szCs w:val="13"/>
                <w:b w:val="1"/>
                <w:bCs w:val="1"/>
                <w:color w:val="FFFFFF"/>
              </w:rPr>
              <w:t>% change</w:t>
            </w:r>
          </w:p>
        </w:tc>
        <w:tc>
          <w:tcPr>
            <w:tcW w:w="124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760" w:type="dxa"/>
            <w:vAlign w:val="bottom"/>
            <w:tcBorders>
              <w:top w:val="single" w:sz="8" w:color="auto"/>
              <w:right w:val="single" w:sz="8" w:color="auto"/>
            </w:tcBorders>
            <w:shd w:val="clear" w:color="auto" w:fill="2AD2C9"/>
          </w:tcPr>
          <w:p>
            <w:pPr>
              <w:spacing w:after="0"/>
              <w:rPr>
                <w:sz w:val="14"/>
                <w:szCs w:val="14"/>
                <w:color w:val="auto"/>
              </w:rPr>
            </w:pPr>
          </w:p>
        </w:tc>
        <w:tc>
          <w:tcPr>
            <w:tcW w:w="78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 change</w:t>
            </w:r>
          </w:p>
        </w:tc>
      </w:tr>
      <w:tr>
        <w:trPr>
          <w:trHeight w:val="166"/>
        </w:trPr>
        <w:tc>
          <w:tcPr>
            <w:tcW w:w="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shd w:val="clear" w:color="auto" w:fill="2AD2C9"/>
          </w:tcPr>
          <w:p>
            <w:pPr>
              <w:jc w:val="right"/>
              <w:ind w:right="433"/>
              <w:spacing w:after="0"/>
              <w:rPr>
                <w:sz w:val="20"/>
                <w:szCs w:val="20"/>
                <w:color w:val="auto"/>
              </w:rPr>
            </w:pPr>
            <w:r>
              <w:rPr>
                <w:rFonts w:ascii="Arial" w:cs="Arial" w:eastAsia="Arial" w:hAnsi="Arial"/>
                <w:sz w:val="13"/>
                <w:szCs w:val="13"/>
                <w:b w:val="1"/>
                <w:bCs w:val="1"/>
                <w:color w:val="FFFFFF"/>
              </w:rPr>
              <w:t>4Q21</w:t>
            </w:r>
          </w:p>
        </w:tc>
        <w:tc>
          <w:tcPr>
            <w:tcW w:w="1040" w:type="dxa"/>
            <w:vAlign w:val="bottom"/>
            <w:tcBorders>
              <w:bottom w:val="single" w:sz="8" w:color="auto"/>
            </w:tcBorders>
            <w:shd w:val="clear" w:color="auto" w:fill="2AD2C9"/>
          </w:tcPr>
          <w:p>
            <w:pPr>
              <w:jc w:val="right"/>
              <w:ind w:right="453"/>
              <w:spacing w:after="0"/>
              <w:rPr>
                <w:sz w:val="20"/>
                <w:szCs w:val="20"/>
                <w:color w:val="auto"/>
              </w:rPr>
            </w:pPr>
            <w:r>
              <w:rPr>
                <w:rFonts w:ascii="Arial" w:cs="Arial" w:eastAsia="Arial" w:hAnsi="Arial"/>
                <w:sz w:val="13"/>
                <w:szCs w:val="13"/>
                <w:b w:val="1"/>
                <w:bCs w:val="1"/>
                <w:color w:val="FFFFFF"/>
              </w:rPr>
              <w:t>3Q22</w:t>
            </w:r>
          </w:p>
        </w:tc>
        <w:tc>
          <w:tcPr>
            <w:tcW w:w="880" w:type="dxa"/>
            <w:vAlign w:val="bottom"/>
            <w:tcBorders>
              <w:bottom w:val="single" w:sz="8" w:color="auto"/>
              <w:right w:val="single" w:sz="8" w:color="auto"/>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4Q22</w:t>
            </w: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YoY</w:t>
            </w:r>
          </w:p>
        </w:tc>
        <w:tc>
          <w:tcPr>
            <w:tcW w:w="1240" w:type="dxa"/>
            <w:vAlign w:val="bottom"/>
            <w:tcBorders>
              <w:bottom w:val="single" w:sz="8" w:color="auto"/>
            </w:tcBorders>
            <w:shd w:val="clear" w:color="auto" w:fill="2AD2C9"/>
          </w:tcPr>
          <w:p>
            <w:pPr>
              <w:jc w:val="right"/>
              <w:ind w:right="533"/>
              <w:spacing w:after="0"/>
              <w:rPr>
                <w:sz w:val="20"/>
                <w:szCs w:val="20"/>
                <w:color w:val="auto"/>
              </w:rPr>
            </w:pPr>
            <w:r>
              <w:rPr>
                <w:rFonts w:ascii="Arial" w:cs="Arial" w:eastAsia="Arial" w:hAnsi="Arial"/>
                <w:sz w:val="13"/>
                <w:szCs w:val="13"/>
                <w:b w:val="1"/>
                <w:bCs w:val="1"/>
                <w:color w:val="FFFFFF"/>
              </w:rPr>
              <w:t>2021</w:t>
            </w:r>
          </w:p>
        </w:tc>
        <w:tc>
          <w:tcPr>
            <w:tcW w:w="760" w:type="dxa"/>
            <w:vAlign w:val="bottom"/>
            <w:tcBorders>
              <w:bottom w:val="single" w:sz="8" w:color="auto"/>
              <w:right w:val="single" w:sz="8" w:color="auto"/>
            </w:tcBorders>
            <w:shd w:val="clear" w:color="auto" w:fill="2AD2C9"/>
          </w:tcPr>
          <w:p>
            <w:pPr>
              <w:jc w:val="right"/>
              <w:ind w:right="313"/>
              <w:spacing w:after="0"/>
              <w:rPr>
                <w:sz w:val="20"/>
                <w:szCs w:val="20"/>
                <w:color w:val="auto"/>
              </w:rPr>
            </w:pPr>
            <w:r>
              <w:rPr>
                <w:rFonts w:ascii="Arial" w:cs="Arial" w:eastAsia="Arial" w:hAnsi="Arial"/>
                <w:sz w:val="13"/>
                <w:szCs w:val="13"/>
                <w:b w:val="1"/>
                <w:bCs w:val="1"/>
                <w:color w:val="FFFFFF"/>
              </w:rPr>
              <w:t>2022</w:t>
            </w:r>
          </w:p>
        </w:tc>
        <w:tc>
          <w:tcPr>
            <w:tcW w:w="7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43"/>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Results</w:t>
            </w: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earned premiums</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303,539</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331,323</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320,372</w:t>
            </w:r>
          </w:p>
        </w:tc>
        <w:tc>
          <w:tcPr>
            <w:tcW w:w="760" w:type="dxa"/>
            <w:vAlign w:val="bottom"/>
          </w:tcPr>
          <w:p>
            <w:pPr>
              <w:jc w:val="center"/>
              <w:spacing w:after="0"/>
              <w:rPr>
                <w:sz w:val="20"/>
                <w:szCs w:val="20"/>
                <w:color w:val="auto"/>
              </w:rPr>
            </w:pPr>
            <w:r>
              <w:rPr>
                <w:rFonts w:ascii="Arial" w:cs="Arial" w:eastAsia="Arial" w:hAnsi="Arial"/>
                <w:sz w:val="13"/>
                <w:szCs w:val="13"/>
                <w:color w:val="auto"/>
              </w:rPr>
              <w:t>-3.3%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5.5%</w:t>
            </w:r>
          </w:p>
        </w:tc>
        <w:tc>
          <w:tcPr>
            <w:tcW w:w="1240" w:type="dxa"/>
            <w:vAlign w:val="bottom"/>
          </w:tcPr>
          <w:p>
            <w:pPr>
              <w:jc w:val="right"/>
              <w:ind w:right="233"/>
              <w:spacing w:after="0"/>
              <w:rPr>
                <w:sz w:val="20"/>
                <w:szCs w:val="20"/>
                <w:color w:val="auto"/>
              </w:rPr>
            </w:pPr>
            <w:r>
              <w:rPr>
                <w:rFonts w:ascii="Arial" w:cs="Arial" w:eastAsia="Arial" w:hAnsi="Arial"/>
                <w:sz w:val="13"/>
                <w:szCs w:val="13"/>
                <w:color w:val="auto"/>
              </w:rPr>
              <w:t>1,171,433</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1,281,649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9.4%</w:t>
            </w: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claims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(271,100)</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(276,094)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(258,466)</w:t>
            </w:r>
          </w:p>
        </w:tc>
        <w:tc>
          <w:tcPr>
            <w:tcW w:w="760" w:type="dxa"/>
            <w:vAlign w:val="bottom"/>
          </w:tcPr>
          <w:p>
            <w:pPr>
              <w:jc w:val="center"/>
              <w:spacing w:after="0"/>
              <w:rPr>
                <w:sz w:val="20"/>
                <w:szCs w:val="20"/>
                <w:color w:val="auto"/>
              </w:rPr>
            </w:pPr>
            <w:r>
              <w:rPr>
                <w:rFonts w:ascii="Arial" w:cs="Arial" w:eastAsia="Arial" w:hAnsi="Arial"/>
                <w:sz w:val="13"/>
                <w:szCs w:val="13"/>
                <w:color w:val="auto"/>
              </w:rPr>
              <w:t>-6.4%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-4.7%</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(1,019,908)</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(1,076,901)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5.6%</w:t>
            </w: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fees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(13,613)</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(14,323)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(14,511)</w:t>
            </w:r>
          </w:p>
        </w:tc>
        <w:tc>
          <w:tcPr>
            <w:tcW w:w="760" w:type="dxa"/>
            <w:vAlign w:val="bottom"/>
          </w:tcPr>
          <w:p>
            <w:pPr>
              <w:jc w:val="center"/>
              <w:spacing w:after="0"/>
              <w:rPr>
                <w:sz w:val="20"/>
                <w:szCs w:val="20"/>
                <w:color w:val="auto"/>
              </w:rPr>
            </w:pPr>
            <w:r>
              <w:rPr>
                <w:rFonts w:ascii="Arial" w:cs="Arial" w:eastAsia="Arial" w:hAnsi="Arial"/>
                <w:sz w:val="13"/>
                <w:szCs w:val="13"/>
                <w:color w:val="auto"/>
              </w:rPr>
              <w:t>1.3%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6.6%</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(50,990)</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(55,900)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9.6%</w:t>
            </w:r>
          </w:p>
        </w:tc>
      </w:tr>
      <w:tr>
        <w:trPr>
          <w:trHeight w:val="149"/>
        </w:trPr>
        <w:tc>
          <w:tcPr>
            <w:tcW w:w="40" w:type="dxa"/>
            <w:vAlign w:val="bottom"/>
            <w:tcBorders>
              <w:right w:val="single" w:sz="8" w:color="auto"/>
            </w:tcBorders>
            <w:shd w:val="clear" w:color="auto" w:fill="000000"/>
          </w:tcPr>
          <w:p>
            <w:pPr>
              <w:spacing w:after="0"/>
              <w:rPr>
                <w:sz w:val="12"/>
                <w:szCs w:val="12"/>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underwriting expenses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(2,282)</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(2,652)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(3,176)</w:t>
            </w:r>
          </w:p>
        </w:tc>
        <w:tc>
          <w:tcPr>
            <w:tcW w:w="760" w:type="dxa"/>
            <w:vAlign w:val="bottom"/>
          </w:tcPr>
          <w:p>
            <w:pPr>
              <w:jc w:val="center"/>
              <w:spacing w:after="0"/>
              <w:rPr>
                <w:sz w:val="20"/>
                <w:szCs w:val="20"/>
                <w:color w:val="auto"/>
              </w:rPr>
            </w:pPr>
            <w:r>
              <w:rPr>
                <w:rFonts w:ascii="Arial" w:cs="Arial" w:eastAsia="Arial" w:hAnsi="Arial"/>
                <w:sz w:val="13"/>
                <w:szCs w:val="13"/>
                <w:color w:val="auto"/>
              </w:rPr>
              <w:t>19.8%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39.2%</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(10,137)</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(11,596)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14.4%</w:t>
            </w:r>
          </w:p>
        </w:tc>
      </w:tr>
      <w:tr>
        <w:trPr>
          <w:trHeight w:val="185"/>
        </w:trPr>
        <w:tc>
          <w:tcPr>
            <w:tcW w:w="40" w:type="dxa"/>
            <w:vAlign w:val="bottom"/>
            <w:tcBorders>
              <w:right w:val="single" w:sz="8" w:color="auto"/>
            </w:tcBorders>
            <w:shd w:val="clear" w:color="auto" w:fill="000000"/>
          </w:tcPr>
          <w:p>
            <w:pPr>
              <w:spacing w:after="0"/>
              <w:rPr>
                <w:sz w:val="16"/>
                <w:szCs w:val="16"/>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Underwriting result</w:t>
            </w:r>
          </w:p>
        </w:tc>
        <w:tc>
          <w:tcPr>
            <w:tcW w:w="1140" w:type="dxa"/>
            <w:vAlign w:val="bottom"/>
          </w:tcPr>
          <w:p>
            <w:pPr>
              <w:jc w:val="right"/>
              <w:ind w:right="113"/>
              <w:spacing w:after="0"/>
              <w:rPr>
                <w:sz w:val="20"/>
                <w:szCs w:val="20"/>
                <w:color w:val="auto"/>
              </w:rPr>
            </w:pPr>
            <w:r>
              <w:rPr>
                <w:rFonts w:ascii="Arial" w:cs="Arial" w:eastAsia="Arial" w:hAnsi="Arial"/>
                <w:sz w:val="13"/>
                <w:szCs w:val="13"/>
                <w:b w:val="1"/>
                <w:bCs w:val="1"/>
                <w:color w:val="auto"/>
              </w:rPr>
              <w:t>16,544</w:t>
            </w:r>
          </w:p>
        </w:tc>
        <w:tc>
          <w:tcPr>
            <w:tcW w:w="1040" w:type="dxa"/>
            <w:vAlign w:val="bottom"/>
          </w:tcPr>
          <w:p>
            <w:pPr>
              <w:jc w:val="right"/>
              <w:ind w:right="133"/>
              <w:spacing w:after="0"/>
              <w:rPr>
                <w:sz w:val="20"/>
                <w:szCs w:val="20"/>
                <w:color w:val="auto"/>
              </w:rPr>
            </w:pPr>
            <w:r>
              <w:rPr>
                <w:rFonts w:ascii="Arial" w:cs="Arial" w:eastAsia="Arial" w:hAnsi="Arial"/>
                <w:sz w:val="13"/>
                <w:szCs w:val="13"/>
                <w:b w:val="1"/>
                <w:bCs w:val="1"/>
                <w:color w:val="auto"/>
              </w:rPr>
              <w:t>38,253</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44,219</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15.6%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167.3%</w:t>
            </w:r>
          </w:p>
        </w:tc>
        <w:tc>
          <w:tcPr>
            <w:tcW w:w="1240" w:type="dxa"/>
            <w:vAlign w:val="bottom"/>
          </w:tcPr>
          <w:p>
            <w:pPr>
              <w:jc w:val="right"/>
              <w:ind w:right="233"/>
              <w:spacing w:after="0"/>
              <w:rPr>
                <w:sz w:val="20"/>
                <w:szCs w:val="20"/>
                <w:color w:val="auto"/>
              </w:rPr>
            </w:pPr>
            <w:r>
              <w:rPr>
                <w:rFonts w:ascii="Arial" w:cs="Arial" w:eastAsia="Arial" w:hAnsi="Arial"/>
                <w:sz w:val="13"/>
                <w:szCs w:val="13"/>
                <w:b w:val="1"/>
                <w:bCs w:val="1"/>
                <w:color w:val="auto"/>
              </w:rPr>
              <w:t>90,397</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137,251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51.8%</w:t>
            </w:r>
          </w:p>
        </w:tc>
      </w:tr>
      <w:tr>
        <w:trPr>
          <w:trHeight w:val="270"/>
        </w:trPr>
        <w:tc>
          <w:tcPr>
            <w:tcW w:w="40" w:type="dxa"/>
            <w:vAlign w:val="bottom"/>
            <w:tcBorders>
              <w:right w:val="single" w:sz="8" w:color="auto"/>
            </w:tcBorders>
            <w:shd w:val="clear" w:color="auto" w:fill="000000"/>
          </w:tcPr>
          <w:p>
            <w:pPr>
              <w:spacing w:after="0"/>
              <w:rPr>
                <w:sz w:val="23"/>
                <w:szCs w:val="2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Net financial income</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1,351</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2,749</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2,639</w:t>
            </w:r>
          </w:p>
        </w:tc>
        <w:tc>
          <w:tcPr>
            <w:tcW w:w="760" w:type="dxa"/>
            <w:vAlign w:val="bottom"/>
          </w:tcPr>
          <w:p>
            <w:pPr>
              <w:jc w:val="center"/>
              <w:spacing w:after="0"/>
              <w:rPr>
                <w:sz w:val="20"/>
                <w:szCs w:val="20"/>
                <w:color w:val="auto"/>
              </w:rPr>
            </w:pPr>
            <w:r>
              <w:rPr>
                <w:rFonts w:ascii="Arial" w:cs="Arial" w:eastAsia="Arial" w:hAnsi="Arial"/>
                <w:sz w:val="13"/>
                <w:szCs w:val="13"/>
                <w:color w:val="auto"/>
              </w:rPr>
              <w:t>-4.0%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95.4%</w:t>
            </w:r>
          </w:p>
        </w:tc>
        <w:tc>
          <w:tcPr>
            <w:tcW w:w="1240" w:type="dxa"/>
            <w:vAlign w:val="bottom"/>
          </w:tcPr>
          <w:p>
            <w:pPr>
              <w:jc w:val="right"/>
              <w:ind w:right="233"/>
              <w:spacing w:after="0"/>
              <w:rPr>
                <w:sz w:val="20"/>
                <w:szCs w:val="20"/>
                <w:color w:val="auto"/>
              </w:rPr>
            </w:pPr>
            <w:r>
              <w:rPr>
                <w:rFonts w:ascii="Arial" w:cs="Arial" w:eastAsia="Arial" w:hAnsi="Arial"/>
                <w:sz w:val="13"/>
                <w:szCs w:val="13"/>
                <w:color w:val="auto"/>
              </w:rPr>
              <w:t>6,217</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9,030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45.2%</w:t>
            </w: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Total expenses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(25,499)</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(20,826)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(24,389)</w:t>
            </w:r>
          </w:p>
        </w:tc>
        <w:tc>
          <w:tcPr>
            <w:tcW w:w="760" w:type="dxa"/>
            <w:vAlign w:val="bottom"/>
          </w:tcPr>
          <w:p>
            <w:pPr>
              <w:jc w:val="center"/>
              <w:spacing w:after="0"/>
              <w:rPr>
                <w:sz w:val="20"/>
                <w:szCs w:val="20"/>
                <w:color w:val="auto"/>
              </w:rPr>
            </w:pPr>
            <w:r>
              <w:rPr>
                <w:rFonts w:ascii="Arial" w:cs="Arial" w:eastAsia="Arial" w:hAnsi="Arial"/>
                <w:sz w:val="13"/>
                <w:szCs w:val="13"/>
                <w:color w:val="auto"/>
              </w:rPr>
              <w:t>17.1%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-4.4%</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(88,112)</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(84,337)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-4.3%</w:t>
            </w: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Other income</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3,940</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(2,854)</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2,767</w:t>
            </w:r>
          </w:p>
        </w:tc>
        <w:tc>
          <w:tcPr>
            <w:tcW w:w="760" w:type="dxa"/>
            <w:vAlign w:val="bottom"/>
          </w:tcPr>
          <w:p>
            <w:pPr>
              <w:jc w:val="center"/>
              <w:spacing w:after="0"/>
              <w:rPr>
                <w:sz w:val="20"/>
                <w:szCs w:val="20"/>
                <w:color w:val="auto"/>
              </w:rPr>
            </w:pPr>
            <w:r>
              <w:rPr>
                <w:rFonts w:ascii="Arial" w:cs="Arial" w:eastAsia="Arial" w:hAnsi="Arial"/>
                <w:sz w:val="13"/>
                <w:szCs w:val="13"/>
                <w:color w:val="auto"/>
              </w:rPr>
              <w:t>n.a.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-29.8%</w:t>
            </w:r>
          </w:p>
        </w:tc>
        <w:tc>
          <w:tcPr>
            <w:tcW w:w="1240" w:type="dxa"/>
            <w:vAlign w:val="bottom"/>
          </w:tcPr>
          <w:p>
            <w:pPr>
              <w:jc w:val="right"/>
              <w:ind w:right="233"/>
              <w:spacing w:after="0"/>
              <w:rPr>
                <w:sz w:val="20"/>
                <w:szCs w:val="20"/>
                <w:color w:val="auto"/>
              </w:rPr>
            </w:pPr>
            <w:r>
              <w:rPr>
                <w:rFonts w:ascii="Arial" w:cs="Arial" w:eastAsia="Arial" w:hAnsi="Arial"/>
                <w:sz w:val="13"/>
                <w:szCs w:val="13"/>
                <w:color w:val="auto"/>
              </w:rPr>
              <w:t>3,502</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1,178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-66.4%</w:t>
            </w:r>
          </w:p>
        </w:tc>
      </w:tr>
      <w:tr>
        <w:trPr>
          <w:trHeight w:val="151"/>
        </w:trPr>
        <w:tc>
          <w:tcPr>
            <w:tcW w:w="40" w:type="dxa"/>
            <w:vAlign w:val="bottom"/>
            <w:tcBorders>
              <w:right w:val="single" w:sz="8" w:color="auto"/>
            </w:tcBorders>
            <w:shd w:val="clear" w:color="auto" w:fill="000000"/>
          </w:tcPr>
          <w:p>
            <w:pPr>
              <w:spacing w:after="0"/>
              <w:rPr>
                <w:sz w:val="13"/>
                <w:szCs w:val="13"/>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Traslations results</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(2,818)</w:t>
            </w:r>
          </w:p>
        </w:tc>
        <w:tc>
          <w:tcPr>
            <w:tcW w:w="1040" w:type="dxa"/>
            <w:vAlign w:val="bottom"/>
          </w:tcPr>
          <w:p>
            <w:pPr>
              <w:jc w:val="right"/>
              <w:ind w:right="133"/>
              <w:spacing w:after="0"/>
              <w:rPr>
                <w:sz w:val="20"/>
                <w:szCs w:val="20"/>
                <w:color w:val="auto"/>
              </w:rPr>
            </w:pPr>
            <w:r>
              <w:rPr>
                <w:rFonts w:ascii="Arial" w:cs="Arial" w:eastAsia="Arial" w:hAnsi="Arial"/>
                <w:sz w:val="13"/>
                <w:szCs w:val="13"/>
                <w:color w:val="auto"/>
              </w:rPr>
              <w:t>2,046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(2,843)</w:t>
            </w:r>
          </w:p>
        </w:tc>
        <w:tc>
          <w:tcPr>
            <w:tcW w:w="760" w:type="dxa"/>
            <w:vAlign w:val="bottom"/>
          </w:tcPr>
          <w:p>
            <w:pPr>
              <w:jc w:val="center"/>
              <w:spacing w:after="0"/>
              <w:rPr>
                <w:sz w:val="20"/>
                <w:szCs w:val="20"/>
                <w:color w:val="auto"/>
              </w:rPr>
            </w:pPr>
            <w:r>
              <w:rPr>
                <w:rFonts w:ascii="Arial" w:cs="Arial" w:eastAsia="Arial" w:hAnsi="Arial"/>
                <w:sz w:val="13"/>
                <w:szCs w:val="13"/>
                <w:color w:val="auto"/>
              </w:rPr>
              <w:t>-239.0%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0.9%</w:t>
            </w:r>
          </w:p>
        </w:tc>
        <w:tc>
          <w:tcPr>
            <w:tcW w:w="1240" w:type="dxa"/>
            <w:vAlign w:val="bottom"/>
          </w:tcPr>
          <w:p>
            <w:pPr>
              <w:jc w:val="right"/>
              <w:ind w:right="233"/>
              <w:spacing w:after="0"/>
              <w:rPr>
                <w:sz w:val="20"/>
                <w:szCs w:val="20"/>
                <w:color w:val="auto"/>
              </w:rPr>
            </w:pPr>
            <w:r>
              <w:rPr>
                <w:rFonts w:ascii="Arial" w:cs="Arial" w:eastAsia="Arial" w:hAnsi="Arial"/>
                <w:sz w:val="13"/>
                <w:szCs w:val="13"/>
                <w:color w:val="auto"/>
              </w:rPr>
              <w:t>6,659</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(3,410)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n.a.</w:t>
            </w: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Income tax</w:t>
            </w:r>
          </w:p>
        </w:tc>
        <w:tc>
          <w:tcPr>
            <w:tcW w:w="1140" w:type="dxa"/>
            <w:vAlign w:val="bottom"/>
          </w:tcPr>
          <w:p>
            <w:pPr>
              <w:jc w:val="right"/>
              <w:ind w:right="73"/>
              <w:spacing w:after="0"/>
              <w:rPr>
                <w:sz w:val="20"/>
                <w:szCs w:val="20"/>
                <w:color w:val="auto"/>
              </w:rPr>
            </w:pPr>
            <w:r>
              <w:rPr>
                <w:rFonts w:ascii="Arial" w:cs="Arial" w:eastAsia="Arial" w:hAnsi="Arial"/>
                <w:sz w:val="13"/>
                <w:szCs w:val="13"/>
                <w:color w:val="auto"/>
              </w:rPr>
              <w:t>(118)</w:t>
            </w:r>
          </w:p>
        </w:tc>
        <w:tc>
          <w:tcPr>
            <w:tcW w:w="1040" w:type="dxa"/>
            <w:vAlign w:val="bottom"/>
          </w:tcPr>
          <w:p>
            <w:pPr>
              <w:jc w:val="right"/>
              <w:ind w:right="93"/>
              <w:spacing w:after="0"/>
              <w:rPr>
                <w:sz w:val="20"/>
                <w:szCs w:val="20"/>
                <w:color w:val="auto"/>
              </w:rPr>
            </w:pPr>
            <w:r>
              <w:rPr>
                <w:rFonts w:ascii="Arial" w:cs="Arial" w:eastAsia="Arial" w:hAnsi="Arial"/>
                <w:sz w:val="13"/>
                <w:szCs w:val="13"/>
                <w:color w:val="auto"/>
              </w:rPr>
              <w:t>(12,191)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(3,977)</w:t>
            </w:r>
          </w:p>
        </w:tc>
        <w:tc>
          <w:tcPr>
            <w:tcW w:w="760" w:type="dxa"/>
            <w:vAlign w:val="bottom"/>
          </w:tcPr>
          <w:p>
            <w:pPr>
              <w:jc w:val="center"/>
              <w:spacing w:after="0"/>
              <w:rPr>
                <w:sz w:val="20"/>
                <w:szCs w:val="20"/>
                <w:color w:val="auto"/>
              </w:rPr>
            </w:pPr>
            <w:r>
              <w:rPr>
                <w:rFonts w:ascii="Arial" w:cs="Arial" w:eastAsia="Arial" w:hAnsi="Arial"/>
                <w:sz w:val="13"/>
                <w:szCs w:val="13"/>
                <w:color w:val="auto"/>
              </w:rPr>
              <w:t>-67.4%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n.a</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(13,436)</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(22,706)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69.0%</w:t>
            </w:r>
          </w:p>
        </w:tc>
      </w:tr>
      <w:tr>
        <w:trPr>
          <w:trHeight w:val="310"/>
        </w:trPr>
        <w:tc>
          <w:tcPr>
            <w:tcW w:w="40" w:type="dxa"/>
            <w:vAlign w:val="bottom"/>
            <w:tcBorders>
              <w:right w:val="single" w:sz="8" w:color="auto"/>
            </w:tcBorders>
            <w:shd w:val="clear" w:color="auto" w:fill="000000"/>
          </w:tcPr>
          <w:p>
            <w:pPr>
              <w:spacing w:after="0"/>
              <w:rPr>
                <w:sz w:val="24"/>
                <w:szCs w:val="24"/>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income before Medical services</w:t>
            </w:r>
          </w:p>
        </w:tc>
        <w:tc>
          <w:tcPr>
            <w:tcW w:w="1140" w:type="dxa"/>
            <w:vAlign w:val="bottom"/>
          </w:tcPr>
          <w:p>
            <w:pPr>
              <w:jc w:val="right"/>
              <w:ind w:right="73"/>
              <w:spacing w:after="0"/>
              <w:rPr>
                <w:sz w:val="20"/>
                <w:szCs w:val="20"/>
                <w:color w:val="auto"/>
              </w:rPr>
            </w:pPr>
            <w:r>
              <w:rPr>
                <w:rFonts w:ascii="Arial" w:cs="Arial" w:eastAsia="Arial" w:hAnsi="Arial"/>
                <w:sz w:val="13"/>
                <w:szCs w:val="13"/>
                <w:b w:val="1"/>
                <w:bCs w:val="1"/>
                <w:color w:val="auto"/>
              </w:rPr>
              <w:t>(6,601)</w:t>
            </w:r>
          </w:p>
        </w:tc>
        <w:tc>
          <w:tcPr>
            <w:tcW w:w="1040" w:type="dxa"/>
            <w:vAlign w:val="bottom"/>
          </w:tcPr>
          <w:p>
            <w:pPr>
              <w:jc w:val="right"/>
              <w:ind w:right="133"/>
              <w:spacing w:after="0"/>
              <w:rPr>
                <w:sz w:val="20"/>
                <w:szCs w:val="20"/>
                <w:color w:val="auto"/>
              </w:rPr>
            </w:pPr>
            <w:r>
              <w:rPr>
                <w:rFonts w:ascii="Arial" w:cs="Arial" w:eastAsia="Arial" w:hAnsi="Arial"/>
                <w:sz w:val="13"/>
                <w:szCs w:val="13"/>
                <w:b w:val="1"/>
                <w:bCs w:val="1"/>
                <w:color w:val="auto"/>
              </w:rPr>
              <w:t>7,176</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18,416</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156.6%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-379.0%</w:t>
            </w:r>
          </w:p>
        </w:tc>
        <w:tc>
          <w:tcPr>
            <w:tcW w:w="1240" w:type="dxa"/>
            <w:vAlign w:val="bottom"/>
          </w:tcPr>
          <w:p>
            <w:pPr>
              <w:jc w:val="right"/>
              <w:ind w:right="233"/>
              <w:spacing w:after="0"/>
              <w:rPr>
                <w:sz w:val="20"/>
                <w:szCs w:val="20"/>
                <w:color w:val="auto"/>
              </w:rPr>
            </w:pPr>
            <w:r>
              <w:rPr>
                <w:rFonts w:ascii="Arial" w:cs="Arial" w:eastAsia="Arial" w:hAnsi="Arial"/>
                <w:sz w:val="13"/>
                <w:szCs w:val="13"/>
                <w:b w:val="1"/>
                <w:bCs w:val="1"/>
                <w:color w:val="auto"/>
              </w:rPr>
              <w:t>5,227</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37,007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608.0%</w:t>
            </w:r>
          </w:p>
        </w:tc>
      </w:tr>
      <w:tr>
        <w:trPr>
          <w:trHeight w:val="302"/>
        </w:trPr>
        <w:tc>
          <w:tcPr>
            <w:tcW w:w="40" w:type="dxa"/>
            <w:vAlign w:val="bottom"/>
            <w:tcBorders>
              <w:right w:val="single" w:sz="8" w:color="auto"/>
            </w:tcBorders>
            <w:shd w:val="clear" w:color="auto" w:fill="000000"/>
          </w:tcPr>
          <w:p>
            <w:pPr>
              <w:spacing w:after="0"/>
              <w:rPr>
                <w:sz w:val="24"/>
                <w:szCs w:val="24"/>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income of Medical services</w:t>
            </w:r>
          </w:p>
        </w:tc>
        <w:tc>
          <w:tcPr>
            <w:tcW w:w="1140" w:type="dxa"/>
            <w:vAlign w:val="bottom"/>
          </w:tcPr>
          <w:p>
            <w:pPr>
              <w:jc w:val="right"/>
              <w:ind w:right="113"/>
              <w:spacing w:after="0"/>
              <w:rPr>
                <w:sz w:val="20"/>
                <w:szCs w:val="20"/>
                <w:color w:val="auto"/>
              </w:rPr>
            </w:pPr>
            <w:r>
              <w:rPr>
                <w:rFonts w:ascii="Arial" w:cs="Arial" w:eastAsia="Arial" w:hAnsi="Arial"/>
                <w:sz w:val="13"/>
                <w:szCs w:val="13"/>
                <w:b w:val="1"/>
                <w:bCs w:val="1"/>
                <w:color w:val="auto"/>
              </w:rPr>
              <w:t>24,088</w:t>
            </w:r>
          </w:p>
        </w:tc>
        <w:tc>
          <w:tcPr>
            <w:tcW w:w="1040" w:type="dxa"/>
            <w:vAlign w:val="bottom"/>
          </w:tcPr>
          <w:p>
            <w:pPr>
              <w:jc w:val="right"/>
              <w:ind w:right="133"/>
              <w:spacing w:after="0"/>
              <w:rPr>
                <w:sz w:val="20"/>
                <w:szCs w:val="20"/>
                <w:color w:val="auto"/>
              </w:rPr>
            </w:pPr>
            <w:r>
              <w:rPr>
                <w:rFonts w:ascii="Arial" w:cs="Arial" w:eastAsia="Arial" w:hAnsi="Arial"/>
                <w:sz w:val="13"/>
                <w:szCs w:val="13"/>
                <w:b w:val="1"/>
                <w:bCs w:val="1"/>
                <w:color w:val="auto"/>
              </w:rPr>
              <w:t>27,598</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28,336</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2.7%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17.6%</w:t>
            </w:r>
          </w:p>
        </w:tc>
        <w:tc>
          <w:tcPr>
            <w:tcW w:w="1240" w:type="dxa"/>
            <w:vAlign w:val="bottom"/>
          </w:tcPr>
          <w:p>
            <w:pPr>
              <w:jc w:val="right"/>
              <w:ind w:right="233"/>
              <w:spacing w:after="0"/>
              <w:rPr>
                <w:sz w:val="20"/>
                <w:szCs w:val="20"/>
                <w:color w:val="auto"/>
              </w:rPr>
            </w:pPr>
            <w:r>
              <w:rPr>
                <w:rFonts w:ascii="Arial" w:cs="Arial" w:eastAsia="Arial" w:hAnsi="Arial"/>
                <w:sz w:val="13"/>
                <w:szCs w:val="13"/>
                <w:b w:val="1"/>
                <w:bCs w:val="1"/>
                <w:color w:val="auto"/>
              </w:rPr>
              <w:t>102,352</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109,470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7.0%</w:t>
            </w:r>
          </w:p>
        </w:tc>
      </w:tr>
      <w:tr>
        <w:trPr>
          <w:trHeight w:val="28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3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income</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17,487</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34,775</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46,752</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34.4%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167.3%</w:t>
            </w: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107,579</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146,477</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36.2%</w:t>
            </w:r>
          </w:p>
        </w:tc>
      </w:tr>
      <w:tr>
        <w:trPr>
          <w:trHeight w:val="331"/>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39"/>
        </w:trPr>
        <w:tc>
          <w:tcPr>
            <w:tcW w:w="40" w:type="dxa"/>
            <w:vAlign w:val="bottom"/>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00" w:top="433" w:right="339" w:bottom="1440" w:gutter="0" w:footer="0" w:header="0"/>
        </w:sectPr>
      </w:pPr>
    </w:p>
    <w:bookmarkStart w:id="69" w:name="page70"/>
    <w:bookmarkEnd w:id="69"/>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12.5.9. Investment Banking &amp; Wealth Management</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40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Investment Banking and Wealth Management</w:t>
            </w:r>
          </w:p>
        </w:tc>
        <w:tc>
          <w:tcPr>
            <w:tcW w:w="980" w:type="dxa"/>
            <w:vAlign w:val="bottom"/>
            <w:tcBorders>
              <w:top w:val="single" w:sz="8" w:color="auto"/>
            </w:tcBorders>
            <w:shd w:val="clear" w:color="auto" w:fill="2AD2C9"/>
          </w:tcPr>
          <w:p>
            <w:pPr>
              <w:spacing w:after="0"/>
              <w:rPr>
                <w:sz w:val="14"/>
                <w:szCs w:val="14"/>
                <w:color w:val="auto"/>
              </w:rPr>
            </w:pPr>
          </w:p>
        </w:tc>
        <w:tc>
          <w:tcPr>
            <w:tcW w:w="920" w:type="dxa"/>
            <w:vAlign w:val="bottom"/>
            <w:tcBorders>
              <w:top w:val="single" w:sz="8" w:color="auto"/>
            </w:tcBorders>
            <w:shd w:val="clear" w:color="auto" w:fill="2AD2C9"/>
          </w:tcPr>
          <w:p>
            <w:pPr>
              <w:jc w:val="right"/>
              <w:ind w:right="253"/>
              <w:spacing w:after="0"/>
              <w:rPr>
                <w:sz w:val="20"/>
                <w:szCs w:val="20"/>
                <w:color w:val="auto"/>
              </w:rPr>
            </w:pPr>
            <w:r>
              <w:rPr>
                <w:rFonts w:ascii="Arial" w:cs="Arial" w:eastAsia="Arial" w:hAnsi="Arial"/>
                <w:sz w:val="13"/>
                <w:szCs w:val="13"/>
                <w:b w:val="1"/>
                <w:bCs w:val="1"/>
                <w:color w:val="FFFFFF"/>
              </w:rPr>
              <w:t>Quarter</w:t>
            </w:r>
          </w:p>
        </w:tc>
        <w:tc>
          <w:tcPr>
            <w:tcW w:w="800" w:type="dxa"/>
            <w:vAlign w:val="bottom"/>
            <w:tcBorders>
              <w:top w:val="single" w:sz="8" w:color="auto"/>
              <w:right w:val="single" w:sz="8" w:color="auto"/>
            </w:tcBorders>
            <w:shd w:val="clear" w:color="auto" w:fill="2AD2C9"/>
          </w:tcPr>
          <w:p>
            <w:pPr>
              <w:spacing w:after="0"/>
              <w:rPr>
                <w:sz w:val="14"/>
                <w:szCs w:val="14"/>
                <w:color w:val="auto"/>
              </w:rPr>
            </w:pPr>
          </w:p>
        </w:tc>
        <w:tc>
          <w:tcPr>
            <w:tcW w:w="180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3"/>
                <w:szCs w:val="13"/>
                <w:b w:val="1"/>
                <w:bCs w:val="1"/>
                <w:color w:val="FFFFFF"/>
              </w:rPr>
              <w:t>% change</w:t>
            </w:r>
          </w:p>
        </w:tc>
        <w:tc>
          <w:tcPr>
            <w:tcW w:w="108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As of</w:t>
            </w:r>
          </w:p>
        </w:tc>
        <w:tc>
          <w:tcPr>
            <w:tcW w:w="700" w:type="dxa"/>
            <w:vAlign w:val="bottom"/>
            <w:tcBorders>
              <w:top w:val="single" w:sz="8" w:color="auto"/>
              <w:right w:val="single" w:sz="8" w:color="auto"/>
            </w:tcBorders>
            <w:shd w:val="clear" w:color="auto" w:fill="2AD2C9"/>
          </w:tcPr>
          <w:p>
            <w:pPr>
              <w:spacing w:after="0"/>
              <w:rPr>
                <w:sz w:val="14"/>
                <w:szCs w:val="14"/>
                <w:color w:val="auto"/>
              </w:rPr>
            </w:pPr>
          </w:p>
        </w:tc>
        <w:tc>
          <w:tcPr>
            <w:tcW w:w="900" w:type="dxa"/>
            <w:vAlign w:val="bottom"/>
            <w:tcBorders>
              <w:top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13"/>
                <w:szCs w:val="13"/>
                <w:b w:val="1"/>
                <w:bCs w:val="1"/>
                <w:color w:val="FFFFFF"/>
              </w:rPr>
              <w:t>% change</w:t>
            </w:r>
          </w:p>
        </w:tc>
      </w:tr>
      <w:tr>
        <w:trPr>
          <w:trHeight w:val="151"/>
        </w:trPr>
        <w:tc>
          <w:tcPr>
            <w:tcW w:w="4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 000</w:t>
            </w:r>
          </w:p>
        </w:tc>
        <w:tc>
          <w:tcPr>
            <w:tcW w:w="980" w:type="dxa"/>
            <w:vAlign w:val="bottom"/>
            <w:tcBorders>
              <w:bottom w:val="single" w:sz="8" w:color="auto"/>
            </w:tcBorders>
            <w:shd w:val="clear" w:color="auto" w:fill="2AD2C9"/>
          </w:tcPr>
          <w:p>
            <w:pPr>
              <w:jc w:val="right"/>
              <w:ind w:right="313"/>
              <w:spacing w:after="0"/>
              <w:rPr>
                <w:sz w:val="20"/>
                <w:szCs w:val="20"/>
                <w:color w:val="auto"/>
              </w:rPr>
            </w:pPr>
            <w:r>
              <w:rPr>
                <w:rFonts w:ascii="Arial" w:cs="Arial" w:eastAsia="Arial" w:hAnsi="Arial"/>
                <w:sz w:val="13"/>
                <w:szCs w:val="13"/>
                <w:b w:val="1"/>
                <w:bCs w:val="1"/>
                <w:color w:val="FFFFFF"/>
              </w:rPr>
              <w:t>4Q21</w:t>
            </w:r>
          </w:p>
        </w:tc>
        <w:tc>
          <w:tcPr>
            <w:tcW w:w="920" w:type="dxa"/>
            <w:vAlign w:val="bottom"/>
            <w:tcBorders>
              <w:bottom w:val="single" w:sz="8" w:color="auto"/>
            </w:tcBorders>
            <w:shd w:val="clear" w:color="auto" w:fill="2AD2C9"/>
          </w:tcPr>
          <w:p>
            <w:pPr>
              <w:jc w:val="right"/>
              <w:ind w:right="333"/>
              <w:spacing w:after="0"/>
              <w:rPr>
                <w:sz w:val="20"/>
                <w:szCs w:val="20"/>
                <w:color w:val="auto"/>
              </w:rPr>
            </w:pPr>
            <w:r>
              <w:rPr>
                <w:rFonts w:ascii="Arial" w:cs="Arial" w:eastAsia="Arial" w:hAnsi="Arial"/>
                <w:sz w:val="13"/>
                <w:szCs w:val="13"/>
                <w:b w:val="1"/>
                <w:bCs w:val="1"/>
                <w:color w:val="FFFFFF"/>
              </w:rPr>
              <w:t>3Q22</w:t>
            </w:r>
          </w:p>
        </w:tc>
        <w:tc>
          <w:tcPr>
            <w:tcW w:w="800" w:type="dxa"/>
            <w:vAlign w:val="bottom"/>
            <w:tcBorders>
              <w:bottom w:val="single" w:sz="8" w:color="auto"/>
              <w:right w:val="single" w:sz="8" w:color="auto"/>
            </w:tcBorders>
            <w:shd w:val="clear" w:color="auto" w:fill="2AD2C9"/>
          </w:tcPr>
          <w:p>
            <w:pPr>
              <w:jc w:val="right"/>
              <w:ind w:right="273"/>
              <w:spacing w:after="0"/>
              <w:rPr>
                <w:sz w:val="20"/>
                <w:szCs w:val="20"/>
                <w:color w:val="auto"/>
              </w:rPr>
            </w:pPr>
            <w:r>
              <w:rPr>
                <w:rFonts w:ascii="Arial" w:cs="Arial" w:eastAsia="Arial" w:hAnsi="Arial"/>
                <w:sz w:val="13"/>
                <w:szCs w:val="13"/>
                <w:b w:val="1"/>
                <w:bCs w:val="1"/>
                <w:color w:val="FFFFFF"/>
              </w:rPr>
              <w:t>4Q22</w:t>
            </w: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w w:val="99"/>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YoY</w:t>
            </w:r>
          </w:p>
        </w:tc>
        <w:tc>
          <w:tcPr>
            <w:tcW w:w="1080" w:type="dxa"/>
            <w:vAlign w:val="bottom"/>
            <w:tcBorders>
              <w:bottom w:val="single" w:sz="8" w:color="auto"/>
            </w:tcBorders>
            <w:shd w:val="clear" w:color="auto" w:fill="2AD2C9"/>
          </w:tcPr>
          <w:p>
            <w:pPr>
              <w:jc w:val="right"/>
              <w:ind w:right="433"/>
              <w:spacing w:after="0"/>
              <w:rPr>
                <w:sz w:val="20"/>
                <w:szCs w:val="20"/>
                <w:color w:val="auto"/>
              </w:rPr>
            </w:pPr>
            <w:r>
              <w:rPr>
                <w:rFonts w:ascii="Arial" w:cs="Arial" w:eastAsia="Arial" w:hAnsi="Arial"/>
                <w:sz w:val="13"/>
                <w:szCs w:val="13"/>
                <w:b w:val="1"/>
                <w:bCs w:val="1"/>
                <w:color w:val="FFFFFF"/>
              </w:rPr>
              <w:t>2021</w:t>
            </w:r>
          </w:p>
        </w:tc>
        <w:tc>
          <w:tcPr>
            <w:tcW w:w="700" w:type="dxa"/>
            <w:vAlign w:val="bottom"/>
            <w:tcBorders>
              <w:bottom w:val="single" w:sz="8" w:color="auto"/>
              <w:right w:val="single" w:sz="8" w:color="auto"/>
            </w:tcBorders>
            <w:shd w:val="clear" w:color="auto" w:fill="2AD2C9"/>
          </w:tcPr>
          <w:p>
            <w:pPr>
              <w:jc w:val="right"/>
              <w:ind w:right="293"/>
              <w:spacing w:after="0"/>
              <w:rPr>
                <w:sz w:val="20"/>
                <w:szCs w:val="20"/>
                <w:color w:val="auto"/>
              </w:rPr>
            </w:pPr>
            <w:r>
              <w:rPr>
                <w:rFonts w:ascii="Arial" w:cs="Arial" w:eastAsia="Arial" w:hAnsi="Arial"/>
                <w:sz w:val="13"/>
                <w:szCs w:val="13"/>
                <w:b w:val="1"/>
                <w:bCs w:val="1"/>
                <w:color w:val="FFFFFF"/>
              </w:rPr>
              <w:t>2022</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3"/>
                <w:szCs w:val="13"/>
                <w:b w:val="1"/>
                <w:bCs w:val="1"/>
                <w:color w:val="FFFFFF"/>
              </w:rPr>
              <w:t>2022 / 2021</w:t>
            </w:r>
          </w:p>
        </w:tc>
      </w:tr>
      <w:tr>
        <w:trPr>
          <w:trHeight w:val="136"/>
        </w:trPr>
        <w:tc>
          <w:tcPr>
            <w:tcW w:w="408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color w:val="auto"/>
              </w:rPr>
              <w:t>Net interest income</w:t>
            </w:r>
          </w:p>
        </w:tc>
        <w:tc>
          <w:tcPr>
            <w:tcW w:w="9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14,681</w:t>
            </w:r>
          </w:p>
        </w:tc>
        <w:tc>
          <w:tcPr>
            <w:tcW w:w="9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19,025</w:t>
            </w:r>
          </w:p>
        </w:tc>
        <w:tc>
          <w:tcPr>
            <w:tcW w:w="80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22,012</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15.7%</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9"/>
              </w:rPr>
              <w:t>50%</w:t>
            </w:r>
          </w:p>
        </w:tc>
        <w:tc>
          <w:tcPr>
            <w:tcW w:w="1080" w:type="dxa"/>
            <w:vAlign w:val="bottom"/>
          </w:tcPr>
          <w:p>
            <w:pPr>
              <w:jc w:val="right"/>
              <w:ind w:right="153"/>
              <w:spacing w:after="0" w:line="136" w:lineRule="exact"/>
              <w:rPr>
                <w:sz w:val="20"/>
                <w:szCs w:val="20"/>
                <w:color w:val="auto"/>
              </w:rPr>
            </w:pPr>
            <w:r>
              <w:rPr>
                <w:rFonts w:ascii="Arial" w:cs="Arial" w:eastAsia="Arial" w:hAnsi="Arial"/>
                <w:sz w:val="13"/>
                <w:szCs w:val="13"/>
                <w:color w:val="auto"/>
              </w:rPr>
              <w:t>75,113</w:t>
            </w:r>
          </w:p>
        </w:tc>
        <w:tc>
          <w:tcPr>
            <w:tcW w:w="70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79,307</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5.6%</w:t>
            </w:r>
          </w:p>
        </w:tc>
      </w:tr>
      <w:tr>
        <w:trPr>
          <w:trHeight w:val="151"/>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Non-financial income</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184,296</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177,191</w:t>
            </w:r>
          </w:p>
        </w:tc>
        <w:tc>
          <w:tcPr>
            <w:tcW w:w="8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190,667</w:t>
            </w:r>
          </w:p>
        </w:tc>
        <w:tc>
          <w:tcPr>
            <w:tcW w:w="880" w:type="dxa"/>
            <w:vAlign w:val="bottom"/>
          </w:tcPr>
          <w:p>
            <w:pPr>
              <w:jc w:val="center"/>
              <w:spacing w:after="0"/>
              <w:rPr>
                <w:sz w:val="20"/>
                <w:szCs w:val="20"/>
                <w:color w:val="auto"/>
              </w:rPr>
            </w:pPr>
            <w:r>
              <w:rPr>
                <w:rFonts w:ascii="Arial" w:cs="Arial" w:eastAsia="Arial" w:hAnsi="Arial"/>
                <w:sz w:val="13"/>
                <w:szCs w:val="13"/>
                <w:color w:val="auto"/>
              </w:rPr>
              <w:t>7.6%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3.5%</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793,451</w:t>
            </w:r>
          </w:p>
        </w:tc>
        <w:tc>
          <w:tcPr>
            <w:tcW w:w="7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694,501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-12.5%</w:t>
            </w:r>
          </w:p>
        </w:tc>
      </w:tr>
      <w:tr>
        <w:trPr>
          <w:trHeight w:val="151"/>
        </w:trPr>
        <w:tc>
          <w:tcPr>
            <w:tcW w:w="4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Fee income</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155,193</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133,374</w:t>
            </w:r>
          </w:p>
        </w:tc>
        <w:tc>
          <w:tcPr>
            <w:tcW w:w="8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124,761</w:t>
            </w:r>
          </w:p>
        </w:tc>
        <w:tc>
          <w:tcPr>
            <w:tcW w:w="880" w:type="dxa"/>
            <w:vAlign w:val="bottom"/>
          </w:tcPr>
          <w:p>
            <w:pPr>
              <w:jc w:val="center"/>
              <w:spacing w:after="0"/>
              <w:rPr>
                <w:sz w:val="20"/>
                <w:szCs w:val="20"/>
                <w:color w:val="auto"/>
              </w:rPr>
            </w:pPr>
            <w:r>
              <w:rPr>
                <w:rFonts w:ascii="Arial" w:cs="Arial" w:eastAsia="Arial" w:hAnsi="Arial"/>
                <w:sz w:val="13"/>
                <w:szCs w:val="13"/>
                <w:color w:val="auto"/>
              </w:rPr>
              <w:t>-6.5%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-19.6%</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620,753</w:t>
            </w:r>
          </w:p>
        </w:tc>
        <w:tc>
          <w:tcPr>
            <w:tcW w:w="7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534,189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-13.9%</w:t>
            </w:r>
          </w:p>
        </w:tc>
      </w:tr>
      <w:tr>
        <w:trPr>
          <w:trHeight w:val="151"/>
        </w:trPr>
        <w:tc>
          <w:tcPr>
            <w:tcW w:w="4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on foreign exchange transactions</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9,485</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2,503</w:t>
            </w:r>
          </w:p>
        </w:tc>
        <w:tc>
          <w:tcPr>
            <w:tcW w:w="8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9,758</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289.9%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2.9%</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18,927</w:t>
            </w:r>
          </w:p>
        </w:tc>
        <w:tc>
          <w:tcPr>
            <w:tcW w:w="7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32,759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73.1%</w:t>
            </w:r>
          </w:p>
        </w:tc>
      </w:tr>
      <w:tr>
        <w:trPr>
          <w:trHeight w:val="151"/>
        </w:trPr>
        <w:tc>
          <w:tcPr>
            <w:tcW w:w="4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Net gain on sales of securities</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-6,334</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12,745</w:t>
            </w:r>
          </w:p>
        </w:tc>
        <w:tc>
          <w:tcPr>
            <w:tcW w:w="8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42,349</w:t>
            </w:r>
          </w:p>
        </w:tc>
        <w:tc>
          <w:tcPr>
            <w:tcW w:w="880" w:type="dxa"/>
            <w:vAlign w:val="bottom"/>
          </w:tcPr>
          <w:p>
            <w:pPr>
              <w:jc w:val="center"/>
              <w:spacing w:after="0"/>
              <w:rPr>
                <w:sz w:val="20"/>
                <w:szCs w:val="20"/>
                <w:color w:val="auto"/>
              </w:rPr>
            </w:pPr>
            <w:r>
              <w:rPr>
                <w:rFonts w:ascii="Arial" w:cs="Arial" w:eastAsia="Arial" w:hAnsi="Arial"/>
                <w:sz w:val="13"/>
                <w:szCs w:val="13"/>
                <w:color w:val="auto"/>
                <w:w w:val="99"/>
              </w:rPr>
              <w:t>232.3%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n.a</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28,588</w:t>
            </w:r>
          </w:p>
        </w:tc>
        <w:tc>
          <w:tcPr>
            <w:tcW w:w="7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50,384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76.2%</w:t>
            </w:r>
          </w:p>
        </w:tc>
      </w:tr>
      <w:tr>
        <w:trPr>
          <w:trHeight w:val="151"/>
        </w:trPr>
        <w:tc>
          <w:tcPr>
            <w:tcW w:w="4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Derivative Result</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19,062</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35,975</w:t>
            </w:r>
          </w:p>
        </w:tc>
        <w:tc>
          <w:tcPr>
            <w:tcW w:w="8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-11,908</w:t>
            </w: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n.a</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148,677</w:t>
            </w:r>
          </w:p>
        </w:tc>
        <w:tc>
          <w:tcPr>
            <w:tcW w:w="7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60,409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-59.4%</w:t>
            </w:r>
          </w:p>
        </w:tc>
      </w:tr>
      <w:tr>
        <w:trPr>
          <w:trHeight w:val="151"/>
        </w:trPr>
        <w:tc>
          <w:tcPr>
            <w:tcW w:w="4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Result from exposure to the exchange rate</w:t>
            </w:r>
          </w:p>
        </w:tc>
        <w:tc>
          <w:tcPr>
            <w:tcW w:w="980" w:type="dxa"/>
            <w:vAlign w:val="bottom"/>
          </w:tcPr>
          <w:p>
            <w:pPr>
              <w:jc w:val="right"/>
              <w:ind w:right="33"/>
              <w:spacing w:after="0"/>
              <w:rPr>
                <w:sz w:val="20"/>
                <w:szCs w:val="20"/>
                <w:color w:val="auto"/>
              </w:rPr>
            </w:pPr>
            <w:r>
              <w:rPr>
                <w:rFonts w:ascii="Arial" w:cs="Arial" w:eastAsia="Arial" w:hAnsi="Arial"/>
                <w:sz w:val="13"/>
                <w:szCs w:val="13"/>
                <w:color w:val="auto"/>
              </w:rPr>
              <w:t>-12,397</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-15,651</w:t>
            </w:r>
          </w:p>
        </w:tc>
        <w:tc>
          <w:tcPr>
            <w:tcW w:w="8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19,483</w:t>
            </w: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-257.2%</w:t>
            </w: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-60,445</w:t>
            </w:r>
          </w:p>
        </w:tc>
        <w:tc>
          <w:tcPr>
            <w:tcW w:w="7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color w:val="auto"/>
              </w:rPr>
              <w:t>-13,836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-77.1%</w:t>
            </w:r>
          </w:p>
        </w:tc>
      </w:tr>
      <w:tr>
        <w:trPr>
          <w:trHeight w:val="135"/>
        </w:trPr>
        <w:tc>
          <w:tcPr>
            <w:tcW w:w="4080" w:type="dxa"/>
            <w:vAlign w:val="bottom"/>
            <w:tcBorders>
              <w:left w:val="single" w:sz="8" w:color="auto"/>
              <w:right w:val="single" w:sz="8" w:color="auto"/>
            </w:tcBorders>
          </w:tcPr>
          <w:p>
            <w:pPr>
              <w:ind w:left="160"/>
              <w:spacing w:after="0" w:line="136" w:lineRule="exact"/>
              <w:rPr>
                <w:sz w:val="20"/>
                <w:szCs w:val="20"/>
                <w:color w:val="auto"/>
              </w:rPr>
            </w:pPr>
            <w:r>
              <w:rPr>
                <w:rFonts w:ascii="Arial" w:cs="Arial" w:eastAsia="Arial" w:hAnsi="Arial"/>
                <w:sz w:val="13"/>
                <w:szCs w:val="13"/>
                <w:color w:val="auto"/>
              </w:rPr>
              <w:t>Other income</w:t>
            </w:r>
          </w:p>
        </w:tc>
        <w:tc>
          <w:tcPr>
            <w:tcW w:w="9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19,287</w:t>
            </w:r>
          </w:p>
        </w:tc>
        <w:tc>
          <w:tcPr>
            <w:tcW w:w="9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8,245</w:t>
            </w:r>
          </w:p>
        </w:tc>
        <w:tc>
          <w:tcPr>
            <w:tcW w:w="80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6,224</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-24.5%</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-67.7%</w:t>
            </w:r>
          </w:p>
        </w:tc>
        <w:tc>
          <w:tcPr>
            <w:tcW w:w="1080" w:type="dxa"/>
            <w:vAlign w:val="bottom"/>
          </w:tcPr>
          <w:p>
            <w:pPr>
              <w:jc w:val="right"/>
              <w:ind w:right="153"/>
              <w:spacing w:after="0" w:line="136" w:lineRule="exact"/>
              <w:rPr>
                <w:sz w:val="20"/>
                <w:szCs w:val="20"/>
                <w:color w:val="auto"/>
              </w:rPr>
            </w:pPr>
            <w:r>
              <w:rPr>
                <w:rFonts w:ascii="Arial" w:cs="Arial" w:eastAsia="Arial" w:hAnsi="Arial"/>
                <w:sz w:val="13"/>
                <w:szCs w:val="13"/>
                <w:color w:val="auto"/>
              </w:rPr>
              <w:t>36,951</w:t>
            </w:r>
          </w:p>
        </w:tc>
        <w:tc>
          <w:tcPr>
            <w:tcW w:w="70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30,596</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-17.2%</w:t>
            </w:r>
          </w:p>
        </w:tc>
      </w:tr>
      <w:tr>
        <w:trPr>
          <w:trHeight w:val="174"/>
        </w:trPr>
        <w:tc>
          <w:tcPr>
            <w:tcW w:w="408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2"/>
                <w:szCs w:val="12"/>
                <w:color w:val="auto"/>
              </w:rPr>
              <w:t xml:space="preserve">Operating expenses </w:t>
            </w:r>
            <w:r>
              <w:rPr>
                <w:rFonts w:ascii="Arial" w:cs="Arial" w:eastAsia="Arial" w:hAnsi="Arial"/>
                <w:sz w:val="20"/>
                <w:szCs w:val="20"/>
                <w:color w:val="auto"/>
                <w:vertAlign w:val="superscript"/>
              </w:rPr>
              <w:t>(1)</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-189,766</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-159,294</w:t>
            </w:r>
          </w:p>
        </w:tc>
        <w:tc>
          <w:tcPr>
            <w:tcW w:w="8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-163,684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2.8%</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-13.7%</w:t>
            </w: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-675,254</w:t>
            </w:r>
          </w:p>
        </w:tc>
        <w:tc>
          <w:tcPr>
            <w:tcW w:w="7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-646,113</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-4.3%</w:t>
            </w:r>
          </w:p>
        </w:tc>
      </w:tr>
      <w:tr>
        <w:trPr>
          <w:trHeight w:val="144"/>
        </w:trPr>
        <w:tc>
          <w:tcPr>
            <w:tcW w:w="408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Operating income</w:t>
            </w:r>
          </w:p>
        </w:tc>
        <w:tc>
          <w:tcPr>
            <w:tcW w:w="980" w:type="dxa"/>
            <w:vAlign w:val="bottom"/>
            <w:tcBorders>
              <w:bottom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9,211</w:t>
            </w:r>
          </w:p>
        </w:tc>
        <w:tc>
          <w:tcPr>
            <w:tcW w:w="920" w:type="dxa"/>
            <w:vAlign w:val="bottom"/>
            <w:tcBorders>
              <w:bottom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36,922</w:t>
            </w:r>
          </w:p>
        </w:tc>
        <w:tc>
          <w:tcPr>
            <w:tcW w:w="80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48,995</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32.7%</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431.9%</w:t>
            </w:r>
          </w:p>
        </w:tc>
        <w:tc>
          <w:tcPr>
            <w:tcW w:w="1080" w:type="dxa"/>
            <w:vAlign w:val="bottom"/>
            <w:tcBorders>
              <w:bottom w:val="single" w:sz="8" w:color="auto"/>
            </w:tcBorders>
          </w:tcPr>
          <w:p>
            <w:pPr>
              <w:jc w:val="right"/>
              <w:ind w:right="153"/>
              <w:spacing w:after="0" w:line="144" w:lineRule="exact"/>
              <w:rPr>
                <w:sz w:val="20"/>
                <w:szCs w:val="20"/>
                <w:color w:val="auto"/>
              </w:rPr>
            </w:pPr>
            <w:r>
              <w:rPr>
                <w:rFonts w:ascii="Arial" w:cs="Arial" w:eastAsia="Arial" w:hAnsi="Arial"/>
                <w:sz w:val="13"/>
                <w:szCs w:val="13"/>
                <w:b w:val="1"/>
                <w:bCs w:val="1"/>
                <w:color w:val="auto"/>
              </w:rPr>
              <w:t>193,310</w:t>
            </w:r>
          </w:p>
        </w:tc>
        <w:tc>
          <w:tcPr>
            <w:tcW w:w="70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127,695</w:t>
            </w:r>
          </w:p>
        </w:tc>
        <w:tc>
          <w:tcPr>
            <w:tcW w:w="9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-33.9%</w:t>
            </w:r>
          </w:p>
        </w:tc>
      </w:tr>
      <w:tr>
        <w:trPr>
          <w:trHeight w:val="136"/>
        </w:trPr>
        <w:tc>
          <w:tcPr>
            <w:tcW w:w="408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3"/>
                <w:szCs w:val="13"/>
                <w:color w:val="auto"/>
              </w:rPr>
              <w:t>Income taxes</w:t>
            </w:r>
          </w:p>
        </w:tc>
        <w:tc>
          <w:tcPr>
            <w:tcW w:w="980" w:type="dxa"/>
            <w:vAlign w:val="bottom"/>
          </w:tcPr>
          <w:p>
            <w:pPr>
              <w:jc w:val="right"/>
              <w:ind w:right="33"/>
              <w:spacing w:after="0" w:line="136" w:lineRule="exact"/>
              <w:rPr>
                <w:sz w:val="20"/>
                <w:szCs w:val="20"/>
                <w:color w:val="auto"/>
              </w:rPr>
            </w:pPr>
            <w:r>
              <w:rPr>
                <w:rFonts w:ascii="Arial" w:cs="Arial" w:eastAsia="Arial" w:hAnsi="Arial"/>
                <w:sz w:val="13"/>
                <w:szCs w:val="13"/>
                <w:color w:val="auto"/>
              </w:rPr>
              <w:t>347</w:t>
            </w:r>
          </w:p>
        </w:tc>
        <w:tc>
          <w:tcPr>
            <w:tcW w:w="920" w:type="dxa"/>
            <w:vAlign w:val="bottom"/>
          </w:tcPr>
          <w:p>
            <w:pPr>
              <w:jc w:val="right"/>
              <w:ind w:right="53"/>
              <w:spacing w:after="0" w:line="136" w:lineRule="exact"/>
              <w:rPr>
                <w:sz w:val="20"/>
                <w:szCs w:val="20"/>
                <w:color w:val="auto"/>
              </w:rPr>
            </w:pPr>
            <w:r>
              <w:rPr>
                <w:rFonts w:ascii="Arial" w:cs="Arial" w:eastAsia="Arial" w:hAnsi="Arial"/>
                <w:sz w:val="13"/>
                <w:szCs w:val="13"/>
                <w:color w:val="auto"/>
              </w:rPr>
              <w:t>-7,929</w:t>
            </w:r>
          </w:p>
        </w:tc>
        <w:tc>
          <w:tcPr>
            <w:tcW w:w="80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-12,803</w:t>
            </w:r>
          </w:p>
        </w:tc>
        <w:tc>
          <w:tcPr>
            <w:tcW w:w="880" w:type="dxa"/>
            <w:vAlign w:val="bottom"/>
          </w:tcPr>
          <w:p>
            <w:pPr>
              <w:jc w:val="center"/>
              <w:spacing w:after="0" w:line="136" w:lineRule="exact"/>
              <w:rPr>
                <w:sz w:val="20"/>
                <w:szCs w:val="20"/>
                <w:color w:val="auto"/>
              </w:rPr>
            </w:pPr>
            <w:r>
              <w:rPr>
                <w:rFonts w:ascii="Arial" w:cs="Arial" w:eastAsia="Arial" w:hAnsi="Arial"/>
                <w:sz w:val="13"/>
                <w:szCs w:val="13"/>
                <w:color w:val="auto"/>
              </w:rPr>
              <w:t>61.5%</w:t>
            </w:r>
          </w:p>
        </w:tc>
        <w:tc>
          <w:tcPr>
            <w:tcW w:w="9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9"/>
              </w:rPr>
              <w:t>n.a</w:t>
            </w:r>
          </w:p>
        </w:tc>
        <w:tc>
          <w:tcPr>
            <w:tcW w:w="1080" w:type="dxa"/>
            <w:vAlign w:val="bottom"/>
          </w:tcPr>
          <w:p>
            <w:pPr>
              <w:jc w:val="right"/>
              <w:ind w:right="153"/>
              <w:spacing w:after="0" w:line="136" w:lineRule="exact"/>
              <w:rPr>
                <w:sz w:val="20"/>
                <w:szCs w:val="20"/>
                <w:color w:val="auto"/>
              </w:rPr>
            </w:pPr>
            <w:r>
              <w:rPr>
                <w:rFonts w:ascii="Arial" w:cs="Arial" w:eastAsia="Arial" w:hAnsi="Arial"/>
                <w:sz w:val="13"/>
                <w:szCs w:val="13"/>
                <w:color w:val="auto"/>
              </w:rPr>
              <w:t>-25,388</w:t>
            </w:r>
          </w:p>
        </w:tc>
        <w:tc>
          <w:tcPr>
            <w:tcW w:w="700" w:type="dxa"/>
            <w:vAlign w:val="bottom"/>
            <w:tcBorders>
              <w:right w:val="single" w:sz="8" w:color="auto"/>
            </w:tcBorders>
          </w:tcPr>
          <w:p>
            <w:pPr>
              <w:jc w:val="right"/>
              <w:ind w:right="33"/>
              <w:spacing w:after="0" w:line="136" w:lineRule="exact"/>
              <w:rPr>
                <w:sz w:val="20"/>
                <w:szCs w:val="20"/>
                <w:color w:val="auto"/>
              </w:rPr>
            </w:pPr>
            <w:r>
              <w:rPr>
                <w:rFonts w:ascii="Arial" w:cs="Arial" w:eastAsia="Arial" w:hAnsi="Arial"/>
                <w:sz w:val="13"/>
                <w:szCs w:val="13"/>
                <w:color w:val="auto"/>
              </w:rPr>
              <w:t>-22,007</w:t>
            </w:r>
          </w:p>
        </w:tc>
        <w:tc>
          <w:tcPr>
            <w:tcW w:w="9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rPr>
              <w:t>-13.3%</w:t>
            </w:r>
          </w:p>
        </w:tc>
      </w:tr>
      <w:tr>
        <w:trPr>
          <w:trHeight w:val="159"/>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Non-controlling interest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923</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763</w:t>
            </w:r>
          </w:p>
        </w:tc>
        <w:tc>
          <w:tcPr>
            <w:tcW w:w="8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-2,829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n.a</w:t>
            </w: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4,032</w:t>
            </w:r>
          </w:p>
        </w:tc>
        <w:tc>
          <w:tcPr>
            <w:tcW w:w="7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color w:val="auto"/>
              </w:rPr>
              <w:t>-850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-121.1%</w:t>
            </w:r>
          </w:p>
        </w:tc>
      </w:tr>
      <w:tr>
        <w:trPr>
          <w:trHeight w:val="144"/>
        </w:trPr>
        <w:tc>
          <w:tcPr>
            <w:tcW w:w="4080" w:type="dxa"/>
            <w:vAlign w:val="bottom"/>
            <w:tcBorders>
              <w:left w:val="single" w:sz="8" w:color="auto"/>
              <w:bottom w:val="single" w:sz="8" w:color="auto"/>
              <w:right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Net income</w:t>
            </w:r>
          </w:p>
        </w:tc>
        <w:tc>
          <w:tcPr>
            <w:tcW w:w="980" w:type="dxa"/>
            <w:vAlign w:val="bottom"/>
            <w:tcBorders>
              <w:bottom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8,635</w:t>
            </w:r>
          </w:p>
        </w:tc>
        <w:tc>
          <w:tcPr>
            <w:tcW w:w="920" w:type="dxa"/>
            <w:vAlign w:val="bottom"/>
            <w:tcBorders>
              <w:bottom w:val="single" w:sz="8" w:color="auto"/>
            </w:tcBorders>
          </w:tcPr>
          <w:p>
            <w:pPr>
              <w:jc w:val="right"/>
              <w:ind w:right="53"/>
              <w:spacing w:after="0" w:line="144" w:lineRule="exact"/>
              <w:rPr>
                <w:sz w:val="20"/>
                <w:szCs w:val="20"/>
                <w:color w:val="auto"/>
              </w:rPr>
            </w:pPr>
            <w:r>
              <w:rPr>
                <w:rFonts w:ascii="Arial" w:cs="Arial" w:eastAsia="Arial" w:hAnsi="Arial"/>
                <w:sz w:val="13"/>
                <w:szCs w:val="13"/>
                <w:b w:val="1"/>
                <w:bCs w:val="1"/>
                <w:color w:val="auto"/>
              </w:rPr>
              <w:t>28,230</w:t>
            </w:r>
          </w:p>
        </w:tc>
        <w:tc>
          <w:tcPr>
            <w:tcW w:w="80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39,021</w:t>
            </w:r>
          </w:p>
        </w:tc>
        <w:tc>
          <w:tcPr>
            <w:tcW w:w="880" w:type="dxa"/>
            <w:vAlign w:val="bottom"/>
            <w:tcBorders>
              <w:bottom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38.2%</w:t>
            </w:r>
          </w:p>
        </w:tc>
        <w:tc>
          <w:tcPr>
            <w:tcW w:w="92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351.9%</w:t>
            </w:r>
          </w:p>
        </w:tc>
        <w:tc>
          <w:tcPr>
            <w:tcW w:w="1080" w:type="dxa"/>
            <w:vAlign w:val="bottom"/>
            <w:tcBorders>
              <w:bottom w:val="single" w:sz="8" w:color="auto"/>
            </w:tcBorders>
          </w:tcPr>
          <w:p>
            <w:pPr>
              <w:jc w:val="right"/>
              <w:ind w:right="153"/>
              <w:spacing w:after="0" w:line="144" w:lineRule="exact"/>
              <w:rPr>
                <w:sz w:val="20"/>
                <w:szCs w:val="20"/>
                <w:color w:val="auto"/>
              </w:rPr>
            </w:pPr>
            <w:r>
              <w:rPr>
                <w:rFonts w:ascii="Arial" w:cs="Arial" w:eastAsia="Arial" w:hAnsi="Arial"/>
                <w:sz w:val="13"/>
                <w:szCs w:val="13"/>
                <w:b w:val="1"/>
                <w:bCs w:val="1"/>
                <w:color w:val="auto"/>
              </w:rPr>
              <w:t>163,890</w:t>
            </w:r>
          </w:p>
        </w:tc>
        <w:tc>
          <w:tcPr>
            <w:tcW w:w="700" w:type="dxa"/>
            <w:vAlign w:val="bottom"/>
            <w:tcBorders>
              <w:bottom w:val="single" w:sz="8" w:color="auto"/>
              <w:right w:val="single" w:sz="8" w:color="auto"/>
            </w:tcBorders>
          </w:tcPr>
          <w:p>
            <w:pPr>
              <w:jc w:val="right"/>
              <w:ind w:right="33"/>
              <w:spacing w:after="0" w:line="144" w:lineRule="exact"/>
              <w:rPr>
                <w:sz w:val="20"/>
                <w:szCs w:val="20"/>
                <w:color w:val="auto"/>
              </w:rPr>
            </w:pPr>
            <w:r>
              <w:rPr>
                <w:rFonts w:ascii="Arial" w:cs="Arial" w:eastAsia="Arial" w:hAnsi="Arial"/>
                <w:sz w:val="13"/>
                <w:szCs w:val="13"/>
                <w:b w:val="1"/>
                <w:bCs w:val="1"/>
                <w:color w:val="auto"/>
              </w:rPr>
              <w:t>106,538</w:t>
            </w:r>
          </w:p>
        </w:tc>
        <w:tc>
          <w:tcPr>
            <w:tcW w:w="90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rPr>
              <w:t>-35.0%</w:t>
            </w:r>
          </w:p>
        </w:tc>
      </w:tr>
    </w:tbl>
    <w:p>
      <w:pPr>
        <w:spacing w:after="0" w:line="173" w:lineRule="exact"/>
        <w:rPr>
          <w:sz w:val="20"/>
          <w:szCs w:val="20"/>
          <w:color w:val="auto"/>
        </w:rPr>
      </w:pPr>
    </w:p>
    <w:p>
      <w:pPr>
        <w:ind w:left="600" w:hanging="297"/>
        <w:spacing w:after="0"/>
        <w:tabs>
          <w:tab w:leader="none" w:pos="6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Salaries and employee’s benefits + Administrative expenses + Assigned expenses + Depreciation and amortization + Tax and contributions + Other expenses.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70" w:name="page71"/>
    <w:bookmarkEnd w:id="70"/>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208915</wp:posOffset>
            </wp:positionV>
            <wp:extent cx="7141845" cy="535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12.6.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86360</wp:posOffset>
            </wp:positionV>
            <wp:extent cx="6231255" cy="61512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31255" cy="615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0" w:hanging="179"/>
        <w:spacing w:after="0"/>
        <w:tabs>
          <w:tab w:leader="none" w:pos="1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Averages are determined as the average of period-beginning and period-ending balances.</w:t>
      </w:r>
    </w:p>
    <w:p>
      <w:pPr>
        <w:ind w:left="180" w:hanging="179"/>
        <w:spacing w:after="0" w:line="218" w:lineRule="auto"/>
        <w:tabs>
          <w:tab w:leader="none" w:pos="1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total deposits, due to banks and correspondents, BCRP instruments, repurchase agreements and bonds and notes issued.</w:t>
      </w:r>
    </w:p>
    <w:p>
      <w:pPr>
        <w:ind w:left="180" w:hanging="179"/>
        <w:spacing w:after="0" w:line="218" w:lineRule="auto"/>
        <w:tabs>
          <w:tab w:leader="none" w:pos="1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Does not include Life insurance business.</w:t>
      </w:r>
    </w:p>
    <w:p>
      <w:pPr>
        <w:ind w:right="180" w:firstLine="1"/>
        <w:spacing w:after="0" w:line="218" w:lineRule="auto"/>
        <w:tabs>
          <w:tab w:leader="none" w:pos="176" w:val="left"/>
        </w:tabs>
        <w:numPr>
          <w:ilvl w:val="0"/>
          <w:numId w:val="55"/>
        </w:numPr>
        <w:rPr>
          <w:rFonts w:ascii="Arial" w:cs="Arial" w:eastAsia="Arial" w:hAnsi="Arial"/>
          <w:sz w:val="12"/>
          <w:szCs w:val="12"/>
          <w:color w:val="auto"/>
        </w:rPr>
      </w:pPr>
      <w:r>
        <w:rPr>
          <w:rFonts w:ascii="Arial" w:cs="Arial" w:eastAsia="Arial" w:hAnsi="Arial"/>
          <w:sz w:val="12"/>
          <w:szCs w:val="12"/>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Arial" w:cs="Arial" w:eastAsia="Arial" w:hAnsi="Arial"/>
          <w:sz w:val="12"/>
          <w:szCs w:val="12"/>
          <w:color w:val="auto"/>
        </w:rPr>
      </w:pPr>
    </w:p>
    <w:p>
      <w:pPr>
        <w:ind w:left="180" w:hanging="179"/>
        <w:spacing w:after="0"/>
        <w:tabs>
          <w:tab w:leader="none" w:pos="1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investment in subsidiaries, goodwill, intangibles and deferred tax that rely on future profitability.</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7141845" cy="158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71" w:name="page72"/>
    <w:bookmarkEnd w:id="71"/>
    <w:p>
      <w:pPr>
        <w:ind w:left="2960"/>
        <w:spacing w:after="0"/>
        <w:tabs>
          <w:tab w:leader="none" w:pos="7500" w:val="left"/>
        </w:tabs>
        <w:rPr>
          <w:sz w:val="20"/>
          <w:szCs w:val="20"/>
          <w:color w:val="auto"/>
        </w:rPr>
      </w:pPr>
      <w:r>
        <w:rPr>
          <w:rFonts w:ascii="Arial" w:cs="Arial" w:eastAsia="Arial" w:hAnsi="Arial"/>
          <w:sz w:val="17"/>
          <w:szCs w:val="17"/>
          <w:b w:val="1"/>
          <w:bCs w:val="1"/>
          <w:color w:val="A5A5A5"/>
        </w:rPr>
        <w:drawing>
          <wp:anchor simplePos="0" relativeHeight="251657728" behindDoc="1" locked="0" layoutInCell="0" allowOverlap="1">
            <wp:simplePos x="0" y="0"/>
            <wp:positionH relativeFrom="page">
              <wp:posOffset>203835</wp:posOffset>
            </wp:positionH>
            <wp:positionV relativeFrom="page">
              <wp:posOffset>88900</wp:posOffset>
            </wp:positionV>
            <wp:extent cx="7141845" cy="535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1845" cy="535305"/>
                    </a:xfrm>
                    <a:prstGeom prst="rect">
                      <a:avLst/>
                    </a:prstGeom>
                    <a:noFill/>
                  </pic:spPr>
                </pic:pic>
              </a:graphicData>
            </a:graphic>
          </wp:anchor>
        </w:drawing>
        <w:t>Earnings Release 4Q / 2022</w:t>
      </w:r>
      <w:r>
        <w:rPr>
          <w:sz w:val="20"/>
          <w:szCs w:val="20"/>
          <w:color w:val="auto"/>
        </w:rPr>
        <w:tab/>
      </w:r>
      <w:r>
        <w:rPr>
          <w:rFonts w:ascii="Arial" w:cs="Arial" w:eastAsia="Arial" w:hAnsi="Arial"/>
          <w:sz w:val="18"/>
          <w:szCs w:val="18"/>
          <w:b w:val="1"/>
          <w:bCs w:val="1"/>
          <w:color w:val="E93CAC"/>
        </w:rPr>
        <w:t>Analysis of 4Q22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141845" cy="3835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1845" cy="383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12.7. Glossary of terms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240" w:type="dxa"/>
            <w:vAlign w:val="bottom"/>
            <w:tcBorders>
              <w:top w:val="single" w:sz="8" w:color="auto"/>
              <w:left w:val="single" w:sz="8" w:color="auto"/>
              <w:bottom w:val="single" w:sz="8" w:color="auto"/>
              <w:right w:val="single" w:sz="8" w:color="auto"/>
            </w:tcBorders>
            <w:shd w:val="clear" w:color="auto" w:fill="2AD2C9"/>
          </w:tcPr>
          <w:p>
            <w:pPr>
              <w:ind w:left="1920"/>
              <w:spacing w:after="0"/>
              <w:rPr>
                <w:sz w:val="20"/>
                <w:szCs w:val="20"/>
                <w:color w:val="auto"/>
              </w:rPr>
            </w:pPr>
            <w:r>
              <w:rPr>
                <w:rFonts w:ascii="Arial" w:cs="Arial" w:eastAsia="Arial" w:hAnsi="Arial"/>
                <w:sz w:val="17"/>
                <w:szCs w:val="17"/>
                <w:b w:val="1"/>
                <w:bCs w:val="1"/>
                <w:color w:val="FFFFFF"/>
              </w:rPr>
              <w:t>Term</w:t>
            </w:r>
          </w:p>
        </w:tc>
        <w:tc>
          <w:tcPr>
            <w:tcW w:w="7120" w:type="dxa"/>
            <w:vAlign w:val="bottom"/>
            <w:tcBorders>
              <w:top w:val="single" w:sz="8" w:color="auto"/>
              <w:bottom w:val="single" w:sz="8" w:color="auto"/>
              <w:right w:val="single" w:sz="8" w:color="auto"/>
            </w:tcBorders>
            <w:gridSpan w:val="2"/>
            <w:shd w:val="clear" w:color="auto" w:fill="2AD2C9"/>
          </w:tcPr>
          <w:p>
            <w:pPr>
              <w:ind w:left="3160"/>
              <w:spacing w:after="0"/>
              <w:rPr>
                <w:sz w:val="20"/>
                <w:szCs w:val="20"/>
                <w:color w:val="auto"/>
              </w:rPr>
            </w:pPr>
            <w:r>
              <w:rPr>
                <w:rFonts w:ascii="Arial" w:cs="Arial" w:eastAsia="Arial" w:hAnsi="Arial"/>
                <w:sz w:val="17"/>
                <w:szCs w:val="17"/>
                <w:b w:val="1"/>
                <w:bCs w:val="1"/>
                <w:color w:val="FFFFFF"/>
              </w:rPr>
              <w:t>Definition</w:t>
            </w:r>
          </w:p>
        </w:tc>
        <w:tc>
          <w:tcPr>
            <w:tcW w:w="0" w:type="dxa"/>
            <w:vAlign w:val="bottom"/>
          </w:tcPr>
          <w:p>
            <w:pPr>
              <w:spacing w:after="0"/>
              <w:rPr>
                <w:sz w:val="1"/>
                <w:szCs w:val="1"/>
                <w:color w:val="auto"/>
              </w:rPr>
            </w:pPr>
          </w:p>
        </w:tc>
      </w:tr>
      <w:tr>
        <w:trPr>
          <w:trHeight w:val="227"/>
        </w:trPr>
        <w:tc>
          <w:tcPr>
            <w:tcW w:w="42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Government Program Loans ("GP" or "GP Loans")</w:t>
            </w:r>
          </w:p>
        </w:tc>
        <w:tc>
          <w:tcPr>
            <w:tcW w:w="712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Loan Portfolio related to Reactiva Peru and FAE-Mype programs to respond quickly and</w:t>
            </w:r>
          </w:p>
        </w:tc>
        <w:tc>
          <w:tcPr>
            <w:tcW w:w="0" w:type="dxa"/>
            <w:vAlign w:val="bottom"/>
          </w:tcPr>
          <w:p>
            <w:pPr>
              <w:spacing w:after="0"/>
              <w:rPr>
                <w:sz w:val="1"/>
                <w:szCs w:val="1"/>
                <w:color w:val="auto"/>
              </w:rPr>
            </w:pPr>
          </w:p>
        </w:tc>
      </w:tr>
      <w:tr>
        <w:trPr>
          <w:trHeight w:val="129"/>
        </w:trPr>
        <w:tc>
          <w:tcPr>
            <w:tcW w:w="4240" w:type="dxa"/>
            <w:vAlign w:val="bottom"/>
            <w:tcBorders>
              <w:left w:val="single" w:sz="8" w:color="auto"/>
              <w:right w:val="single" w:sz="8" w:color="auto"/>
            </w:tcBorders>
            <w:vMerge w:val="continue"/>
          </w:tcPr>
          <w:p>
            <w:pPr>
              <w:spacing w:after="0"/>
              <w:rPr>
                <w:sz w:val="11"/>
                <w:szCs w:val="11"/>
                <w:color w:val="auto"/>
              </w:rPr>
            </w:pPr>
          </w:p>
        </w:tc>
        <w:tc>
          <w:tcPr>
            <w:tcW w:w="7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7"/>
                <w:szCs w:val="17"/>
                <w:color w:val="auto"/>
              </w:rPr>
              <w:t>effectively to liquidity needs and maintain the payment chain.</w:t>
            </w:r>
          </w:p>
        </w:tc>
        <w:tc>
          <w:tcPr>
            <w:tcW w:w="0" w:type="dxa"/>
            <w:vAlign w:val="bottom"/>
          </w:tcPr>
          <w:p>
            <w:pPr>
              <w:spacing w:after="0"/>
              <w:rPr>
                <w:sz w:val="1"/>
                <w:szCs w:val="1"/>
                <w:color w:val="auto"/>
              </w:rPr>
            </w:pPr>
          </w:p>
        </w:tc>
      </w:tr>
      <w:tr>
        <w:trPr>
          <w:trHeight w:val="76"/>
        </w:trPr>
        <w:tc>
          <w:tcPr>
            <w:tcW w:w="4240" w:type="dxa"/>
            <w:vAlign w:val="bottom"/>
            <w:tcBorders>
              <w:left w:val="single" w:sz="8" w:color="auto"/>
              <w:bottom w:val="single" w:sz="8" w:color="auto"/>
              <w:right w:val="single" w:sz="8" w:color="auto"/>
            </w:tcBorders>
          </w:tcPr>
          <w:p>
            <w:pPr>
              <w:spacing w:after="0"/>
              <w:rPr>
                <w:sz w:val="6"/>
                <w:szCs w:val="6"/>
                <w:color w:val="auto"/>
              </w:rPr>
            </w:pPr>
          </w:p>
        </w:tc>
        <w:tc>
          <w:tcPr>
            <w:tcW w:w="7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4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Structural Loans</w:t>
            </w:r>
          </w:p>
        </w:tc>
        <w:tc>
          <w:tcPr>
            <w:tcW w:w="7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7"/>
                <w:szCs w:val="17"/>
                <w:color w:val="auto"/>
              </w:rPr>
              <w:t>Loan Portfolio excluding GP Loans.</w:t>
            </w:r>
          </w:p>
        </w:tc>
        <w:tc>
          <w:tcPr>
            <w:tcW w:w="0" w:type="dxa"/>
            <w:vAlign w:val="bottom"/>
          </w:tcPr>
          <w:p>
            <w:pPr>
              <w:spacing w:after="0"/>
              <w:rPr>
                <w:sz w:val="1"/>
                <w:szCs w:val="1"/>
                <w:color w:val="auto"/>
              </w:rPr>
            </w:pPr>
          </w:p>
        </w:tc>
      </w:tr>
      <w:tr>
        <w:trPr>
          <w:trHeight w:val="227"/>
        </w:trPr>
        <w:tc>
          <w:tcPr>
            <w:tcW w:w="42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Non-Recurring Events at Interest Income</w:t>
            </w:r>
          </w:p>
        </w:tc>
        <w:tc>
          <w:tcPr>
            <w:tcW w:w="712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Impairment charge (related to the government facility that allowed for deferment of certain</w:t>
            </w:r>
          </w:p>
        </w:tc>
        <w:tc>
          <w:tcPr>
            <w:tcW w:w="0" w:type="dxa"/>
            <w:vAlign w:val="bottom"/>
          </w:tcPr>
          <w:p>
            <w:pPr>
              <w:spacing w:after="0"/>
              <w:rPr>
                <w:sz w:val="1"/>
                <w:szCs w:val="1"/>
                <w:color w:val="auto"/>
              </w:rPr>
            </w:pPr>
          </w:p>
        </w:tc>
      </w:tr>
      <w:tr>
        <w:trPr>
          <w:trHeight w:val="129"/>
        </w:trPr>
        <w:tc>
          <w:tcPr>
            <w:tcW w:w="4240" w:type="dxa"/>
            <w:vAlign w:val="bottom"/>
            <w:tcBorders>
              <w:left w:val="single" w:sz="8" w:color="auto"/>
              <w:right w:val="single" w:sz="8" w:color="auto"/>
            </w:tcBorders>
            <w:vMerge w:val="continue"/>
          </w:tcPr>
          <w:p>
            <w:pPr>
              <w:spacing w:after="0"/>
              <w:rPr>
                <w:sz w:val="11"/>
                <w:szCs w:val="11"/>
                <w:color w:val="auto"/>
              </w:rPr>
            </w:pPr>
          </w:p>
        </w:tc>
        <w:tc>
          <w:tcPr>
            <w:tcW w:w="7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7"/>
                <w:szCs w:val="17"/>
                <w:color w:val="auto"/>
              </w:rPr>
              <w:t>installments at zero cost) and subsequent amortization thereof.</w:t>
            </w:r>
          </w:p>
        </w:tc>
        <w:tc>
          <w:tcPr>
            <w:tcW w:w="0" w:type="dxa"/>
            <w:vAlign w:val="bottom"/>
          </w:tcPr>
          <w:p>
            <w:pPr>
              <w:spacing w:after="0"/>
              <w:rPr>
                <w:sz w:val="1"/>
                <w:szCs w:val="1"/>
                <w:color w:val="auto"/>
              </w:rPr>
            </w:pPr>
          </w:p>
        </w:tc>
      </w:tr>
      <w:tr>
        <w:trPr>
          <w:trHeight w:val="76"/>
        </w:trPr>
        <w:tc>
          <w:tcPr>
            <w:tcW w:w="4240" w:type="dxa"/>
            <w:vAlign w:val="bottom"/>
            <w:tcBorders>
              <w:left w:val="single" w:sz="8" w:color="auto"/>
              <w:bottom w:val="single" w:sz="8" w:color="auto"/>
              <w:right w:val="single" w:sz="8" w:color="auto"/>
            </w:tcBorders>
          </w:tcPr>
          <w:p>
            <w:pPr>
              <w:spacing w:after="0"/>
              <w:rPr>
                <w:sz w:val="6"/>
                <w:szCs w:val="6"/>
                <w:color w:val="auto"/>
              </w:rPr>
            </w:pPr>
          </w:p>
        </w:tc>
        <w:tc>
          <w:tcPr>
            <w:tcW w:w="7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4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Non-Recurring Events at Interest Expenses</w:t>
            </w:r>
          </w:p>
        </w:tc>
        <w:tc>
          <w:tcPr>
            <w:tcW w:w="7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7"/>
                <w:szCs w:val="17"/>
                <w:color w:val="auto"/>
                <w:w w:val="99"/>
              </w:rPr>
              <w:t>Charges related to the liability management operation at BCP Stand-alone (3Q20 and 1Q21).</w:t>
            </w:r>
          </w:p>
        </w:tc>
        <w:tc>
          <w:tcPr>
            <w:tcW w:w="0" w:type="dxa"/>
            <w:vAlign w:val="bottom"/>
          </w:tcPr>
          <w:p>
            <w:pPr>
              <w:spacing w:after="0"/>
              <w:rPr>
                <w:sz w:val="1"/>
                <w:szCs w:val="1"/>
                <w:color w:val="auto"/>
              </w:rPr>
            </w:pPr>
          </w:p>
        </w:tc>
      </w:tr>
      <w:tr>
        <w:trPr>
          <w:trHeight w:val="227"/>
        </w:trPr>
        <w:tc>
          <w:tcPr>
            <w:tcW w:w="42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Structural Cost of Risk</w:t>
            </w:r>
          </w:p>
        </w:tc>
        <w:tc>
          <w:tcPr>
            <w:tcW w:w="712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Cost of Risk related to the Structural Loans. It excludes, in the numerator, provisions for</w:t>
            </w:r>
          </w:p>
        </w:tc>
        <w:tc>
          <w:tcPr>
            <w:tcW w:w="0" w:type="dxa"/>
            <w:vAlign w:val="bottom"/>
          </w:tcPr>
          <w:p>
            <w:pPr>
              <w:spacing w:after="0"/>
              <w:rPr>
                <w:sz w:val="1"/>
                <w:szCs w:val="1"/>
                <w:color w:val="auto"/>
              </w:rPr>
            </w:pPr>
          </w:p>
        </w:tc>
      </w:tr>
      <w:tr>
        <w:trPr>
          <w:trHeight w:val="129"/>
        </w:trPr>
        <w:tc>
          <w:tcPr>
            <w:tcW w:w="4240" w:type="dxa"/>
            <w:vAlign w:val="bottom"/>
            <w:tcBorders>
              <w:left w:val="single" w:sz="8" w:color="auto"/>
              <w:right w:val="single" w:sz="8" w:color="auto"/>
            </w:tcBorders>
            <w:vMerge w:val="continue"/>
          </w:tcPr>
          <w:p>
            <w:pPr>
              <w:spacing w:after="0"/>
              <w:rPr>
                <w:sz w:val="11"/>
                <w:szCs w:val="11"/>
                <w:color w:val="auto"/>
              </w:rPr>
            </w:pPr>
          </w:p>
        </w:tc>
        <w:tc>
          <w:tcPr>
            <w:tcW w:w="7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7"/>
                <w:szCs w:val="17"/>
                <w:color w:val="auto"/>
              </w:rPr>
              <w:t>credit losses on GP loans, and in the denominator, the total amount of GP Loans.</w:t>
            </w:r>
          </w:p>
        </w:tc>
        <w:tc>
          <w:tcPr>
            <w:tcW w:w="0" w:type="dxa"/>
            <w:vAlign w:val="bottom"/>
          </w:tcPr>
          <w:p>
            <w:pPr>
              <w:spacing w:after="0"/>
              <w:rPr>
                <w:sz w:val="1"/>
                <w:szCs w:val="1"/>
                <w:color w:val="auto"/>
              </w:rPr>
            </w:pPr>
          </w:p>
        </w:tc>
      </w:tr>
      <w:tr>
        <w:trPr>
          <w:trHeight w:val="76"/>
        </w:trPr>
        <w:tc>
          <w:tcPr>
            <w:tcW w:w="4240" w:type="dxa"/>
            <w:vAlign w:val="bottom"/>
            <w:tcBorders>
              <w:left w:val="single" w:sz="8" w:color="auto"/>
              <w:bottom w:val="single" w:sz="8" w:color="auto"/>
              <w:right w:val="single" w:sz="8" w:color="auto"/>
            </w:tcBorders>
          </w:tcPr>
          <w:p>
            <w:pPr>
              <w:spacing w:after="0"/>
              <w:rPr>
                <w:sz w:val="6"/>
                <w:szCs w:val="6"/>
                <w:color w:val="auto"/>
              </w:rPr>
            </w:pPr>
          </w:p>
        </w:tc>
        <w:tc>
          <w:tcPr>
            <w:tcW w:w="7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42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rPr>
              <w:t>Structural NPL ratio</w:t>
            </w:r>
          </w:p>
        </w:tc>
        <w:tc>
          <w:tcPr>
            <w:tcW w:w="7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7"/>
                <w:szCs w:val="17"/>
                <w:color w:val="auto"/>
              </w:rPr>
              <w:t>NPL Ratio related to Structural Loans. It excludes the impact of GP Loans.</w:t>
            </w:r>
          </w:p>
        </w:tc>
        <w:tc>
          <w:tcPr>
            <w:tcW w:w="0" w:type="dxa"/>
            <w:vAlign w:val="bottom"/>
          </w:tcPr>
          <w:p>
            <w:pPr>
              <w:spacing w:after="0"/>
              <w:rPr>
                <w:sz w:val="1"/>
                <w:szCs w:val="1"/>
                <w:color w:val="auto"/>
              </w:rPr>
            </w:pPr>
          </w:p>
        </w:tc>
      </w:tr>
      <w:tr>
        <w:trPr>
          <w:trHeight w:val="227"/>
        </w:trPr>
        <w:tc>
          <w:tcPr>
            <w:tcW w:w="42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Structural NIM</w:t>
            </w:r>
          </w:p>
        </w:tc>
        <w:tc>
          <w:tcPr>
            <w:tcW w:w="712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NIM related to Structural Loans and Other Interest Earning Assets. It deducts the impact of</w:t>
            </w:r>
          </w:p>
        </w:tc>
        <w:tc>
          <w:tcPr>
            <w:tcW w:w="0" w:type="dxa"/>
            <w:vAlign w:val="bottom"/>
          </w:tcPr>
          <w:p>
            <w:pPr>
              <w:spacing w:after="0"/>
              <w:rPr>
                <w:sz w:val="1"/>
                <w:szCs w:val="1"/>
                <w:color w:val="auto"/>
              </w:rPr>
            </w:pPr>
          </w:p>
        </w:tc>
      </w:tr>
      <w:tr>
        <w:trPr>
          <w:trHeight w:val="129"/>
        </w:trPr>
        <w:tc>
          <w:tcPr>
            <w:tcW w:w="4240" w:type="dxa"/>
            <w:vAlign w:val="bottom"/>
            <w:tcBorders>
              <w:left w:val="single" w:sz="8" w:color="auto"/>
              <w:right w:val="single" w:sz="8" w:color="auto"/>
            </w:tcBorders>
            <w:vMerge w:val="continue"/>
          </w:tcPr>
          <w:p>
            <w:pPr>
              <w:spacing w:after="0"/>
              <w:rPr>
                <w:sz w:val="11"/>
                <w:szCs w:val="11"/>
                <w:color w:val="auto"/>
              </w:rPr>
            </w:pPr>
          </w:p>
        </w:tc>
        <w:tc>
          <w:tcPr>
            <w:tcW w:w="7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7"/>
                <w:szCs w:val="17"/>
                <w:color w:val="auto"/>
              </w:rPr>
              <w:t>GP Loans and Non-recurring Events from Interest Income and Interest Expenses.</w:t>
            </w:r>
          </w:p>
        </w:tc>
        <w:tc>
          <w:tcPr>
            <w:tcW w:w="0" w:type="dxa"/>
            <w:vAlign w:val="bottom"/>
          </w:tcPr>
          <w:p>
            <w:pPr>
              <w:spacing w:after="0"/>
              <w:rPr>
                <w:sz w:val="1"/>
                <w:szCs w:val="1"/>
                <w:color w:val="auto"/>
              </w:rPr>
            </w:pPr>
          </w:p>
        </w:tc>
      </w:tr>
      <w:tr>
        <w:trPr>
          <w:trHeight w:val="76"/>
        </w:trPr>
        <w:tc>
          <w:tcPr>
            <w:tcW w:w="4240" w:type="dxa"/>
            <w:vAlign w:val="bottom"/>
            <w:tcBorders>
              <w:left w:val="single" w:sz="8" w:color="auto"/>
              <w:bottom w:val="single" w:sz="8" w:color="auto"/>
              <w:right w:val="single" w:sz="8" w:color="auto"/>
            </w:tcBorders>
          </w:tcPr>
          <w:p>
            <w:pPr>
              <w:spacing w:after="0"/>
              <w:rPr>
                <w:sz w:val="6"/>
                <w:szCs w:val="6"/>
                <w:color w:val="auto"/>
              </w:rPr>
            </w:pPr>
          </w:p>
        </w:tc>
        <w:tc>
          <w:tcPr>
            <w:tcW w:w="7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42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Structural Funding Cost</w:t>
            </w:r>
          </w:p>
        </w:tc>
        <w:tc>
          <w:tcPr>
            <w:tcW w:w="712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Funding Cost deducting the impact in expenses and funding related to GP Loans and</w:t>
            </w:r>
          </w:p>
        </w:tc>
        <w:tc>
          <w:tcPr>
            <w:tcW w:w="0" w:type="dxa"/>
            <w:vAlign w:val="bottom"/>
          </w:tcPr>
          <w:p>
            <w:pPr>
              <w:spacing w:after="0"/>
              <w:rPr>
                <w:sz w:val="1"/>
                <w:szCs w:val="1"/>
                <w:color w:val="auto"/>
              </w:rPr>
            </w:pPr>
          </w:p>
        </w:tc>
      </w:tr>
      <w:tr>
        <w:trPr>
          <w:trHeight w:val="129"/>
        </w:trPr>
        <w:tc>
          <w:tcPr>
            <w:tcW w:w="4240" w:type="dxa"/>
            <w:vAlign w:val="bottom"/>
            <w:tcBorders>
              <w:left w:val="single" w:sz="8" w:color="auto"/>
              <w:right w:val="single" w:sz="8" w:color="auto"/>
            </w:tcBorders>
            <w:vMerge w:val="continue"/>
          </w:tcPr>
          <w:p>
            <w:pPr>
              <w:spacing w:after="0"/>
              <w:rPr>
                <w:sz w:val="11"/>
                <w:szCs w:val="11"/>
                <w:color w:val="auto"/>
              </w:rPr>
            </w:pPr>
          </w:p>
        </w:tc>
        <w:tc>
          <w:tcPr>
            <w:tcW w:w="7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7"/>
                <w:szCs w:val="17"/>
                <w:color w:val="auto"/>
              </w:rPr>
              <w:t>deducting Non-recurring Events from Interest Expenses</w:t>
            </w:r>
          </w:p>
        </w:tc>
        <w:tc>
          <w:tcPr>
            <w:tcW w:w="0" w:type="dxa"/>
            <w:vAlign w:val="bottom"/>
          </w:tcPr>
          <w:p>
            <w:pPr>
              <w:spacing w:after="0"/>
              <w:rPr>
                <w:sz w:val="1"/>
                <w:szCs w:val="1"/>
                <w:color w:val="auto"/>
              </w:rPr>
            </w:pPr>
          </w:p>
        </w:tc>
      </w:tr>
      <w:tr>
        <w:trPr>
          <w:trHeight w:val="76"/>
        </w:trPr>
        <w:tc>
          <w:tcPr>
            <w:tcW w:w="4240" w:type="dxa"/>
            <w:vAlign w:val="bottom"/>
            <w:tcBorders>
              <w:left w:val="single" w:sz="8" w:color="auto"/>
              <w:bottom w:val="single" w:sz="8" w:color="auto"/>
              <w:right w:val="single" w:sz="8" w:color="auto"/>
            </w:tcBorders>
          </w:tcPr>
          <w:p>
            <w:pPr>
              <w:spacing w:after="0"/>
              <w:rPr>
                <w:sz w:val="6"/>
                <w:szCs w:val="6"/>
                <w:color w:val="auto"/>
              </w:rPr>
            </w:pPr>
          </w:p>
        </w:tc>
        <w:tc>
          <w:tcPr>
            <w:tcW w:w="71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6"/>
        </w:trPr>
        <w:tc>
          <w:tcPr>
            <w:tcW w:w="4240" w:type="dxa"/>
            <w:vAlign w:val="bottom"/>
          </w:tcPr>
          <w:p>
            <w:pPr>
              <w:spacing w:after="0"/>
              <w:rPr>
                <w:sz w:val="24"/>
                <w:szCs w:val="24"/>
                <w:color w:val="auto"/>
              </w:rPr>
            </w:pPr>
          </w:p>
        </w:tc>
        <w:tc>
          <w:tcPr>
            <w:tcW w:w="7000" w:type="dxa"/>
            <w:vAlign w:val="bottom"/>
          </w:tcPr>
          <w:p>
            <w:pPr>
              <w:ind w:left="6780"/>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240" w:type="dxa"/>
            <w:vAlign w:val="bottom"/>
            <w:tcBorders>
              <w:bottom w:val="single" w:sz="8" w:color="auto"/>
            </w:tcBorders>
          </w:tcPr>
          <w:p>
            <w:pPr>
              <w:spacing w:after="0"/>
              <w:rPr>
                <w:sz w:val="3"/>
                <w:szCs w:val="3"/>
                <w:color w:val="auto"/>
              </w:rPr>
            </w:pPr>
          </w:p>
        </w:tc>
        <w:tc>
          <w:tcPr>
            <w:tcW w:w="7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4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lowerRoman"/>
      <w:start w:val="2"/>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lvl w:ilvl="1">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lvl w:ilvl="1">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8"/>
    </w:lvl>
    <w:lvl w:ilvl="1">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lowerRoman"/>
      <w:start w:val="2"/>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upperLetter"/>
      <w:start w:val="54"/>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2023-02-14T14:34:27Z</dcterms:created>
  <dcterms:modified xsi:type="dcterms:W3CDTF">2023-02-14T14:34:27Z</dcterms:modified>
</cp:coreProperties>
</file>