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13G</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G2519Y108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5220" w:hanging="249"/>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13d-1(b)</w:t>
      </w:r>
    </w:p>
    <w:p>
      <w:pPr>
        <w:spacing w:after="0" w:line="225" w:lineRule="exact"/>
        <w:rPr>
          <w:rFonts w:ascii="MS PGothic" w:cs="MS PGothic" w:eastAsia="MS PGothic" w:hAnsi="MS PGothic"/>
          <w:sz w:val="18"/>
          <w:szCs w:val="18"/>
          <w:color w:val="auto"/>
        </w:rPr>
      </w:pPr>
    </w:p>
    <w:p>
      <w:pPr>
        <w:jc w:val="both"/>
        <w:ind w:left="5000" w:right="4980" w:hanging="19"/>
        <w:spacing w:after="0" w:line="532" w:lineRule="auto"/>
        <w:tabs>
          <w:tab w:leader="none" w:pos="5226"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Rule 13d-1(c) x Rule 13d-1(d)</w:t>
      </w:r>
    </w:p>
    <w:p>
      <w:pPr>
        <w:spacing w:after="0" w:line="1" w:lineRule="exact"/>
        <w:rPr>
          <w:rFonts w:ascii="MS PGothic" w:cs="MS PGothic" w:eastAsia="MS PGothic" w:hAnsi="MS PGothic"/>
          <w:sz w:val="17"/>
          <w:szCs w:val="17"/>
          <w:color w:val="auto"/>
        </w:rPr>
      </w:pPr>
    </w:p>
    <w:p>
      <w:pPr>
        <w:ind w:right="20" w:firstLine="648"/>
        <w:spacing w:after="0" w:line="282" w:lineRule="auto"/>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637540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1" w:name="page2"/>
    <w:bookmarkEnd w:id="1"/>
    <w:p>
      <w:pPr>
        <w:ind w:left="820" w:hanging="610"/>
        <w:spacing w:after="0"/>
        <w:tabs>
          <w:tab w:leader="none" w:pos="8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-127635</wp:posOffset>
            </wp:positionV>
            <wp:extent cx="7132320" cy="4774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p>
      <w:pPr>
        <w:spacing w:after="0" w:line="31" w:lineRule="exact"/>
        <w:rPr>
          <w:sz w:val="20"/>
          <w:szCs w:val="20"/>
          <w:color w:val="auto"/>
        </w:rPr>
      </w:pPr>
    </w:p>
    <w:p>
      <w:pPr>
        <w:ind w:left="820" w:hanging="632"/>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jc w:val="right"/>
        <w:ind w:right="340"/>
        <w:spacing w:after="0" w:line="207" w:lineRule="exact"/>
        <w:rPr>
          <w:sz w:val="20"/>
          <w:szCs w:val="20"/>
          <w:color w:val="auto"/>
        </w:rPr>
      </w:pPr>
      <w:r>
        <w:rPr>
          <w:rFonts w:ascii="Times New Roman" w:cs="Times New Roman" w:eastAsia="Times New Roman" w:hAnsi="Times New Roman"/>
          <w:sz w:val="18"/>
          <w:szCs w:val="18"/>
          <w:color w:val="auto"/>
        </w:rPr>
        <w:t xml:space="preserve">(a) :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340"/>
        <w:spacing w:after="0" w:line="207" w:lineRule="exact"/>
        <w:rPr>
          <w:sz w:val="20"/>
          <w:szCs w:val="20"/>
          <w:color w:val="auto"/>
        </w:rPr>
      </w:pPr>
      <w:r>
        <w:rPr>
          <w:rFonts w:ascii="Times New Roman" w:cs="Times New Roman" w:eastAsia="Times New Roman" w:hAnsi="Times New Roman"/>
          <w:sz w:val="18"/>
          <w:szCs w:val="18"/>
          <w:color w:val="auto"/>
        </w:rPr>
        <w:t xml:space="preserve">(b) : </w:t>
      </w:r>
      <w:r>
        <w:rPr>
          <w:rFonts w:ascii="MS PGothic" w:cs="MS PGothic" w:eastAsia="MS PGothic" w:hAnsi="MS PGothic"/>
          <w:sz w:val="18"/>
          <w:szCs w:val="18"/>
          <w:color w:val="auto"/>
        </w:rPr>
        <w:t>☐</w:t>
      </w:r>
    </w:p>
    <w:p>
      <w:pPr>
        <w:spacing w:after="0" w:line="29" w:lineRule="exact"/>
        <w:rPr>
          <w:sz w:val="20"/>
          <w:szCs w:val="20"/>
          <w:color w:val="auto"/>
        </w:rPr>
      </w:pPr>
    </w:p>
    <w:p>
      <w:pPr>
        <w:ind w:left="820" w:hanging="63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820" w:hanging="632"/>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Cayman Islands</w:t>
      </w:r>
    </w:p>
    <w:p>
      <w:pPr>
        <w:spacing w:after="0" w:line="31" w:lineRule="exact"/>
        <w:rPr>
          <w:rFonts w:ascii="Times New Roman" w:cs="Times New Roman" w:eastAsia="Times New Roman" w:hAnsi="Times New Roman"/>
          <w:sz w:val="18"/>
          <w:szCs w:val="18"/>
          <w:color w:val="auto"/>
        </w:rPr>
      </w:pPr>
    </w:p>
    <w:p>
      <w:pPr>
        <w:ind w:left="1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40" w:type="dxa"/>
            <w:vAlign w:val="bottom"/>
            <w:tcBorders>
              <w:bottom w:val="single" w:sz="8" w:color="auto"/>
            </w:tcBorders>
          </w:tcPr>
          <w:p>
            <w:pPr>
              <w:spacing w:after="0"/>
              <w:rPr>
                <w:sz w:val="20"/>
                <w:szCs w:val="20"/>
                <w:color w:val="auto"/>
              </w:rPr>
            </w:pPr>
          </w:p>
        </w:tc>
        <w:tc>
          <w:tcPr>
            <w:tcW w:w="9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14,620,846</w:t>
            </w:r>
          </w:p>
        </w:tc>
        <w:tc>
          <w:tcPr>
            <w:tcW w:w="0" w:type="dxa"/>
            <w:vAlign w:val="bottom"/>
          </w:tcPr>
          <w:p>
            <w:pPr>
              <w:spacing w:after="0"/>
              <w:rPr>
                <w:sz w:val="1"/>
                <w:szCs w:val="1"/>
                <w:color w:val="auto"/>
              </w:rPr>
            </w:pPr>
          </w:p>
        </w:tc>
      </w:tr>
      <w:tr>
        <w:trPr>
          <w:trHeight w:val="174"/>
        </w:trPr>
        <w:tc>
          <w:tcPr>
            <w:tcW w:w="1520" w:type="dxa"/>
            <w:vAlign w:val="bottom"/>
          </w:tcPr>
          <w:p>
            <w:pPr>
              <w:jc w:val="center"/>
              <w:ind w:right="7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540" w:type="dxa"/>
            <w:vAlign w:val="bottom"/>
          </w:tcPr>
          <w:p>
            <w:pPr>
              <w:jc w:val="right"/>
              <w:ind w:right="110"/>
              <w:spacing w:after="0" w:line="174" w:lineRule="exact"/>
              <w:rPr>
                <w:sz w:val="20"/>
                <w:szCs w:val="20"/>
                <w:color w:val="auto"/>
              </w:rPr>
            </w:pPr>
            <w:r>
              <w:rPr>
                <w:rFonts w:ascii="Times New Roman" w:cs="Times New Roman" w:eastAsia="Times New Roman" w:hAnsi="Times New Roman"/>
                <w:sz w:val="18"/>
                <w:szCs w:val="18"/>
                <w:color w:val="auto"/>
              </w:rPr>
              <w:t>6</w:t>
            </w:r>
          </w:p>
        </w:tc>
        <w:tc>
          <w:tcPr>
            <w:tcW w:w="900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540" w:type="dxa"/>
            <w:vAlign w:val="bottom"/>
          </w:tcPr>
          <w:p>
            <w:pPr>
              <w:spacing w:after="0"/>
              <w:rPr>
                <w:sz w:val="18"/>
                <w:szCs w:val="18"/>
                <w:color w:val="auto"/>
              </w:rPr>
            </w:pP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1,947,775</w:t>
            </w:r>
          </w:p>
        </w:tc>
        <w:tc>
          <w:tcPr>
            <w:tcW w:w="0" w:type="dxa"/>
            <w:vAlign w:val="bottom"/>
          </w:tcPr>
          <w:p>
            <w:pPr>
              <w:spacing w:after="0"/>
              <w:rPr>
                <w:sz w:val="1"/>
                <w:szCs w:val="1"/>
                <w:color w:val="auto"/>
              </w:rPr>
            </w:pPr>
          </w:p>
        </w:tc>
      </w:tr>
      <w:tr>
        <w:trPr>
          <w:trHeight w:val="36"/>
        </w:trPr>
        <w:tc>
          <w:tcPr>
            <w:tcW w:w="15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EACH</w:t>
            </w:r>
          </w:p>
        </w:tc>
        <w:tc>
          <w:tcPr>
            <w:tcW w:w="540" w:type="dxa"/>
            <w:vAlign w:val="bottom"/>
            <w:tcBorders>
              <w:bottom w:val="single" w:sz="8" w:color="auto"/>
            </w:tcBorders>
          </w:tcPr>
          <w:p>
            <w:pPr>
              <w:spacing w:after="0"/>
              <w:rPr>
                <w:sz w:val="3"/>
                <w:szCs w:val="3"/>
                <w:color w:val="auto"/>
              </w:rPr>
            </w:pPr>
          </w:p>
        </w:tc>
        <w:tc>
          <w:tcPr>
            <w:tcW w:w="9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520" w:type="dxa"/>
            <w:vAlign w:val="bottom"/>
            <w:vMerge w:val="continue"/>
          </w:tcPr>
          <w:p>
            <w:pPr>
              <w:spacing w:after="0"/>
              <w:rPr>
                <w:sz w:val="13"/>
                <w:szCs w:val="13"/>
                <w:color w:val="auto"/>
              </w:rPr>
            </w:pPr>
          </w:p>
        </w:tc>
        <w:tc>
          <w:tcPr>
            <w:tcW w:w="540" w:type="dxa"/>
            <w:vAlign w:val="bottom"/>
          </w:tcPr>
          <w:p>
            <w:pPr>
              <w:jc w:val="right"/>
              <w:ind w:right="110"/>
              <w:spacing w:after="0" w:line="160" w:lineRule="exact"/>
              <w:rPr>
                <w:sz w:val="20"/>
                <w:szCs w:val="20"/>
                <w:color w:val="auto"/>
              </w:rPr>
            </w:pPr>
            <w:r>
              <w:rPr>
                <w:rFonts w:ascii="Times New Roman" w:cs="Times New Roman" w:eastAsia="Times New Roman" w:hAnsi="Times New Roman"/>
                <w:sz w:val="18"/>
                <w:szCs w:val="18"/>
                <w:color w:val="auto"/>
              </w:rPr>
              <w:t>7</w:t>
            </w:r>
          </w:p>
        </w:tc>
        <w:tc>
          <w:tcPr>
            <w:tcW w:w="9000" w:type="dxa"/>
            <w:vAlign w:val="bottom"/>
          </w:tcPr>
          <w:p>
            <w:pPr>
              <w:ind w:left="220"/>
              <w:spacing w:after="0" w:line="160"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4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Pr>
          <w:p>
            <w:pPr>
              <w:spacing w:after="0"/>
              <w:rPr>
                <w:sz w:val="18"/>
                <w:szCs w:val="18"/>
                <w:color w:val="auto"/>
              </w:rPr>
            </w:pP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14,620,846</w:t>
            </w:r>
          </w:p>
        </w:tc>
        <w:tc>
          <w:tcPr>
            <w:tcW w:w="0" w:type="dxa"/>
            <w:vAlign w:val="bottom"/>
          </w:tcPr>
          <w:p>
            <w:pPr>
              <w:spacing w:after="0"/>
              <w:rPr>
                <w:sz w:val="1"/>
                <w:szCs w:val="1"/>
                <w:color w:val="auto"/>
              </w:rPr>
            </w:pPr>
          </w:p>
        </w:tc>
      </w:tr>
      <w:tr>
        <w:trPr>
          <w:trHeight w:val="49"/>
        </w:trPr>
        <w:tc>
          <w:tcPr>
            <w:tcW w:w="152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WITH</w:t>
            </w:r>
          </w:p>
        </w:tc>
        <w:tc>
          <w:tcPr>
            <w:tcW w:w="540" w:type="dxa"/>
            <w:vAlign w:val="bottom"/>
            <w:tcBorders>
              <w:bottom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20" w:type="dxa"/>
            <w:vAlign w:val="bottom"/>
            <w:vMerge w:val="continue"/>
          </w:tcPr>
          <w:p>
            <w:pPr>
              <w:spacing w:after="0"/>
              <w:rPr>
                <w:sz w:val="19"/>
                <w:szCs w:val="19"/>
                <w:color w:val="auto"/>
              </w:rPr>
            </w:pPr>
          </w:p>
        </w:tc>
        <w:tc>
          <w:tcPr>
            <w:tcW w:w="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1,947,775</w:t>
      </w:r>
    </w:p>
    <w:p>
      <w:pPr>
        <w:spacing w:after="0" w:line="31" w:lineRule="exact"/>
        <w:rPr>
          <w:sz w:val="20"/>
          <w:szCs w:val="20"/>
          <w:color w:val="auto"/>
        </w:rPr>
      </w:pPr>
    </w:p>
    <w:p>
      <w:pPr>
        <w:ind w:left="820" w:hanging="632"/>
        <w:spacing w:after="0"/>
        <w:tabs>
          <w:tab w:leader="none" w:pos="8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16,568,621</w:t>
      </w:r>
    </w:p>
    <w:p>
      <w:pPr>
        <w:spacing w:after="0" w:line="31" w:lineRule="exact"/>
        <w:rPr>
          <w:sz w:val="20"/>
          <w:szCs w:val="20"/>
          <w:color w:val="auto"/>
        </w:rPr>
      </w:pPr>
    </w:p>
    <w:p>
      <w:pPr>
        <w:ind w:left="820" w:hanging="67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w:t>
      </w:r>
    </w:p>
    <w:p>
      <w:pPr>
        <w:spacing w:after="0" w:line="233" w:lineRule="exact"/>
        <w:rPr>
          <w:rFonts w:ascii="Times New Roman" w:cs="Times New Roman" w:eastAsia="Times New Roman" w:hAnsi="Times New Roman"/>
          <w:sz w:val="18"/>
          <w:szCs w:val="18"/>
          <w:color w:val="auto"/>
        </w:rPr>
      </w:pPr>
    </w:p>
    <w:p>
      <w:pPr>
        <w:ind w:left="820" w:hanging="674"/>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1"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17.6%</w:t>
      </w:r>
    </w:p>
    <w:p>
      <w:pPr>
        <w:spacing w:after="0" w:line="31" w:lineRule="exact"/>
        <w:rPr>
          <w:rFonts w:ascii="Times New Roman" w:cs="Times New Roman" w:eastAsia="Times New Roman" w:hAnsi="Times New Roman"/>
          <w:sz w:val="18"/>
          <w:szCs w:val="18"/>
          <w:color w:val="auto"/>
        </w:rPr>
      </w:pPr>
    </w:p>
    <w:p>
      <w:pPr>
        <w:ind w:left="820" w:hanging="677"/>
        <w:spacing w:after="0"/>
        <w:tabs>
          <w:tab w:leader="none" w:pos="8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Type of Reporting Person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Instructions)</w:t>
      </w:r>
    </w:p>
    <w:p>
      <w:pPr>
        <w:spacing w:after="0" w:line="21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594360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500" w:top="918"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1(a).</w:t>
      </w:r>
      <w:r>
        <w:rPr>
          <w:sz w:val="20"/>
          <w:szCs w:val="20"/>
          <w:color w:val="auto"/>
        </w:rPr>
        <w:tab/>
      </w:r>
      <w:r>
        <w:rPr>
          <w:rFonts w:ascii="Times New Roman" w:cs="Times New Roman" w:eastAsia="Times New Roman" w:hAnsi="Times New Roman"/>
          <w:sz w:val="17"/>
          <w:szCs w:val="17"/>
          <w:color w:val="auto"/>
        </w:rPr>
        <w:t>Name of Issuer</w:t>
      </w:r>
      <w:r>
        <w:rPr>
          <w:rFonts w:ascii="Times New Roman" w:cs="Times New Roman" w:eastAsia="Times New Roman" w:hAnsi="Times New Roman"/>
          <w:sz w:val="17"/>
          <w:szCs w:val="17"/>
          <w:b w:val="1"/>
          <w:bCs w:val="1"/>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8"/>
          <w:szCs w:val="18"/>
          <w:color w:val="auto"/>
        </w:rPr>
        <w:t>Address of Issuer’s Principal Executive Offices: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 Banco de Crédito del Perú</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Calle Centenario N° 156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Las Laderas de Melgarejo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Lima 12 Perú</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2(a).</w:t>
      </w:r>
      <w:r>
        <w:rPr>
          <w:sz w:val="20"/>
          <w:szCs w:val="20"/>
          <w:color w:val="auto"/>
        </w:rPr>
        <w:tab/>
      </w:r>
      <w:r>
        <w:rPr>
          <w:rFonts w:ascii="Times New Roman" w:cs="Times New Roman" w:eastAsia="Times New Roman" w:hAnsi="Times New Roman"/>
          <w:sz w:val="18"/>
          <w:szCs w:val="18"/>
          <w:color w:val="auto"/>
        </w:rPr>
        <w:t>Name of Persons Filing:</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2(b).</w:t>
      </w:r>
      <w:r>
        <w:rPr>
          <w:sz w:val="20"/>
          <w:szCs w:val="20"/>
          <w:color w:val="auto"/>
        </w:rPr>
        <w:tab/>
      </w:r>
      <w:r>
        <w:rPr>
          <w:rFonts w:ascii="Times New Roman" w:cs="Times New Roman" w:eastAsia="Times New Roman" w:hAnsi="Times New Roman"/>
          <w:sz w:val="18"/>
          <w:szCs w:val="18"/>
          <w:color w:val="auto"/>
        </w:rPr>
        <w:t>Address of Principal Business Office or if None, Residence:</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Atlantic Security Holding Corp</w:t>
      </w:r>
    </w:p>
    <w:p>
      <w:pPr>
        <w:spacing w:after="0" w:line="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Ugland House, South Church St., KY1-1104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George Town, Grand Cayman, Cayman Islands</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2(c).</w:t>
      </w:r>
      <w:r>
        <w:rPr>
          <w:sz w:val="20"/>
          <w:szCs w:val="20"/>
          <w:color w:val="auto"/>
        </w:rPr>
        <w:tab/>
      </w:r>
      <w:r>
        <w:rPr>
          <w:rFonts w:ascii="Times New Roman" w:cs="Times New Roman" w:eastAsia="Times New Roman" w:hAnsi="Times New Roman"/>
          <w:sz w:val="18"/>
          <w:szCs w:val="18"/>
          <w:color w:val="auto"/>
        </w:rPr>
        <w:t>Citizenship:</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See Item 4 on Page 2</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2(e).</w:t>
      </w:r>
      <w:r>
        <w:rPr>
          <w:sz w:val="20"/>
          <w:szCs w:val="20"/>
          <w:color w:val="auto"/>
        </w:rPr>
        <w:tab/>
      </w:r>
      <w:r>
        <w:rPr>
          <w:rFonts w:ascii="Times New Roman" w:cs="Times New Roman" w:eastAsia="Times New Roman" w:hAnsi="Times New Roman"/>
          <w:sz w:val="17"/>
          <w:szCs w:val="17"/>
          <w:color w:val="auto"/>
        </w:rPr>
        <w:t>Cusip Number:</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G2519Y 10 8</w:t>
      </w:r>
    </w:p>
    <w:p>
      <w:pPr>
        <w:spacing w:after="0" w:line="22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Rules 13d-1(b), or 13d-2(b), check whether the person filing is a:</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0" w:lineRule="exact"/>
        <w:rPr>
          <w:sz w:val="20"/>
          <w:szCs w:val="20"/>
          <w:color w:val="auto"/>
        </w:rPr>
      </w:pP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Broker or dealer registered under Section 15 of the Act (15 U.S.C. 78o)</w:t>
      </w:r>
    </w:p>
    <w:p>
      <w:pPr>
        <w:spacing w:after="0" w:line="57" w:lineRule="exact"/>
        <w:rPr>
          <w:rFonts w:ascii="Times New Roman" w:cs="Times New Roman" w:eastAsia="Times New Roman" w:hAnsi="Times New Roman"/>
          <w:sz w:val="18"/>
          <w:szCs w:val="18"/>
          <w:color w:val="auto"/>
        </w:rPr>
      </w:pP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An employee benefit plan or endowment fund in accordance with §240.13d-1(b)(1)(ii)(F)</w:t>
      </w:r>
    </w:p>
    <w:p>
      <w:pPr>
        <w:spacing w:after="0" w:line="9" w:lineRule="exact"/>
        <w:rPr>
          <w:rFonts w:ascii="Times New Roman" w:cs="Times New Roman" w:eastAsia="Times New Roman" w:hAnsi="Times New Roman"/>
          <w:sz w:val="18"/>
          <w:szCs w:val="18"/>
          <w:color w:val="auto"/>
        </w:rPr>
      </w:pP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parent holding company or control person in accordance with §240.13d-1(b)(ii)(G)</w:t>
      </w:r>
    </w:p>
    <w:p>
      <w:pPr>
        <w:spacing w:after="0" w:line="9" w:lineRule="exact"/>
        <w:rPr>
          <w:rFonts w:ascii="Times New Roman" w:cs="Times New Roman" w:eastAsia="Times New Roman" w:hAnsi="Times New Roman"/>
          <w:sz w:val="18"/>
          <w:szCs w:val="18"/>
          <w:color w:val="auto"/>
        </w:rPr>
      </w:pP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A savings associations as defined in Section 3(b) of the Federal Deposit Insurance Act</w:t>
      </w:r>
    </w:p>
    <w:p>
      <w:pPr>
        <w:spacing w:after="0" w:line="9" w:lineRule="exact"/>
        <w:rPr>
          <w:rFonts w:ascii="Times New Roman" w:cs="Times New Roman" w:eastAsia="Times New Roman" w:hAnsi="Times New Roman"/>
          <w:sz w:val="18"/>
          <w:szCs w:val="18"/>
          <w:color w:val="auto"/>
        </w:rPr>
      </w:pPr>
    </w:p>
    <w:p>
      <w:pPr>
        <w:ind w:left="1700" w:hanging="1125"/>
        <w:spacing w:after="0" w:line="215" w:lineRule="exact"/>
        <w:tabs>
          <w:tab w:leader="none" w:pos="1147"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ind w:left="1140" w:hanging="565"/>
        <w:spacing w:after="0" w:line="207" w:lineRule="exact"/>
        <w:tabs>
          <w:tab w:leader="none" w:pos="114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1300" w:right="7800" w:hanging="644"/>
        <w:spacing w:after="0" w:line="500"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See Item 9 on Page 2</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11 on Page 2</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960" w:right="6420" w:hanging="656"/>
        <w:spacing w:after="0" w:line="500"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5 on Page 2</w:t>
      </w:r>
    </w:p>
    <w:p>
      <w:pPr>
        <w:spacing w:after="0" w:line="1" w:lineRule="exact"/>
        <w:rPr>
          <w:rFonts w:ascii="Times New Roman" w:cs="Times New Roman" w:eastAsia="Times New Roman" w:hAnsi="Times New Roman"/>
          <w:sz w:val="18"/>
          <w:szCs w:val="18"/>
          <w:color w:val="auto"/>
        </w:rPr>
      </w:pPr>
    </w:p>
    <w:p>
      <w:pPr>
        <w:ind w:left="1960" w:right="6240" w:hanging="656"/>
        <w:spacing w:after="0" w:line="500"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6 on Page 2.</w:t>
      </w:r>
    </w:p>
    <w:p>
      <w:pPr>
        <w:spacing w:after="0" w:line="1" w:lineRule="exact"/>
        <w:rPr>
          <w:rFonts w:ascii="Times New Roman" w:cs="Times New Roman" w:eastAsia="Times New Roman" w:hAnsi="Times New Roman"/>
          <w:sz w:val="18"/>
          <w:szCs w:val="18"/>
          <w:color w:val="auto"/>
        </w:rPr>
      </w:pPr>
    </w:p>
    <w:p>
      <w:pPr>
        <w:jc w:val="both"/>
        <w:ind w:left="19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Items 6, 8, 9 and 11 above include 1,947,775 shares held by ASHC’s subsidiary, Atlantic Security Bank (ASB). These 1,947,775 shares are held by ASB on behalf of clients as part of the Private Banking Services that ASB provides, and which shares are purchased or sold based on client instruction. Clients can decide at any time to exercise their voting power in any Shareholders’ Meeting, but generally grant a revocable voting proxy to directors or officers of Credicorp for purposes of the Annual Shareholders Meeting. These shares are held by ASB on behalf of clients, which clients have the power to vote and dispose of the shares. ASHC disclaims beneficial ownership of the shares. The filing of this Schedule 13G by ASHC should not be construed as an admission that ASHC is, for purposes of Section 13(d) or 13(g) of the Securities Exchange Act of 1934, as amended (the “Exchange Act”), the beneficial owner of the 1,947,775 Credicorp shares held by ASB on behalf of clients and included in this Schedule 13G.</w:t>
      </w:r>
    </w:p>
    <w:p>
      <w:pPr>
        <w:spacing w:after="0" w:line="188" w:lineRule="exact"/>
        <w:rPr>
          <w:rFonts w:ascii="Times New Roman" w:cs="Times New Roman" w:eastAsia="Times New Roman" w:hAnsi="Times New Roman"/>
          <w:sz w:val="18"/>
          <w:szCs w:val="18"/>
          <w:color w:val="auto"/>
        </w:rPr>
      </w:pPr>
    </w:p>
    <w:p>
      <w:pPr>
        <w:ind w:left="1960" w:right="5520" w:hanging="656"/>
        <w:spacing w:after="0" w:line="500"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7 on Page 2</w:t>
      </w:r>
    </w:p>
    <w:p>
      <w:pPr>
        <w:spacing w:after="0" w:line="1" w:lineRule="exact"/>
        <w:rPr>
          <w:rFonts w:ascii="Times New Roman" w:cs="Times New Roman" w:eastAsia="Times New Roman" w:hAnsi="Times New Roman"/>
          <w:sz w:val="18"/>
          <w:szCs w:val="18"/>
          <w:color w:val="auto"/>
        </w:rPr>
      </w:pPr>
    </w:p>
    <w:p>
      <w:pPr>
        <w:ind w:left="1960" w:right="5340" w:hanging="656"/>
        <w:spacing w:after="0" w:line="500" w:lineRule="auto"/>
        <w:tabs>
          <w:tab w:leader="none" w:pos="19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8 on Page 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See the explanation under Item 4(c)(ii), above.</w:t>
            </w: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w:t>
            </w:r>
          </w:p>
        </w:tc>
      </w:tr>
      <w:tr>
        <w:trPr>
          <w:trHeight w:val="234"/>
        </w:trPr>
        <w:tc>
          <w:tcPr>
            <w:tcW w:w="96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 Person</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See the explanation under Item 4(c)(ii), above.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Notice of Dissolution of Group</w:t>
            </w:r>
          </w:p>
        </w:tc>
      </w:tr>
      <w:tr>
        <w:trPr>
          <w:trHeight w:val="432"/>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w:t>
            </w:r>
          </w:p>
        </w:tc>
      </w:tr>
      <w:tr>
        <w:trPr>
          <w:trHeight w:val="410"/>
        </w:trPr>
        <w:tc>
          <w:tcPr>
            <w:tcW w:w="960" w:type="dxa"/>
            <w:vAlign w:val="bottom"/>
          </w:tcPr>
          <w:p>
            <w:pPr>
              <w:spacing w:after="0"/>
              <w:rPr>
                <w:sz w:val="24"/>
                <w:szCs w:val="24"/>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By signing below, I certify that, to the best of my knowledge and belief, the securities referred to above were not acquired and are</w:t>
            </w:r>
          </w:p>
        </w:tc>
      </w:tr>
      <w:tr>
        <w:trPr>
          <w:trHeight w:val="216"/>
        </w:trPr>
        <w:tc>
          <w:tcPr>
            <w:tcW w:w="960" w:type="dxa"/>
            <w:vAlign w:val="bottom"/>
          </w:tcPr>
          <w:p>
            <w:pPr>
              <w:spacing w:after="0"/>
              <w:rPr>
                <w:sz w:val="18"/>
                <w:szCs w:val="18"/>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not held for the purpose of or with the effect of changing or influencing the control of the issuer of the securities and were not</w:t>
            </w:r>
          </w:p>
        </w:tc>
      </w:tr>
      <w:tr>
        <w:trPr>
          <w:trHeight w:val="238"/>
        </w:trPr>
        <w:tc>
          <w:tcPr>
            <w:tcW w:w="960" w:type="dxa"/>
            <w:vAlign w:val="bottom"/>
          </w:tcPr>
          <w:p>
            <w:pPr>
              <w:spacing w:after="0"/>
              <w:rPr>
                <w:sz w:val="20"/>
                <w:szCs w:val="20"/>
                <w:color w:val="auto"/>
              </w:rPr>
            </w:pPr>
          </w:p>
        </w:tc>
        <w:tc>
          <w:tcPr>
            <w:tcW w:w="10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acquired and are not held in connection with or as a participant in any transaction having that purpose or effect.</w:t>
            </w:r>
          </w:p>
        </w:tc>
      </w:tr>
      <w:tr>
        <w:trPr>
          <w:trHeight w:val="675"/>
        </w:trPr>
        <w:tc>
          <w:tcPr>
            <w:tcW w:w="960" w:type="dxa"/>
            <w:vAlign w:val="bottom"/>
            <w:tcBorders>
              <w:bottom w:val="single" w:sz="8" w:color="auto"/>
            </w:tcBorders>
          </w:tcPr>
          <w:p>
            <w:pPr>
              <w:spacing w:after="0"/>
              <w:rPr>
                <w:sz w:val="24"/>
                <w:szCs w:val="24"/>
                <w:color w:val="auto"/>
              </w:rPr>
            </w:pPr>
          </w:p>
        </w:tc>
        <w:tc>
          <w:tcPr>
            <w:tcW w:w="10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054"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February 2, 2021</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gridSpan w:val="2"/>
          </w:tcPr>
          <w:p>
            <w:pPr>
              <w:ind w:left="5400"/>
              <w:spacing w:after="0"/>
              <w:rPr>
                <w:sz w:val="20"/>
                <w:szCs w:val="20"/>
                <w:color w:val="auto"/>
              </w:rPr>
            </w:pPr>
            <w:r>
              <w:rPr>
                <w:rFonts w:ascii="Times New Roman" w:cs="Times New Roman" w:eastAsia="Times New Roman" w:hAnsi="Times New Roman"/>
                <w:sz w:val="18"/>
                <w:szCs w:val="18"/>
                <w:color w:val="auto"/>
              </w:rPr>
              <w:t>Atlantic Security Holding Corp</w:t>
            </w:r>
          </w:p>
        </w:tc>
        <w:tc>
          <w:tcPr>
            <w:tcW w:w="54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32"/>
        </w:trPr>
        <w:tc>
          <w:tcPr>
            <w:tcW w:w="8220" w:type="dxa"/>
            <w:vAlign w:val="bottom"/>
            <w:gridSpan w:val="2"/>
          </w:tcPr>
          <w:p>
            <w:pPr>
              <w:ind w:left="5400"/>
              <w:spacing w:after="0"/>
              <w:rPr>
                <w:sz w:val="20"/>
                <w:szCs w:val="20"/>
                <w:color w:val="auto"/>
              </w:rPr>
            </w:pPr>
            <w:r>
              <w:rPr>
                <w:rFonts w:ascii="Times New Roman" w:cs="Times New Roman" w:eastAsia="Times New Roman" w:hAnsi="Times New Roman"/>
                <w:sz w:val="18"/>
                <w:szCs w:val="18"/>
                <w:color w:val="auto"/>
              </w:rPr>
              <w:t>By: /s/ Juan Inchaustegui</w:t>
            </w: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Luis Eduardo Rodríguez</w:t>
            </w:r>
          </w:p>
        </w:tc>
      </w:tr>
      <w:tr>
        <w:trPr>
          <w:trHeight w:val="20"/>
        </w:trPr>
        <w:tc>
          <w:tcPr>
            <w:tcW w:w="57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407"/>
        </w:trPr>
        <w:tc>
          <w:tcPr>
            <w:tcW w:w="8220" w:type="dxa"/>
            <w:vAlign w:val="bottom"/>
            <w:gridSpan w:val="2"/>
          </w:tcPr>
          <w:p>
            <w:pPr>
              <w:ind w:left="5400"/>
              <w:spacing w:after="0"/>
              <w:rPr>
                <w:sz w:val="20"/>
                <w:szCs w:val="20"/>
                <w:color w:val="auto"/>
              </w:rPr>
            </w:pPr>
            <w:r>
              <w:rPr>
                <w:rFonts w:ascii="Times New Roman" w:cs="Times New Roman" w:eastAsia="Times New Roman" w:hAnsi="Times New Roman"/>
                <w:sz w:val="18"/>
                <w:szCs w:val="18"/>
                <w:color w:val="auto"/>
              </w:rPr>
              <w:t>Name: Juan Inchaustegui</w:t>
            </w: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Name: Luis Eduardo Rodríguez</w:t>
            </w:r>
          </w:p>
        </w:tc>
      </w:tr>
      <w:tr>
        <w:trPr>
          <w:trHeight w:val="234"/>
        </w:trPr>
        <w:tc>
          <w:tcPr>
            <w:tcW w:w="8220" w:type="dxa"/>
            <w:vAlign w:val="bottom"/>
            <w:gridSpan w:val="2"/>
          </w:tcPr>
          <w:p>
            <w:pPr>
              <w:ind w:left="5400"/>
              <w:spacing w:after="0"/>
              <w:rPr>
                <w:sz w:val="20"/>
                <w:szCs w:val="20"/>
                <w:color w:val="auto"/>
              </w:rPr>
            </w:pPr>
            <w:r>
              <w:rPr>
                <w:rFonts w:ascii="Times New Roman" w:cs="Times New Roman" w:eastAsia="Times New Roman" w:hAnsi="Times New Roman"/>
                <w:sz w:val="18"/>
                <w:szCs w:val="18"/>
                <w:color w:val="auto"/>
              </w:rPr>
              <w:t>Title: Attorney-In-Fact</w:t>
            </w:r>
          </w:p>
        </w:tc>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 Attorney-In-Fact</w:t>
            </w:r>
          </w:p>
        </w:tc>
      </w:tr>
      <w:tr>
        <w:trPr>
          <w:trHeight w:val="945"/>
        </w:trPr>
        <w:tc>
          <w:tcPr>
            <w:tcW w:w="57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2021-02-03T11:04:54Z</dcterms:created>
  <dcterms:modified xsi:type="dcterms:W3CDTF">2021-02-03T11:04:54Z</dcterms:modified>
</cp:coreProperties>
</file>