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August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August 2</w:t>
      </w:r>
      <w:r>
        <w:rPr>
          <w:rFonts w:ascii="Arial" w:cs="Arial" w:eastAsia="Arial" w:hAnsi="Arial"/>
          <w:sz w:val="30"/>
          <w:szCs w:val="30"/>
          <w:color w:val="auto"/>
          <w:vertAlign w:val="superscript"/>
        </w:rPr>
        <w:t>nd</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between our subsidiaries El Pacífico Vida Compañía de Seguros y Reaseguros (PV) and El Pacífico Peruano-Suiza Compañía de Seguros y Reaseguros (PSG) went into effect on August 1st, as a result of the subscription of the respective Public Deed.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consequence of the said merger, PV acquires all of the rights and obligations of PSG; the resulting company shall be named Pacífico Compañía de Seguros y Reaseguros, with abbreviated name “Pacífico Seguros”, and shall have a capital stock amount of S/1,121,316,750 (one thousand one hundred and twenty-one million three hundred and sixteen thousand seven hundred and fifty Soles).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should be noted that the merger has the prior authorization of the Superintendence of Banking, Insurance and AFP (SBS), granted by Resolution SBS N.° 2836-2017.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of the Economic Group shall be adjusted by Credicorp according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2</w:t>
      </w:r>
      <w:r>
        <w:rPr>
          <w:rFonts w:ascii="Arial" w:cs="Arial" w:eastAsia="Arial" w:hAnsi="Arial"/>
          <w:sz w:val="30"/>
          <w:szCs w:val="30"/>
          <w:color w:val="auto"/>
          <w:vertAlign w:val="superscript"/>
        </w:rPr>
        <w:t>nd</w:t>
      </w:r>
      <w:r>
        <w:rPr>
          <w:rFonts w:ascii="Arial" w:cs="Arial" w:eastAsia="Arial" w:hAnsi="Arial"/>
          <w:sz w:val="18"/>
          <w:szCs w:val="18"/>
          <w:color w:val="auto"/>
        </w:rPr>
        <w:t>, 2017</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2019-12-06T03:16:19Z</dcterms:created>
  <dcterms:modified xsi:type="dcterms:W3CDTF">2019-12-06T03:16:19Z</dcterms:modified>
</cp:coreProperties>
</file>