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565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3111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259080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Pursuant to Rule 13a-16 or 15d-16 under the</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Securities Exchange Act of 1934</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For the month of Feb 2024</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Commission File Number: 001-14014</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9"/>
          <w:szCs w:val="39"/>
          <w:b w:val="1"/>
          <w:bCs w:val="1"/>
          <w:color w:val="auto"/>
        </w:rPr>
        <w:t>CREDICORP LTD.</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Of our subsidiary</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Banco de Credito del Peru:</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Calle Centenario 156</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La Molina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Lima 12, Peru</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0" w:lineRule="exact"/>
        <w:rPr>
          <w:sz w:val="24"/>
          <w:szCs w:val="24"/>
          <w:color w:val="auto"/>
        </w:rPr>
      </w:pPr>
    </w:p>
    <w:p>
      <w:pPr>
        <w:ind w:left="472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101(b)(1): ____</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187960</wp:posOffset>
            </wp:positionV>
            <wp:extent cx="7145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273050</wp:posOffset>
            </wp:positionV>
            <wp:extent cx="7145655"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311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396875</wp:posOffset>
            </wp:positionV>
            <wp:extent cx="714565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6"/>
          <w:szCs w:val="16"/>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324485</wp:posOffset>
            </wp:positionV>
            <wp:extent cx="714565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8" w:lineRule="exact"/>
        <w:rPr>
          <w:sz w:val="20"/>
          <w:szCs w:val="20"/>
          <w:color w:val="auto"/>
        </w:rPr>
      </w:pPr>
    </w:p>
    <w:p>
      <w:pPr>
        <w:ind w:firstLine="439"/>
        <w:spacing w:after="0" w:line="28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Date: February 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2024</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(Registrant)</w:t>
      </w:r>
    </w:p>
    <w:p>
      <w:pPr>
        <w:spacing w:after="0" w:line="1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229933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9335" cy="15240"/>
                    </a:xfrm>
                    <a:prstGeom prst="rect">
                      <a:avLst/>
                    </a:prstGeom>
                    <a:noFill/>
                  </pic:spPr>
                </pic:pic>
              </a:graphicData>
            </a:graphic>
          </wp:anchor>
        </w:drawing>
      </w:r>
    </w:p>
    <w:p>
      <w:pPr>
        <w:spacing w:after="0" w:line="1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b w:val="1"/>
          <w:bCs w:val="1"/>
          <w:color w:val="auto"/>
        </w:rPr>
        <w:t>Guillermo Morales</w:t>
      </w:r>
    </w:p>
    <w:p>
      <w:pPr>
        <w:spacing w:after="0" w:line="2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309245</wp:posOffset>
            </wp:positionV>
            <wp:extent cx="714565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9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126365</wp:posOffset>
            </wp:positionV>
            <wp:extent cx="7145655" cy="7795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655" cy="7795895"/>
                    </a:xfrm>
                    <a:prstGeom prst="rect">
                      <a:avLst/>
                    </a:prstGeom>
                    <a:noFill/>
                  </pic:spPr>
                </pic:pic>
              </a:graphicData>
            </a:graphic>
          </wp:anchor>
        </w:drawing>
      </w:r>
    </w:p>
    <w:p>
      <w:pPr>
        <w:sectPr>
          <w:pgSz w:w="11900" w:h="16838" w:orient="portrait"/>
          <w:cols w:equalWidth="0" w:num="1">
            <w:col w:w="10140"/>
          </w:cols>
          <w:pgMar w:left="1440" w:top="257" w:right="319" w:bottom="1440" w:gutter="0" w:footer="0" w:header="0"/>
        </w:sectPr>
      </w:pPr>
    </w:p>
    <w:bookmarkStart w:id="4" w:name="page5"/>
    <w:bookmarkEnd w:id="4"/>
    <w:p>
      <w:pPr>
        <w:ind w:left="2720"/>
        <w:spacing w:after="0"/>
        <w:tabs>
          <w:tab w:leader="none" w:pos="29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44"/>
          <w:szCs w:val="44"/>
          <w:b w:val="1"/>
          <w:bCs w:val="1"/>
          <w:color w:val="2AD2C8"/>
        </w:rPr>
        <w:t>Table of Contents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8960" w:type="dxa"/>
            <w:vAlign w:val="bottom"/>
            <w:gridSpan w:val="2"/>
          </w:tcPr>
          <w:p>
            <w:pPr>
              <w:ind w:left="800"/>
              <w:spacing w:after="0"/>
              <w:rPr>
                <w:sz w:val="20"/>
                <w:szCs w:val="20"/>
                <w:color w:val="auto"/>
              </w:rPr>
            </w:pPr>
            <w:r>
              <w:rPr>
                <w:rFonts w:ascii="Arial" w:cs="Arial" w:eastAsia="Arial" w:hAnsi="Arial"/>
                <w:sz w:val="20"/>
                <w:szCs w:val="20"/>
                <w:b w:val="1"/>
                <w:bCs w:val="1"/>
                <w:color w:val="A6A6A6"/>
              </w:rPr>
              <w:t>Operating and Financial Highlights</w:t>
            </w:r>
          </w:p>
        </w:tc>
        <w:tc>
          <w:tcPr>
            <w:tcW w:w="2300" w:type="dxa"/>
            <w:vAlign w:val="bottom"/>
          </w:tcPr>
          <w:p>
            <w:pPr>
              <w:jc w:val="right"/>
              <w:spacing w:after="0"/>
              <w:rPr>
                <w:sz w:val="20"/>
                <w:szCs w:val="20"/>
                <w:color w:val="auto"/>
              </w:rPr>
            </w:pPr>
            <w:r>
              <w:rPr>
                <w:rFonts w:ascii="Arial" w:cs="Arial" w:eastAsia="Arial" w:hAnsi="Arial"/>
                <w:sz w:val="20"/>
                <w:szCs w:val="20"/>
                <w:color w:val="auto"/>
              </w:rPr>
              <w:t>03</w:t>
            </w:r>
          </w:p>
        </w:tc>
      </w:tr>
      <w:tr>
        <w:trPr>
          <w:trHeight w:val="439"/>
        </w:trPr>
        <w:tc>
          <w:tcPr>
            <w:tcW w:w="8960" w:type="dxa"/>
            <w:vAlign w:val="bottom"/>
            <w:gridSpan w:val="2"/>
          </w:tcPr>
          <w:p>
            <w:pPr>
              <w:ind w:left="800"/>
              <w:spacing w:after="0"/>
              <w:rPr>
                <w:sz w:val="20"/>
                <w:szCs w:val="20"/>
                <w:color w:val="auto"/>
              </w:rPr>
            </w:pPr>
            <w:r>
              <w:rPr>
                <w:rFonts w:ascii="Arial" w:cs="Arial" w:eastAsia="Arial" w:hAnsi="Arial"/>
                <w:sz w:val="20"/>
                <w:szCs w:val="20"/>
                <w:b w:val="1"/>
                <w:bCs w:val="1"/>
                <w:color w:val="A6A6A6"/>
              </w:rPr>
              <w:t>Senior Management Quotes</w:t>
            </w:r>
          </w:p>
        </w:tc>
        <w:tc>
          <w:tcPr>
            <w:tcW w:w="2300" w:type="dxa"/>
            <w:vAlign w:val="bottom"/>
          </w:tcPr>
          <w:p>
            <w:pPr>
              <w:jc w:val="right"/>
              <w:spacing w:after="0"/>
              <w:rPr>
                <w:sz w:val="20"/>
                <w:szCs w:val="20"/>
                <w:color w:val="auto"/>
              </w:rPr>
            </w:pPr>
            <w:r>
              <w:rPr>
                <w:rFonts w:ascii="Arial" w:cs="Arial" w:eastAsia="Arial" w:hAnsi="Arial"/>
                <w:sz w:val="20"/>
                <w:szCs w:val="20"/>
                <w:color w:val="auto"/>
              </w:rPr>
              <w:t>05</w:t>
            </w:r>
          </w:p>
        </w:tc>
      </w:tr>
      <w:tr>
        <w:trPr>
          <w:trHeight w:val="439"/>
        </w:trPr>
        <w:tc>
          <w:tcPr>
            <w:tcW w:w="8960" w:type="dxa"/>
            <w:vAlign w:val="bottom"/>
            <w:gridSpan w:val="2"/>
          </w:tcPr>
          <w:p>
            <w:pPr>
              <w:ind w:left="800"/>
              <w:spacing w:after="0"/>
              <w:rPr>
                <w:sz w:val="20"/>
                <w:szCs w:val="20"/>
                <w:color w:val="auto"/>
              </w:rPr>
            </w:pPr>
            <w:r>
              <w:rPr>
                <w:rFonts w:ascii="Arial" w:cs="Arial" w:eastAsia="Arial" w:hAnsi="Arial"/>
                <w:sz w:val="20"/>
                <w:szCs w:val="20"/>
                <w:b w:val="1"/>
                <w:bCs w:val="1"/>
                <w:color w:val="A6A6A6"/>
              </w:rPr>
              <w:t>Fourth Quarter 2023 Earnings Conference Call</w:t>
            </w:r>
          </w:p>
        </w:tc>
        <w:tc>
          <w:tcPr>
            <w:tcW w:w="2300" w:type="dxa"/>
            <w:vAlign w:val="bottom"/>
          </w:tcPr>
          <w:p>
            <w:pPr>
              <w:jc w:val="right"/>
              <w:spacing w:after="0"/>
              <w:rPr>
                <w:sz w:val="20"/>
                <w:szCs w:val="20"/>
                <w:color w:val="auto"/>
              </w:rPr>
            </w:pPr>
            <w:r>
              <w:rPr>
                <w:rFonts w:ascii="Arial" w:cs="Arial" w:eastAsia="Arial" w:hAnsi="Arial"/>
                <w:sz w:val="20"/>
                <w:szCs w:val="20"/>
                <w:color w:val="auto"/>
              </w:rPr>
              <w:t>06</w:t>
            </w:r>
          </w:p>
        </w:tc>
      </w:tr>
      <w:tr>
        <w:trPr>
          <w:trHeight w:val="439"/>
        </w:trPr>
        <w:tc>
          <w:tcPr>
            <w:tcW w:w="8960" w:type="dxa"/>
            <w:vAlign w:val="bottom"/>
            <w:gridSpan w:val="2"/>
          </w:tcPr>
          <w:p>
            <w:pPr>
              <w:ind w:left="800"/>
              <w:spacing w:after="0"/>
              <w:rPr>
                <w:sz w:val="20"/>
                <w:szCs w:val="20"/>
                <w:color w:val="auto"/>
              </w:rPr>
            </w:pPr>
            <w:r>
              <w:rPr>
                <w:rFonts w:ascii="Arial" w:cs="Arial" w:eastAsia="Arial" w:hAnsi="Arial"/>
                <w:sz w:val="20"/>
                <w:szCs w:val="20"/>
                <w:b w:val="1"/>
                <w:bCs w:val="1"/>
                <w:color w:val="A6A6A6"/>
              </w:rPr>
              <w:t>Summary of Financial Performance and Outlook</w:t>
            </w:r>
          </w:p>
        </w:tc>
        <w:tc>
          <w:tcPr>
            <w:tcW w:w="2300" w:type="dxa"/>
            <w:vAlign w:val="bottom"/>
          </w:tcPr>
          <w:p>
            <w:pPr>
              <w:jc w:val="right"/>
              <w:spacing w:after="0"/>
              <w:rPr>
                <w:sz w:val="20"/>
                <w:szCs w:val="20"/>
                <w:color w:val="auto"/>
              </w:rPr>
            </w:pPr>
            <w:r>
              <w:rPr>
                <w:rFonts w:ascii="Arial" w:cs="Arial" w:eastAsia="Arial" w:hAnsi="Arial"/>
                <w:sz w:val="20"/>
                <w:szCs w:val="20"/>
                <w:color w:val="auto"/>
              </w:rPr>
              <w:t>07</w:t>
            </w:r>
          </w:p>
        </w:tc>
      </w:tr>
      <w:tr>
        <w:trPr>
          <w:trHeight w:val="439"/>
        </w:trPr>
        <w:tc>
          <w:tcPr>
            <w:tcW w:w="8960" w:type="dxa"/>
            <w:vAlign w:val="bottom"/>
            <w:gridSpan w:val="2"/>
          </w:tcPr>
          <w:p>
            <w:pPr>
              <w:ind w:left="800"/>
              <w:spacing w:after="0"/>
              <w:rPr>
                <w:sz w:val="20"/>
                <w:szCs w:val="20"/>
                <w:color w:val="auto"/>
              </w:rPr>
            </w:pPr>
            <w:r>
              <w:rPr>
                <w:rFonts w:ascii="Arial" w:cs="Arial" w:eastAsia="Arial" w:hAnsi="Arial"/>
                <w:sz w:val="20"/>
                <w:szCs w:val="20"/>
                <w:b w:val="1"/>
                <w:bCs w:val="1"/>
                <w:color w:val="A6A6A6"/>
              </w:rPr>
              <w:t>Financial Overview</w:t>
            </w:r>
          </w:p>
        </w:tc>
        <w:tc>
          <w:tcPr>
            <w:tcW w:w="2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39"/>
        </w:trPr>
        <w:tc>
          <w:tcPr>
            <w:tcW w:w="8960" w:type="dxa"/>
            <w:vAlign w:val="bottom"/>
            <w:gridSpan w:val="2"/>
          </w:tcPr>
          <w:p>
            <w:pPr>
              <w:ind w:left="800"/>
              <w:spacing w:after="0"/>
              <w:rPr>
                <w:sz w:val="20"/>
                <w:szCs w:val="20"/>
                <w:color w:val="auto"/>
              </w:rPr>
            </w:pPr>
            <w:r>
              <w:rPr>
                <w:rFonts w:ascii="Arial" w:cs="Arial" w:eastAsia="Arial" w:hAnsi="Arial"/>
                <w:sz w:val="20"/>
                <w:szCs w:val="20"/>
                <w:b w:val="1"/>
                <w:bCs w:val="1"/>
                <w:color w:val="A6A6A6"/>
              </w:rPr>
              <w:t>Credicorp’s Strategy Update</w:t>
            </w:r>
          </w:p>
        </w:tc>
        <w:tc>
          <w:tcPr>
            <w:tcW w:w="2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439"/>
        </w:trPr>
        <w:tc>
          <w:tcPr>
            <w:tcW w:w="8960" w:type="dxa"/>
            <w:vAlign w:val="bottom"/>
            <w:gridSpan w:val="2"/>
          </w:tcPr>
          <w:p>
            <w:pPr>
              <w:ind w:left="800"/>
              <w:spacing w:after="0"/>
              <w:rPr>
                <w:sz w:val="20"/>
                <w:szCs w:val="20"/>
                <w:color w:val="auto"/>
              </w:rPr>
            </w:pPr>
            <w:r>
              <w:rPr>
                <w:rFonts w:ascii="Arial" w:cs="Arial" w:eastAsia="Arial" w:hAnsi="Arial"/>
                <w:sz w:val="20"/>
                <w:szCs w:val="20"/>
                <w:b w:val="1"/>
                <w:bCs w:val="1"/>
                <w:color w:val="A6A6A6"/>
              </w:rPr>
              <w:t>Analysis of 4Q23 Consolidated Results</w:t>
            </w:r>
          </w:p>
        </w:tc>
        <w:tc>
          <w:tcPr>
            <w:tcW w:w="2300" w:type="dxa"/>
            <w:vAlign w:val="bottom"/>
          </w:tcPr>
          <w:p>
            <w:pPr>
              <w:spacing w:after="0"/>
              <w:rPr>
                <w:sz w:val="24"/>
                <w:szCs w:val="24"/>
                <w:color w:val="auto"/>
              </w:rPr>
            </w:pPr>
          </w:p>
        </w:tc>
      </w:tr>
      <w:tr>
        <w:trPr>
          <w:trHeight w:val="659"/>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01</w:t>
            </w:r>
          </w:p>
        </w:tc>
        <w:tc>
          <w:tcPr>
            <w:tcW w:w="7560" w:type="dxa"/>
            <w:vAlign w:val="bottom"/>
          </w:tcPr>
          <w:p>
            <w:pPr>
              <w:ind w:left="180"/>
              <w:spacing w:after="0"/>
              <w:rPr>
                <w:sz w:val="20"/>
                <w:szCs w:val="20"/>
                <w:color w:val="auto"/>
              </w:rPr>
            </w:pPr>
            <w:r>
              <w:rPr>
                <w:rFonts w:ascii="Arial" w:cs="Arial" w:eastAsia="Arial" w:hAnsi="Arial"/>
                <w:sz w:val="20"/>
                <w:szCs w:val="20"/>
                <w:color w:val="E93BAC"/>
              </w:rPr>
              <w:t>Loans and Portfolio Quality</w:t>
            </w:r>
          </w:p>
        </w:tc>
        <w:tc>
          <w:tcPr>
            <w:tcW w:w="23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02</w:t>
            </w:r>
          </w:p>
        </w:tc>
        <w:tc>
          <w:tcPr>
            <w:tcW w:w="7560" w:type="dxa"/>
            <w:vAlign w:val="bottom"/>
          </w:tcPr>
          <w:p>
            <w:pPr>
              <w:ind w:left="180"/>
              <w:spacing w:after="0"/>
              <w:rPr>
                <w:sz w:val="20"/>
                <w:szCs w:val="20"/>
                <w:color w:val="auto"/>
              </w:rPr>
            </w:pPr>
            <w:r>
              <w:rPr>
                <w:rFonts w:ascii="Arial" w:cs="Arial" w:eastAsia="Arial" w:hAnsi="Arial"/>
                <w:sz w:val="20"/>
                <w:szCs w:val="20"/>
                <w:color w:val="E93BAC"/>
              </w:rPr>
              <w:t>Deposits</w:t>
            </w:r>
          </w:p>
        </w:tc>
        <w:tc>
          <w:tcPr>
            <w:tcW w:w="23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03</w:t>
            </w:r>
          </w:p>
        </w:tc>
        <w:tc>
          <w:tcPr>
            <w:tcW w:w="7560" w:type="dxa"/>
            <w:vAlign w:val="bottom"/>
          </w:tcPr>
          <w:p>
            <w:pPr>
              <w:ind w:left="180"/>
              <w:spacing w:after="0"/>
              <w:rPr>
                <w:sz w:val="20"/>
                <w:szCs w:val="20"/>
                <w:color w:val="auto"/>
              </w:rPr>
            </w:pPr>
            <w:r>
              <w:rPr>
                <w:rFonts w:ascii="Arial" w:cs="Arial" w:eastAsia="Arial" w:hAnsi="Arial"/>
                <w:sz w:val="20"/>
                <w:szCs w:val="20"/>
                <w:color w:val="E93BAC"/>
              </w:rPr>
              <w:t>Interest Earning Assets and Funding</w:t>
            </w:r>
          </w:p>
        </w:tc>
        <w:tc>
          <w:tcPr>
            <w:tcW w:w="23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04</w:t>
            </w:r>
          </w:p>
        </w:tc>
        <w:tc>
          <w:tcPr>
            <w:tcW w:w="7560" w:type="dxa"/>
            <w:vAlign w:val="bottom"/>
          </w:tcPr>
          <w:p>
            <w:pPr>
              <w:ind w:left="180"/>
              <w:spacing w:after="0"/>
              <w:rPr>
                <w:sz w:val="20"/>
                <w:szCs w:val="20"/>
                <w:color w:val="auto"/>
              </w:rPr>
            </w:pPr>
            <w:r>
              <w:rPr>
                <w:rFonts w:ascii="Arial" w:cs="Arial" w:eastAsia="Arial" w:hAnsi="Arial"/>
                <w:sz w:val="20"/>
                <w:szCs w:val="20"/>
                <w:color w:val="E93BAC"/>
              </w:rPr>
              <w:t>Net Interest Income (NII)</w:t>
            </w:r>
          </w:p>
        </w:tc>
        <w:tc>
          <w:tcPr>
            <w:tcW w:w="23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05</w:t>
            </w:r>
          </w:p>
        </w:tc>
        <w:tc>
          <w:tcPr>
            <w:tcW w:w="7560" w:type="dxa"/>
            <w:vAlign w:val="bottom"/>
          </w:tcPr>
          <w:p>
            <w:pPr>
              <w:ind w:left="180"/>
              <w:spacing w:after="0"/>
              <w:rPr>
                <w:sz w:val="20"/>
                <w:szCs w:val="20"/>
                <w:color w:val="auto"/>
              </w:rPr>
            </w:pPr>
            <w:r>
              <w:rPr>
                <w:rFonts w:ascii="Arial" w:cs="Arial" w:eastAsia="Arial" w:hAnsi="Arial"/>
                <w:sz w:val="20"/>
                <w:szCs w:val="20"/>
                <w:color w:val="E93BAC"/>
              </w:rPr>
              <w:t>Provisions</w:t>
            </w:r>
          </w:p>
        </w:tc>
        <w:tc>
          <w:tcPr>
            <w:tcW w:w="23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06</w:t>
            </w:r>
          </w:p>
        </w:tc>
        <w:tc>
          <w:tcPr>
            <w:tcW w:w="7560" w:type="dxa"/>
            <w:vAlign w:val="bottom"/>
          </w:tcPr>
          <w:p>
            <w:pPr>
              <w:ind w:left="180"/>
              <w:spacing w:after="0"/>
              <w:rPr>
                <w:sz w:val="20"/>
                <w:szCs w:val="20"/>
                <w:color w:val="auto"/>
              </w:rPr>
            </w:pPr>
            <w:r>
              <w:rPr>
                <w:rFonts w:ascii="Arial" w:cs="Arial" w:eastAsia="Arial" w:hAnsi="Arial"/>
                <w:sz w:val="20"/>
                <w:szCs w:val="20"/>
                <w:color w:val="E93BAC"/>
              </w:rPr>
              <w:t>Other Income</w:t>
            </w:r>
          </w:p>
        </w:tc>
        <w:tc>
          <w:tcPr>
            <w:tcW w:w="23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07</w:t>
            </w:r>
          </w:p>
        </w:tc>
        <w:tc>
          <w:tcPr>
            <w:tcW w:w="7560" w:type="dxa"/>
            <w:vAlign w:val="bottom"/>
          </w:tcPr>
          <w:p>
            <w:pPr>
              <w:ind w:left="180"/>
              <w:spacing w:after="0"/>
              <w:rPr>
                <w:sz w:val="20"/>
                <w:szCs w:val="20"/>
                <w:color w:val="auto"/>
              </w:rPr>
            </w:pPr>
            <w:r>
              <w:rPr>
                <w:rFonts w:ascii="Arial" w:cs="Arial" w:eastAsia="Arial" w:hAnsi="Arial"/>
                <w:sz w:val="20"/>
                <w:szCs w:val="20"/>
                <w:color w:val="E93BAC"/>
              </w:rPr>
              <w:t>Insurance Underwriting Results</w:t>
            </w:r>
          </w:p>
        </w:tc>
        <w:tc>
          <w:tcPr>
            <w:tcW w:w="23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08</w:t>
            </w:r>
          </w:p>
        </w:tc>
        <w:tc>
          <w:tcPr>
            <w:tcW w:w="7560" w:type="dxa"/>
            <w:vAlign w:val="bottom"/>
          </w:tcPr>
          <w:p>
            <w:pPr>
              <w:ind w:left="180"/>
              <w:spacing w:after="0"/>
              <w:rPr>
                <w:sz w:val="20"/>
                <w:szCs w:val="20"/>
                <w:color w:val="auto"/>
              </w:rPr>
            </w:pPr>
            <w:r>
              <w:rPr>
                <w:rFonts w:ascii="Arial" w:cs="Arial" w:eastAsia="Arial" w:hAnsi="Arial"/>
                <w:sz w:val="20"/>
                <w:szCs w:val="20"/>
                <w:color w:val="E93BAC"/>
              </w:rPr>
              <w:t>Operating Expenses</w:t>
            </w:r>
          </w:p>
        </w:tc>
        <w:tc>
          <w:tcPr>
            <w:tcW w:w="23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09</w:t>
            </w:r>
          </w:p>
        </w:tc>
        <w:tc>
          <w:tcPr>
            <w:tcW w:w="7560" w:type="dxa"/>
            <w:vAlign w:val="bottom"/>
          </w:tcPr>
          <w:p>
            <w:pPr>
              <w:ind w:left="180"/>
              <w:spacing w:after="0"/>
              <w:rPr>
                <w:sz w:val="20"/>
                <w:szCs w:val="20"/>
                <w:color w:val="auto"/>
              </w:rPr>
            </w:pPr>
            <w:r>
              <w:rPr>
                <w:rFonts w:ascii="Arial" w:cs="Arial" w:eastAsia="Arial" w:hAnsi="Arial"/>
                <w:sz w:val="20"/>
                <w:szCs w:val="20"/>
                <w:color w:val="E93BAC"/>
              </w:rPr>
              <w:t>Operating Efficiency</w:t>
            </w:r>
          </w:p>
        </w:tc>
        <w:tc>
          <w:tcPr>
            <w:tcW w:w="23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10</w:t>
            </w:r>
          </w:p>
        </w:tc>
        <w:tc>
          <w:tcPr>
            <w:tcW w:w="7560" w:type="dxa"/>
            <w:vAlign w:val="bottom"/>
          </w:tcPr>
          <w:p>
            <w:pPr>
              <w:ind w:left="180"/>
              <w:spacing w:after="0"/>
              <w:rPr>
                <w:sz w:val="20"/>
                <w:szCs w:val="20"/>
                <w:color w:val="auto"/>
              </w:rPr>
            </w:pPr>
            <w:r>
              <w:rPr>
                <w:rFonts w:ascii="Arial" w:cs="Arial" w:eastAsia="Arial" w:hAnsi="Arial"/>
                <w:sz w:val="20"/>
                <w:szCs w:val="20"/>
                <w:color w:val="E93BAC"/>
              </w:rPr>
              <w:t>Regulatory Capital</w:t>
            </w:r>
          </w:p>
        </w:tc>
        <w:tc>
          <w:tcPr>
            <w:tcW w:w="23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11</w:t>
            </w:r>
          </w:p>
        </w:tc>
        <w:tc>
          <w:tcPr>
            <w:tcW w:w="7560" w:type="dxa"/>
            <w:vAlign w:val="bottom"/>
          </w:tcPr>
          <w:p>
            <w:pPr>
              <w:ind w:left="180"/>
              <w:spacing w:after="0"/>
              <w:rPr>
                <w:sz w:val="20"/>
                <w:szCs w:val="20"/>
                <w:color w:val="auto"/>
              </w:rPr>
            </w:pPr>
            <w:r>
              <w:rPr>
                <w:rFonts w:ascii="Arial" w:cs="Arial" w:eastAsia="Arial" w:hAnsi="Arial"/>
                <w:sz w:val="20"/>
                <w:szCs w:val="20"/>
                <w:color w:val="E93BAC"/>
              </w:rPr>
              <w:t>Economic Outlook</w:t>
            </w:r>
          </w:p>
        </w:tc>
        <w:tc>
          <w:tcPr>
            <w:tcW w:w="23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671"/>
        </w:trPr>
        <w:tc>
          <w:tcPr>
            <w:tcW w:w="1400" w:type="dxa"/>
            <w:vAlign w:val="bottom"/>
          </w:tcPr>
          <w:p>
            <w:pPr>
              <w:ind w:left="800"/>
              <w:spacing w:after="0"/>
              <w:rPr>
                <w:sz w:val="20"/>
                <w:szCs w:val="20"/>
                <w:color w:val="auto"/>
              </w:rPr>
            </w:pPr>
            <w:r>
              <w:rPr>
                <w:rFonts w:ascii="Arial" w:cs="Arial" w:eastAsia="Arial" w:hAnsi="Arial"/>
                <w:sz w:val="39"/>
                <w:szCs w:val="39"/>
                <w:b w:val="1"/>
                <w:bCs w:val="1"/>
                <w:color w:val="E93BAC"/>
              </w:rPr>
              <w:t>12</w:t>
            </w:r>
          </w:p>
        </w:tc>
        <w:tc>
          <w:tcPr>
            <w:tcW w:w="7560" w:type="dxa"/>
            <w:vAlign w:val="bottom"/>
          </w:tcPr>
          <w:p>
            <w:pPr>
              <w:ind w:left="180"/>
              <w:spacing w:after="0"/>
              <w:rPr>
                <w:sz w:val="20"/>
                <w:szCs w:val="20"/>
                <w:color w:val="auto"/>
              </w:rPr>
            </w:pPr>
            <w:r>
              <w:rPr>
                <w:rFonts w:ascii="Arial" w:cs="Arial" w:eastAsia="Arial" w:hAnsi="Arial"/>
                <w:sz w:val="20"/>
                <w:szCs w:val="20"/>
                <w:color w:val="E93BAC"/>
              </w:rPr>
              <w:t>Appendix</w:t>
            </w:r>
          </w:p>
        </w:tc>
        <w:tc>
          <w:tcPr>
            <w:tcW w:w="23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349"/>
        </w:trPr>
        <w:tc>
          <w:tcPr>
            <w:tcW w:w="1400" w:type="dxa"/>
            <w:vAlign w:val="bottom"/>
          </w:tcPr>
          <w:p>
            <w:pPr>
              <w:spacing w:after="0"/>
              <w:rPr>
                <w:sz w:val="24"/>
                <w:szCs w:val="24"/>
                <w:color w:val="auto"/>
              </w:rPr>
            </w:pPr>
          </w:p>
        </w:tc>
        <w:tc>
          <w:tcPr>
            <w:tcW w:w="7560" w:type="dxa"/>
            <w:vAlign w:val="bottom"/>
          </w:tcPr>
          <w:p>
            <w:pPr>
              <w:ind w:left="2960"/>
              <w:spacing w:after="0"/>
              <w:rPr>
                <w:sz w:val="20"/>
                <w:szCs w:val="20"/>
                <w:color w:val="auto"/>
              </w:rPr>
            </w:pPr>
            <w:r>
              <w:rPr>
                <w:rFonts w:ascii="Arial" w:cs="Arial" w:eastAsia="Arial" w:hAnsi="Arial"/>
                <w:sz w:val="13"/>
                <w:szCs w:val="13"/>
                <w:color w:val="0000FF"/>
              </w:rPr>
              <w:t>Datos elaborados por BCP para uso Interno</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43"/>
        </w:trPr>
        <w:tc>
          <w:tcPr>
            <w:tcW w:w="1400" w:type="dxa"/>
            <w:vAlign w:val="bottom"/>
            <w:tcBorders>
              <w:bottom w:val="single" w:sz="8" w:color="auto"/>
            </w:tcBorders>
          </w:tcPr>
          <w:p>
            <w:pPr>
              <w:spacing w:after="0"/>
              <w:rPr>
                <w:sz w:val="12"/>
                <w:szCs w:val="12"/>
                <w:color w:val="auto"/>
              </w:rPr>
            </w:pPr>
          </w:p>
        </w:tc>
        <w:tc>
          <w:tcPr>
            <w:tcW w:w="75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-7253605</wp:posOffset>
            </wp:positionV>
            <wp:extent cx="116205" cy="123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205" cy="1238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-6974840</wp:posOffset>
            </wp:positionV>
            <wp:extent cx="116205" cy="123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205" cy="1238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-6696075</wp:posOffset>
            </wp:positionV>
            <wp:extent cx="116205" cy="123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205" cy="1238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-6417310</wp:posOffset>
            </wp:positionV>
            <wp:extent cx="116205" cy="123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205" cy="1238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-6138545</wp:posOffset>
            </wp:positionV>
            <wp:extent cx="116205" cy="123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205" cy="1238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-5859780</wp:posOffset>
            </wp:positionV>
            <wp:extent cx="116205" cy="123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205" cy="1238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-5581015</wp:posOffset>
            </wp:positionV>
            <wp:extent cx="116205" cy="123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205" cy="12382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5" w:name="page6"/>
    <w:bookmarkEnd w:id="5"/>
    <w:p>
      <w:pPr>
        <w:ind w:left="2722"/>
        <w:spacing w:after="0"/>
        <w:tabs>
          <w:tab w:leader="none" w:pos="292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FFFFFF"/>
        </w:rPr>
        <w:t>Operating and Financial Highlights</w:t>
      </w:r>
    </w:p>
    <w:p>
      <w:pPr>
        <w:spacing w:after="0" w:line="264" w:lineRule="exact"/>
        <w:rPr>
          <w:sz w:val="20"/>
          <w:szCs w:val="20"/>
          <w:color w:val="auto"/>
        </w:rPr>
      </w:pPr>
    </w:p>
    <w:p>
      <w:pPr>
        <w:jc w:val="center"/>
        <w:ind w:right="58"/>
        <w:spacing w:after="0"/>
        <w:rPr>
          <w:sz w:val="20"/>
          <w:szCs w:val="20"/>
          <w:color w:val="auto"/>
        </w:rPr>
      </w:pPr>
      <w:r>
        <w:rPr>
          <w:rFonts w:ascii="Arial" w:cs="Arial" w:eastAsia="Arial" w:hAnsi="Arial"/>
          <w:sz w:val="20"/>
          <w:szCs w:val="20"/>
          <w:b w:val="1"/>
          <w:bCs w:val="1"/>
          <w:color w:val="auto"/>
        </w:rPr>
        <w:t>Credicorp Ltd. Reports Financial and Operating Results for 4Q23 and FY23</w:t>
      </w:r>
    </w:p>
    <w:p>
      <w:pPr>
        <w:spacing w:after="0" w:line="181" w:lineRule="exact"/>
        <w:rPr>
          <w:sz w:val="20"/>
          <w:szCs w:val="20"/>
          <w:color w:val="auto"/>
        </w:rPr>
      </w:pPr>
    </w:p>
    <w:p>
      <w:pPr>
        <w:jc w:val="center"/>
        <w:ind w:right="58"/>
        <w:spacing w:after="0" w:line="279" w:lineRule="auto"/>
        <w:rPr>
          <w:sz w:val="20"/>
          <w:szCs w:val="20"/>
          <w:color w:val="auto"/>
        </w:rPr>
      </w:pPr>
      <w:r>
        <w:rPr>
          <w:rFonts w:ascii="Arial" w:cs="Arial" w:eastAsia="Arial" w:hAnsi="Arial"/>
          <w:sz w:val="16"/>
          <w:szCs w:val="16"/>
          <w:color w:val="auto"/>
        </w:rPr>
        <w:t>Resilient profitability in challenging context supported by Universal Banking and Insurance. Despite the provision related to El Niño Phenomenon (FEN) in 4Q23, ROE stood at 10.6% in the quarter and 15.8% in the year.</w:t>
      </w:r>
    </w:p>
    <w:p>
      <w:pPr>
        <w:spacing w:after="0" w:line="121" w:lineRule="exact"/>
        <w:rPr>
          <w:sz w:val="20"/>
          <w:szCs w:val="20"/>
          <w:color w:val="auto"/>
        </w:rPr>
      </w:pPr>
    </w:p>
    <w:p>
      <w:pPr>
        <w:jc w:val="center"/>
        <w:ind w:right="58"/>
        <w:spacing w:after="0"/>
        <w:rPr>
          <w:sz w:val="20"/>
          <w:szCs w:val="20"/>
          <w:color w:val="auto"/>
        </w:rPr>
      </w:pPr>
      <w:r>
        <w:rPr>
          <w:rFonts w:ascii="Arial" w:cs="Arial" w:eastAsia="Arial" w:hAnsi="Arial"/>
          <w:sz w:val="16"/>
          <w:szCs w:val="16"/>
          <w:color w:val="auto"/>
        </w:rPr>
        <w:t>NIM increased 10 bps QoQ to 6.21% while risk-adjusted NIM declined 35 bps to 4.10%,</w:t>
      </w:r>
    </w:p>
    <w:p>
      <w:pPr>
        <w:spacing w:after="0" w:line="1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reflecting 45 bps impact from FEN provision.</w:t>
      </w:r>
    </w:p>
    <w:p>
      <w:pPr>
        <w:spacing w:after="0" w:line="16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Prudent provisioning amid controlled delinquency with</w:t>
      </w:r>
    </w:p>
    <w:p>
      <w:pPr>
        <w:spacing w:after="0" w:line="1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Cost of Risk of 3.2%, impacted by 70 bps due to the FEN Provision. Structural NPL coverage stood at 102.4%</w:t>
      </w:r>
    </w:p>
    <w:p>
      <w:pPr>
        <w:spacing w:after="0" w:line="161" w:lineRule="exact"/>
        <w:rPr>
          <w:sz w:val="20"/>
          <w:szCs w:val="20"/>
          <w:color w:val="auto"/>
        </w:rPr>
      </w:pPr>
    </w:p>
    <w:p>
      <w:pPr>
        <w:jc w:val="both"/>
        <w:ind w:left="2"/>
        <w:spacing w:after="0" w:line="234" w:lineRule="auto"/>
        <w:rPr>
          <w:sz w:val="20"/>
          <w:szCs w:val="20"/>
          <w:color w:val="auto"/>
        </w:rPr>
      </w:pPr>
      <w:r>
        <w:rPr>
          <w:rFonts w:ascii="Arial" w:cs="Arial" w:eastAsia="Arial" w:hAnsi="Arial"/>
          <w:sz w:val="18"/>
          <w:szCs w:val="18"/>
          <w:b w:val="1"/>
          <w:bCs w:val="1"/>
          <w:color w:val="auto"/>
        </w:rPr>
        <w:t xml:space="preserve">Lima, Peru – February 08, 2024 – Credicorp Ltd. (“Credicorp” or “the Company”) (NYSE: BAP | BVL: BAP), </w:t>
      </w:r>
      <w:r>
        <w:rPr>
          <w:rFonts w:ascii="Arial" w:cs="Arial" w:eastAsia="Arial" w:hAnsi="Arial"/>
          <w:sz w:val="18"/>
          <w:szCs w:val="18"/>
          <w:color w:val="auto"/>
        </w:rPr>
        <w:t>the leading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holding company in Peru with a presence in Chile, Colombia, Bolivia, and Panama today reported its unaudited results for the quarter ended December 31, 2023. Financial results are expressed in Soles and are presented in accordance with International Financial Reporting Standards (IFRS). Effective 1Q23, the Company reports under IFRS 17 accounting standards for insurance contracts. While the impact on consolidated net income is not material, the reclassification of line items in the P&amp;L has impacted the efficiency ratio. To facilitate comparability, figures for 4Q22 and FY22 have been restated to reflect IFRS 17.</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4Q23 OPERATING AND FINANCIAL HIGHLIGHTS</w:t>
      </w:r>
    </w:p>
    <w:p>
      <w:pPr>
        <w:spacing w:after="0" w:line="183" w:lineRule="exact"/>
        <w:rPr>
          <w:sz w:val="20"/>
          <w:szCs w:val="20"/>
          <w:color w:val="auto"/>
        </w:rPr>
      </w:pPr>
    </w:p>
    <w:p>
      <w:pPr>
        <w:jc w:val="both"/>
        <w:ind w:left="302" w:right="20" w:hanging="302"/>
        <w:spacing w:after="0" w:line="237" w:lineRule="auto"/>
        <w:tabs>
          <w:tab w:leader="none" w:pos="30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attributable to Credicorp declined 16.7% YoY to S/841.8 million while shareholders’ equity rose 11.9%. On-going challenges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macro front led to higher provisions at Mibanco and BCP, which, together with an impairment charge in Mibanco Colombia impacted the bottom line. ROE dropped to 10.6% in 4Q23 from 16.2% in 3Q23 and 14.4% in 4Q22. FY23 ROE stood at 15.8%, 98 bps lower compared to 16.8% in FY22.</w:t>
      </w:r>
    </w:p>
    <w:p>
      <w:pPr>
        <w:spacing w:after="0" w:line="157" w:lineRule="exact"/>
        <w:rPr>
          <w:rFonts w:ascii="Arial" w:cs="Arial" w:eastAsia="Arial" w:hAnsi="Arial"/>
          <w:sz w:val="18"/>
          <w:szCs w:val="18"/>
          <w:color w:val="auto"/>
        </w:rPr>
      </w:pPr>
    </w:p>
    <w:p>
      <w:pPr>
        <w:jc w:val="both"/>
        <w:ind w:left="302" w:right="20" w:hanging="302"/>
        <w:spacing w:after="0" w:line="242" w:lineRule="auto"/>
        <w:tabs>
          <w:tab w:leader="none" w:pos="30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Structural Loans </w:t>
      </w:r>
      <w:r>
        <w:rPr>
          <w:rFonts w:ascii="Arial" w:cs="Arial" w:eastAsia="Arial" w:hAnsi="Arial"/>
          <w:sz w:val="18"/>
          <w:szCs w:val="18"/>
          <w:color w:val="auto"/>
        </w:rPr>
        <w:t>measured in average daily balances (ADB) increased 0.4% QoQ and 0.3% YoY. Loan growth in Retail Banking at BCP</w:t>
      </w:r>
      <w:r>
        <w:rPr>
          <w:rFonts w:ascii="Arial" w:cs="Arial" w:eastAsia="Arial" w:hAnsi="Arial"/>
          <w:sz w:val="18"/>
          <w:szCs w:val="18"/>
          <w:b w:val="1"/>
          <w:bCs w:val="1"/>
          <w:color w:val="auto"/>
        </w:rPr>
        <w:t xml:space="preserve"> </w:t>
      </w:r>
      <w:r>
        <w:rPr>
          <w:rFonts w:ascii="Arial" w:cs="Arial" w:eastAsia="Arial" w:hAnsi="Arial"/>
          <w:sz w:val="18"/>
          <w:szCs w:val="18"/>
          <w:color w:val="auto"/>
        </w:rPr>
        <w:t>was largely offset by drop in loans in Wholesale Banking, which was impacted by a decline in private investment, and by a decrease in Mibanco’s risk appetite due to a challenging context.</w:t>
      </w:r>
    </w:p>
    <w:p>
      <w:pPr>
        <w:spacing w:after="0" w:line="154" w:lineRule="exact"/>
        <w:rPr>
          <w:rFonts w:ascii="Arial" w:cs="Arial" w:eastAsia="Arial" w:hAnsi="Arial"/>
          <w:sz w:val="18"/>
          <w:szCs w:val="18"/>
          <w:color w:val="auto"/>
        </w:rPr>
      </w:pPr>
    </w:p>
    <w:p>
      <w:pPr>
        <w:jc w:val="both"/>
        <w:ind w:left="302" w:right="20" w:hanging="302"/>
        <w:spacing w:after="0" w:line="242" w:lineRule="auto"/>
        <w:tabs>
          <w:tab w:leader="none" w:pos="30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declined 0.5% QoQ at year-end, as the contraction of Time Deposits more than offset the expansion of Low-Cost</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YoY, Deposits increased 0.5%, driven mainly by fund migration from Savings Deposits to Time Deposits as clients sought higher rates. Low-cost Deposits accounted for 68.1% of total deposits at quarter end, leading the market with a 41.6% share.</w:t>
      </w:r>
    </w:p>
    <w:p>
      <w:pPr>
        <w:spacing w:after="0" w:line="154" w:lineRule="exact"/>
        <w:rPr>
          <w:rFonts w:ascii="Arial" w:cs="Arial" w:eastAsia="Arial" w:hAnsi="Arial"/>
          <w:sz w:val="18"/>
          <w:szCs w:val="18"/>
          <w:color w:val="auto"/>
        </w:rPr>
      </w:pPr>
    </w:p>
    <w:p>
      <w:pPr>
        <w:jc w:val="both"/>
        <w:ind w:left="302" w:right="20" w:hanging="302"/>
        <w:spacing w:after="0" w:line="237" w:lineRule="auto"/>
        <w:tabs>
          <w:tab w:leader="none" w:pos="30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The Structural NPL ratio </w:t>
      </w:r>
      <w:r>
        <w:rPr>
          <w:rFonts w:ascii="Arial" w:cs="Arial" w:eastAsia="Arial" w:hAnsi="Arial"/>
          <w:sz w:val="18"/>
          <w:szCs w:val="18"/>
          <w:color w:val="auto"/>
        </w:rPr>
        <w:t>increased 7 bps QoQ to 5.6%, as adverse events and weak macro context continued to impact client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albeit to a lesser extent than in past quarters. At BCP, key drivers were (i) SME- Pyme, although new vintages present better performance, (ii) Consumer and Credit Cards, mainly in loans more than 120 days past due. At Mibanco, delinquency increased among clients with higher-ticket loans and those impacted by social conflicts or climatic conditions.</w:t>
      </w:r>
    </w:p>
    <w:p>
      <w:pPr>
        <w:spacing w:after="0" w:line="157" w:lineRule="exact"/>
        <w:rPr>
          <w:rFonts w:ascii="Arial" w:cs="Arial" w:eastAsia="Arial" w:hAnsi="Arial"/>
          <w:sz w:val="18"/>
          <w:szCs w:val="18"/>
          <w:color w:val="auto"/>
        </w:rPr>
      </w:pPr>
    </w:p>
    <w:p>
      <w:pPr>
        <w:jc w:val="both"/>
        <w:ind w:left="302" w:right="20" w:hanging="302"/>
        <w:spacing w:after="0" w:line="235" w:lineRule="auto"/>
        <w:tabs>
          <w:tab w:leader="none" w:pos="30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Structural Provisions </w:t>
      </w:r>
      <w:r>
        <w:rPr>
          <w:rFonts w:ascii="Arial" w:cs="Arial" w:eastAsia="Arial" w:hAnsi="Arial"/>
          <w:sz w:val="18"/>
          <w:szCs w:val="18"/>
          <w:color w:val="auto"/>
        </w:rPr>
        <w:t>increased 31.1% QoQ, which reflects the impact of provisions set aside for El Niño for approximately S/250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If we exclude this impact, Structural Provisions rose 2.8% QoQ driven by a base effect in Wholesale Banking while SME-Pyme remains impacted by a recessive environment. The aforementioned dynamics were partially offset by reversals in Mortgages provisions and by a portfolio contraction at Mibanco. The Cost of Risk increased 71 bps sequentially to 3.2% while the Structural Cost of Risk increased 78 bps sequentially to 3.3%. The Structural NPL Coverage ratio, in turn, stood at 102.4%.</w:t>
      </w:r>
    </w:p>
    <w:p>
      <w:pPr>
        <w:spacing w:after="0" w:line="157" w:lineRule="exact"/>
        <w:rPr>
          <w:rFonts w:ascii="Arial" w:cs="Arial" w:eastAsia="Arial" w:hAnsi="Arial"/>
          <w:sz w:val="18"/>
          <w:szCs w:val="18"/>
          <w:color w:val="auto"/>
        </w:rPr>
      </w:pPr>
    </w:p>
    <w:p>
      <w:pPr>
        <w:jc w:val="both"/>
        <w:ind w:left="302" w:right="20" w:hanging="302"/>
        <w:spacing w:after="0" w:line="237" w:lineRule="auto"/>
        <w:tabs>
          <w:tab w:leader="none" w:pos="30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Core Income </w:t>
      </w:r>
      <w:r>
        <w:rPr>
          <w:rFonts w:ascii="Arial" w:cs="Arial" w:eastAsia="Arial" w:hAnsi="Arial"/>
          <w:sz w:val="18"/>
          <w:szCs w:val="18"/>
          <w:color w:val="auto"/>
        </w:rPr>
        <w:t>increased 2.6% QoQ, mainly driven by a 2.9% increase in Net Interest Income (NII), proof of the resilience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in a context marked by lower interest rates. Excluding BCP Bolivia, Fee Income and FX transactions were up 2.1% QoQ, reflecting an uptick in FX volumes as BCP leveraged growth in year-end volumes and higher fee income from Credicorp Capital. For FY23, Core Income rose 11.4%, supported by 16.6% growth in NII.</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902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43"/>
        </w:trPr>
        <w:tc>
          <w:tcPr>
            <w:tcW w:w="90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313" w:right="319" w:bottom="1440" w:gutter="0" w:footer="0" w:header="0"/>
        </w:sectPr>
      </w:pPr>
    </w:p>
    <w:bookmarkStart w:id="6" w:name="page7"/>
    <w:bookmarkEnd w:id="6"/>
    <w:p>
      <w:pPr>
        <w:ind w:left="2722"/>
        <w:spacing w:after="0"/>
        <w:tabs>
          <w:tab w:leader="none" w:pos="292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FFFFFF"/>
        </w:rPr>
        <w:t>Operating and Financial Highlights</w:t>
      </w:r>
    </w:p>
    <w:p>
      <w:pPr>
        <w:spacing w:after="0" w:line="268" w:lineRule="exact"/>
        <w:rPr>
          <w:sz w:val="20"/>
          <w:szCs w:val="20"/>
          <w:color w:val="auto"/>
        </w:rPr>
      </w:pPr>
    </w:p>
    <w:p>
      <w:pPr>
        <w:ind w:left="302" w:right="160" w:hanging="302"/>
        <w:spacing w:after="0" w:line="242" w:lineRule="auto"/>
        <w:tabs>
          <w:tab w:leader="none" w:pos="30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Interest Margin (NIM) </w:t>
      </w:r>
      <w:r>
        <w:rPr>
          <w:rFonts w:ascii="Arial" w:cs="Arial" w:eastAsia="Arial" w:hAnsi="Arial"/>
          <w:sz w:val="18"/>
          <w:szCs w:val="18"/>
          <w:color w:val="auto"/>
        </w:rPr>
        <w:t>increased 10 bps QoQ to 6.21% due to a stable yield on IEA and a decrease in the funding cost. YoY, NIM</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46 bps after growth in the yield on IEAs surpassed the expansion registered for the funding cost. Risk-adjusted NIM fell 35 bps QoQ to 4.10%, impacted by provisions set aside for El Niño, which accounted for 45 bps of drop reported this quarter.</w:t>
      </w:r>
    </w:p>
    <w:p>
      <w:pPr>
        <w:spacing w:after="0" w:line="141" w:lineRule="exact"/>
        <w:rPr>
          <w:rFonts w:ascii="Arial" w:cs="Arial" w:eastAsia="Arial" w:hAnsi="Arial"/>
          <w:sz w:val="18"/>
          <w:szCs w:val="18"/>
          <w:color w:val="auto"/>
        </w:rPr>
      </w:pPr>
    </w:p>
    <w:p>
      <w:pPr>
        <w:ind w:left="302" w:right="280" w:hanging="302"/>
        <w:spacing w:after="0" w:line="259" w:lineRule="auto"/>
        <w:tabs>
          <w:tab w:leader="none" w:pos="30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Insurance Underwriting Results </w:t>
      </w:r>
      <w:r>
        <w:rPr>
          <w:rFonts w:ascii="Arial" w:cs="Arial" w:eastAsia="Arial" w:hAnsi="Arial"/>
          <w:sz w:val="18"/>
          <w:szCs w:val="18"/>
          <w:color w:val="auto"/>
        </w:rPr>
        <w:t>declined 13.2% QoQ, driven by a higher claims expenses in P&amp;C and Life businesses, but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110.0% YoY, driven by the Life Business.</w:t>
      </w:r>
    </w:p>
    <w:p>
      <w:pPr>
        <w:spacing w:after="0" w:line="126" w:lineRule="exact"/>
        <w:rPr>
          <w:rFonts w:ascii="Arial" w:cs="Arial" w:eastAsia="Arial" w:hAnsi="Arial"/>
          <w:sz w:val="18"/>
          <w:szCs w:val="18"/>
          <w:color w:val="auto"/>
        </w:rPr>
      </w:pPr>
    </w:p>
    <w:p>
      <w:pPr>
        <w:ind w:left="302" w:hanging="302"/>
        <w:spacing w:after="0"/>
        <w:tabs>
          <w:tab w:leader="none" w:pos="302"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 xml:space="preserve">Efficiency Ratio </w:t>
      </w:r>
      <w:r>
        <w:rPr>
          <w:rFonts w:ascii="Arial" w:cs="Arial" w:eastAsia="Arial" w:hAnsi="Arial"/>
          <w:sz w:val="18"/>
          <w:szCs w:val="18"/>
          <w:color w:val="auto"/>
        </w:rPr>
        <w:t>improved 142 bps in 2023 reaching 46.1%, on the back of positive operating leverage at BCP and Pacifico.</w:t>
      </w:r>
    </w:p>
    <w:p>
      <w:pPr>
        <w:spacing w:after="0" w:line="170" w:lineRule="exact"/>
        <w:rPr>
          <w:rFonts w:ascii="Arial" w:cs="Arial" w:eastAsia="Arial" w:hAnsi="Arial"/>
          <w:sz w:val="16"/>
          <w:szCs w:val="16"/>
          <w:color w:val="auto"/>
        </w:rPr>
      </w:pPr>
    </w:p>
    <w:p>
      <w:pPr>
        <w:ind w:left="302" w:right="200" w:hanging="302"/>
        <w:spacing w:after="0" w:line="242" w:lineRule="auto"/>
        <w:tabs>
          <w:tab w:leader="none" w:pos="302"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Yape</w:t>
      </w:r>
      <w:r>
        <w:rPr>
          <w:rFonts w:ascii="Arial" w:cs="Arial" w:eastAsia="Arial" w:hAnsi="Arial"/>
          <w:sz w:val="18"/>
          <w:szCs w:val="18"/>
          <w:color w:val="auto"/>
        </w:rPr>
        <w:t>, continues to scale, reaching 11 million monthly active users. The app continues to add user-friendly features while bolstering</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fee generation. With revenue per monthly active user (MAU) up by 34.5% QoQ, and despite a seasonal uptick in costs, Yape remains on track to reaching cashflow break-even in 2024.</w:t>
      </w:r>
    </w:p>
    <w:p>
      <w:pPr>
        <w:spacing w:after="0" w:line="141" w:lineRule="exact"/>
        <w:rPr>
          <w:rFonts w:ascii="Arial" w:cs="Arial" w:eastAsia="Arial" w:hAnsi="Arial"/>
          <w:sz w:val="16"/>
          <w:szCs w:val="16"/>
          <w:color w:val="auto"/>
        </w:rPr>
      </w:pPr>
    </w:p>
    <w:p>
      <w:pPr>
        <w:ind w:left="302" w:right="120" w:hanging="302"/>
        <w:spacing w:after="0" w:line="259" w:lineRule="auto"/>
        <w:tabs>
          <w:tab w:leader="none" w:pos="302" w:val="left"/>
        </w:tabs>
        <w:numPr>
          <w:ilvl w:val="0"/>
          <w:numId w:val="2"/>
        </w:numPr>
        <w:rPr>
          <w:rFonts w:ascii="Arial" w:cs="Arial" w:eastAsia="Arial" w:hAnsi="Arial"/>
          <w:sz w:val="16"/>
          <w:szCs w:val="16"/>
          <w:color w:val="auto"/>
        </w:rPr>
      </w:pPr>
      <w:r>
        <w:rPr>
          <w:rFonts w:ascii="Arial" w:cs="Arial" w:eastAsia="Arial" w:hAnsi="Arial"/>
          <w:sz w:val="18"/>
          <w:szCs w:val="18"/>
          <w:color w:val="auto"/>
        </w:rPr>
        <w:t xml:space="preserve">Credicorp maintains a solid capital base, with a </w:t>
      </w:r>
      <w:r>
        <w:rPr>
          <w:rFonts w:ascii="Arial" w:cs="Arial" w:eastAsia="Arial" w:hAnsi="Arial"/>
          <w:sz w:val="18"/>
          <w:szCs w:val="18"/>
          <w:b w:val="1"/>
          <w:bCs w:val="1"/>
          <w:color w:val="auto"/>
        </w:rPr>
        <w:t>IFRS CET1 Ratio</w:t>
      </w:r>
      <w:r>
        <w:rPr>
          <w:rFonts w:ascii="Arial" w:cs="Arial" w:eastAsia="Arial" w:hAnsi="Arial"/>
          <w:sz w:val="18"/>
          <w:szCs w:val="18"/>
          <w:color w:val="auto"/>
        </w:rPr>
        <w:t xml:space="preserve"> for BCP of 13.2%, up 16 bps QoQ. Mibanco </w:t>
      </w:r>
      <w:r>
        <w:rPr>
          <w:rFonts w:ascii="Arial" w:cs="Arial" w:eastAsia="Arial" w:hAnsi="Arial"/>
          <w:sz w:val="18"/>
          <w:szCs w:val="18"/>
          <w:b w:val="1"/>
          <w:bCs w:val="1"/>
          <w:color w:val="auto"/>
        </w:rPr>
        <w:t>IFRS CET1 Ratio</w:t>
      </w:r>
      <w:r>
        <w:rPr>
          <w:rFonts w:ascii="Arial" w:cs="Arial" w:eastAsia="Arial" w:hAnsi="Arial"/>
          <w:sz w:val="18"/>
          <w:szCs w:val="18"/>
          <w:color w:val="auto"/>
        </w:rPr>
        <w:t xml:space="preserve"> stood at 18.4%, up 80 bps QoQ; both these levels are above internal targets of 11% and 15%, respectively.</w:t>
      </w:r>
    </w:p>
    <w:p>
      <w:pPr>
        <w:spacing w:after="0" w:line="126" w:lineRule="exact"/>
        <w:rPr>
          <w:rFonts w:ascii="Arial" w:cs="Arial" w:eastAsia="Arial" w:hAnsi="Arial"/>
          <w:sz w:val="16"/>
          <w:szCs w:val="16"/>
          <w:color w:val="auto"/>
        </w:rPr>
      </w:pPr>
    </w:p>
    <w:p>
      <w:pPr>
        <w:ind w:left="302" w:right="300" w:hanging="302"/>
        <w:spacing w:after="0" w:line="242" w:lineRule="auto"/>
        <w:tabs>
          <w:tab w:leader="none" w:pos="302" w:val="left"/>
        </w:tabs>
        <w:numPr>
          <w:ilvl w:val="0"/>
          <w:numId w:val="2"/>
        </w:numPr>
        <w:rPr>
          <w:rFonts w:ascii="Arial" w:cs="Arial" w:eastAsia="Arial" w:hAnsi="Arial"/>
          <w:sz w:val="16"/>
          <w:szCs w:val="16"/>
          <w:color w:val="auto"/>
        </w:rPr>
      </w:pPr>
      <w:r>
        <w:rPr>
          <w:rFonts w:ascii="Arial" w:cs="Arial" w:eastAsia="Arial" w:hAnsi="Arial"/>
          <w:sz w:val="18"/>
          <w:szCs w:val="18"/>
          <w:color w:val="auto"/>
        </w:rPr>
        <w:t xml:space="preserve">At BCP stand-alone, 30-day local currency </w:t>
      </w:r>
      <w:r>
        <w:rPr>
          <w:rFonts w:ascii="Arial" w:cs="Arial" w:eastAsia="Arial" w:hAnsi="Arial"/>
          <w:sz w:val="18"/>
          <w:szCs w:val="18"/>
          <w:b w:val="1"/>
          <w:bCs w:val="1"/>
          <w:color w:val="auto"/>
        </w:rPr>
        <w:t>Liquidity Coverage Ratio (LCR)</w:t>
      </w:r>
      <w:r>
        <w:rPr>
          <w:rFonts w:ascii="Arial" w:cs="Arial" w:eastAsia="Arial" w:hAnsi="Arial"/>
          <w:sz w:val="18"/>
          <w:szCs w:val="18"/>
          <w:color w:val="auto"/>
        </w:rPr>
        <w:t xml:space="preserve"> currency stood at 170.4% under regulatory standards and 133.6% based on more stringent internal standards, while USD 30-day LCR stood at 171.3% and 108.0% under regulatory and more stringent internal standards, respectively.</w:t>
      </w:r>
    </w:p>
    <w:p>
      <w:pPr>
        <w:spacing w:after="0" w:line="141" w:lineRule="exact"/>
        <w:rPr>
          <w:rFonts w:ascii="Arial" w:cs="Arial" w:eastAsia="Arial" w:hAnsi="Arial"/>
          <w:sz w:val="16"/>
          <w:szCs w:val="16"/>
          <w:color w:val="auto"/>
        </w:rPr>
      </w:pPr>
    </w:p>
    <w:p>
      <w:pPr>
        <w:jc w:val="both"/>
        <w:ind w:left="302" w:right="200" w:hanging="302"/>
        <w:spacing w:after="0" w:line="242" w:lineRule="auto"/>
        <w:tabs>
          <w:tab w:leader="none" w:pos="302" w:val="left"/>
        </w:tabs>
        <w:numPr>
          <w:ilvl w:val="0"/>
          <w:numId w:val="2"/>
        </w:numPr>
        <w:rPr>
          <w:rFonts w:ascii="Arial" w:cs="Arial" w:eastAsia="Arial" w:hAnsi="Arial"/>
          <w:sz w:val="16"/>
          <w:szCs w:val="16"/>
          <w:color w:val="auto"/>
        </w:rPr>
      </w:pPr>
      <w:r>
        <w:rPr>
          <w:rFonts w:ascii="Arial" w:cs="Arial" w:eastAsia="Arial" w:hAnsi="Arial"/>
          <w:sz w:val="18"/>
          <w:szCs w:val="18"/>
          <w:color w:val="auto"/>
        </w:rPr>
        <w:t xml:space="preserve">In December 2023, Credicorp published its </w:t>
      </w:r>
      <w:r>
        <w:rPr>
          <w:rFonts w:ascii="Arial" w:cs="Arial" w:eastAsia="Arial" w:hAnsi="Arial"/>
          <w:sz w:val="18"/>
          <w:szCs w:val="18"/>
          <w:b w:val="1"/>
          <w:bCs w:val="1"/>
          <w:color w:val="auto"/>
        </w:rPr>
        <w:t>Inaugural Task Force on Climate-Related Financial Disclosures (TCFD) Report</w:t>
      </w:r>
      <w:r>
        <w:rPr>
          <w:rFonts w:ascii="Arial" w:cs="Arial" w:eastAsia="Arial" w:hAnsi="Arial"/>
          <w:sz w:val="18"/>
          <w:szCs w:val="18"/>
          <w:color w:val="auto"/>
        </w:rPr>
        <w:t>, building on its environmental commitment to being a local leader in supporting the transition towards an environmentally sustainable economy by building capabilities and knowledge that encourage sustainable businesses and promptly managing environmental risks.</w:t>
      </w:r>
    </w:p>
    <w:p>
      <w:pPr>
        <w:spacing w:after="0" w:line="142"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902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43"/>
        </w:trPr>
        <w:tc>
          <w:tcPr>
            <w:tcW w:w="90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313" w:right="319" w:bottom="1440" w:gutter="0" w:footer="0" w:header="0"/>
        </w:sectPr>
      </w:pPr>
    </w:p>
    <w:bookmarkStart w:id="7" w:name="page8"/>
    <w:bookmarkEnd w:id="7"/>
    <w:p>
      <w:pPr>
        <w:ind w:left="2720"/>
        <w:spacing w:after="0"/>
        <w:tabs>
          <w:tab w:leader="none" w:pos="29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Senior Management Quotes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121920</wp:posOffset>
            </wp:positionV>
            <wp:extent cx="5419090" cy="4552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19090" cy="455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2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43"/>
        </w:trPr>
        <w:tc>
          <w:tcPr>
            <w:tcW w:w="90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8" w:name="page9"/>
    <w:bookmarkEnd w:id="8"/>
    <w:p>
      <w:pPr>
        <w:ind w:left="2720"/>
        <w:spacing w:after="0"/>
        <w:tabs>
          <w:tab w:leader="none" w:pos="29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Fourth Quarter 2023 Earnings Conference Call</w:t>
      </w:r>
    </w:p>
    <w:p>
      <w:pPr>
        <w:spacing w:after="0" w:line="2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FOURTH QUARTER 2023 EARNINGS CONFERENCE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Date: </w:t>
      </w:r>
      <w:r>
        <w:rPr>
          <w:rFonts w:ascii="Arial" w:cs="Arial" w:eastAsia="Arial" w:hAnsi="Arial"/>
          <w:sz w:val="18"/>
          <w:szCs w:val="18"/>
          <w:color w:val="121212"/>
        </w:rPr>
        <w:t>Friday February 9</w:t>
      </w:r>
      <w:r>
        <w:rPr>
          <w:rFonts w:ascii="Arial" w:cs="Arial" w:eastAsia="Arial" w:hAnsi="Arial"/>
          <w:sz w:val="29"/>
          <w:szCs w:val="29"/>
          <w:color w:val="121212"/>
          <w:vertAlign w:val="superscript"/>
        </w:rPr>
        <w:t>th</w:t>
      </w:r>
      <w:r>
        <w:rPr>
          <w:rFonts w:ascii="Arial" w:cs="Arial" w:eastAsia="Arial" w:hAnsi="Arial"/>
          <w:sz w:val="18"/>
          <w:szCs w:val="18"/>
          <w:color w:val="121212"/>
        </w:rPr>
        <w:t>,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Time: </w:t>
      </w:r>
      <w:r>
        <w:rPr>
          <w:rFonts w:ascii="Arial" w:cs="Arial" w:eastAsia="Arial" w:hAnsi="Arial"/>
          <w:sz w:val="18"/>
          <w:szCs w:val="18"/>
          <w:color w:val="121212"/>
        </w:rPr>
        <w:t>9:30 am ET (9:30 am Lima, Perú)</w:t>
      </w:r>
    </w:p>
    <w:p>
      <w:pPr>
        <w:spacing w:after="0" w:line="180"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b w:val="1"/>
          <w:bCs w:val="1"/>
          <w:color w:val="121212"/>
        </w:rPr>
        <w:t xml:space="preserve">Hosts: </w:t>
      </w:r>
      <w:r>
        <w:rPr>
          <w:rFonts w:ascii="Arial" w:cs="Arial" w:eastAsia="Arial" w:hAnsi="Arial"/>
          <w:sz w:val="18"/>
          <w:szCs w:val="18"/>
          <w:color w:val="121212"/>
        </w:rPr>
        <w:t>Gianfranco Ferrari – Chief Executive Officer, Cesar Rios - Chief Financial Officer, Francesca Raffo – Chief Innovation Officer,</w:t>
      </w:r>
      <w:r>
        <w:rPr>
          <w:rFonts w:ascii="Arial" w:cs="Arial" w:eastAsia="Arial" w:hAnsi="Arial"/>
          <w:sz w:val="18"/>
          <w:szCs w:val="18"/>
          <w:b w:val="1"/>
          <w:bCs w:val="1"/>
          <w:color w:val="121212"/>
        </w:rPr>
        <w:t xml:space="preserve"> </w:t>
      </w:r>
      <w:r>
        <w:rPr>
          <w:rFonts w:ascii="Arial" w:cs="Arial" w:eastAsia="Arial" w:hAnsi="Arial"/>
          <w:sz w:val="18"/>
          <w:szCs w:val="18"/>
          <w:color w:val="121212"/>
        </w:rPr>
        <w:t>Reynaldo Llosa - Chief Risk Officer, Diego Cavero – Head of Universal Banking, Cesar Rivera - Head of Insurance and Pensions, Carlos Sotelo - Mibanco CFO and Investor Relations Team.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To pre-register for the listen-only webcast presentation use the following link:</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https://dpregister.com/DiamondPassRegistration/register?confirmationNumber=10185821&amp;linkSecurityString=fb6ad9 ac89</w:t>
      </w:r>
    </w:p>
    <w:p>
      <w:pPr>
        <w:spacing w:after="0" w:line="165"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121212"/>
        </w:rPr>
        <w:t>Those unable to pre-register may dial in by calling:</w:t>
      </w:r>
    </w:p>
    <w:p>
      <w:pPr>
        <w:spacing w:after="0" w:line="233" w:lineRule="auto"/>
        <w:rPr>
          <w:sz w:val="20"/>
          <w:szCs w:val="20"/>
          <w:color w:val="auto"/>
        </w:rPr>
      </w:pPr>
      <w:r>
        <w:rPr>
          <w:rFonts w:ascii="Arial" w:cs="Arial" w:eastAsia="Arial" w:hAnsi="Arial"/>
          <w:sz w:val="18"/>
          <w:szCs w:val="18"/>
          <w:b w:val="1"/>
          <w:bCs w:val="1"/>
          <w:color w:val="121212"/>
        </w:rPr>
        <w:t xml:space="preserve">1 844 435 0321 </w:t>
      </w:r>
      <w:r>
        <w:rPr>
          <w:rFonts w:ascii="Arial" w:cs="Arial" w:eastAsia="Arial" w:hAnsi="Arial"/>
          <w:sz w:val="18"/>
          <w:szCs w:val="18"/>
          <w:color w:val="121212"/>
        </w:rPr>
        <w:t>(U.S. toll free)</w:t>
      </w:r>
    </w:p>
    <w:p>
      <w:pPr>
        <w:spacing w:after="0" w:line="226" w:lineRule="auto"/>
        <w:rPr>
          <w:sz w:val="20"/>
          <w:szCs w:val="20"/>
          <w:color w:val="auto"/>
        </w:rPr>
      </w:pPr>
      <w:r>
        <w:rPr>
          <w:rFonts w:ascii="Arial" w:cs="Arial" w:eastAsia="Arial" w:hAnsi="Arial"/>
          <w:sz w:val="18"/>
          <w:szCs w:val="18"/>
          <w:b w:val="1"/>
          <w:bCs w:val="1"/>
          <w:color w:val="auto"/>
        </w:rPr>
        <w:t xml:space="preserve">1 412 317 5615 </w:t>
      </w:r>
      <w:r>
        <w:rPr>
          <w:rFonts w:ascii="Arial" w:cs="Arial" w:eastAsia="Arial" w:hAnsi="Arial"/>
          <w:sz w:val="18"/>
          <w:szCs w:val="18"/>
          <w:color w:val="auto"/>
        </w:rPr>
        <w:t>(International)</w:t>
      </w:r>
    </w:p>
    <w:p>
      <w:pPr>
        <w:spacing w:after="0" w:line="226" w:lineRule="auto"/>
        <w:rPr>
          <w:sz w:val="20"/>
          <w:szCs w:val="20"/>
          <w:color w:val="auto"/>
        </w:rPr>
      </w:pPr>
      <w:r>
        <w:rPr>
          <w:rFonts w:ascii="Arial" w:cs="Arial" w:eastAsia="Arial" w:hAnsi="Arial"/>
          <w:sz w:val="18"/>
          <w:szCs w:val="18"/>
          <w:b w:val="1"/>
          <w:bCs w:val="1"/>
          <w:color w:val="auto"/>
        </w:rPr>
        <w:t xml:space="preserve">Participant Web Phone: </w:t>
      </w:r>
      <w:r>
        <w:rPr>
          <w:rFonts w:ascii="Arial" w:cs="Arial" w:eastAsia="Arial" w:hAnsi="Arial"/>
          <w:sz w:val="18"/>
          <w:szCs w:val="18"/>
          <w:u w:val="single" w:color="auto"/>
          <w:color w:val="auto"/>
        </w:rPr>
        <w:t>Click Here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ID: Credicorp Conference Call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webcast will be archived for one year on our investor relations website at: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https://credicorp.gcs-web.com/events-and-presentations/upcoming-events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a full version of Credicorp´s Third Quarter 2023 Earnings Release, please visit: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https://credicorp.gcs-web.com/financial-information/quarterly-results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2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43"/>
        </w:trPr>
        <w:tc>
          <w:tcPr>
            <w:tcW w:w="90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9" w:name="page10"/>
    <w:bookmarkEnd w:id="9"/>
    <w:p>
      <w:pPr>
        <w:ind w:left="2720"/>
        <w:spacing w:after="0"/>
        <w:tabs>
          <w:tab w:leader="none" w:pos="29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35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655" cy="63500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05" w:lineRule="exact"/>
        <w:rPr>
          <w:sz w:val="20"/>
          <w:szCs w:val="20"/>
          <w:color w:val="auto"/>
        </w:rPr>
      </w:pPr>
    </w:p>
    <w:p>
      <w:pPr>
        <w:jc w:val="center"/>
        <w:ind w:right="7000"/>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69"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Loans in Average Daily Balances (ADB)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-38100</wp:posOffset>
            </wp:positionV>
            <wp:extent cx="2570480" cy="1958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0480" cy="1958340"/>
                    </a:xfrm>
                    <a:prstGeom prst="rect">
                      <a:avLst/>
                    </a:prstGeom>
                    <a:noFill/>
                  </pic:spPr>
                </pic:pic>
              </a:graphicData>
            </a:graphic>
          </wp:anchor>
        </w:drawing>
      </w:r>
    </w:p>
    <w:p>
      <w:pPr>
        <w:spacing w:after="0" w:line="170" w:lineRule="exact"/>
        <w:rPr>
          <w:sz w:val="20"/>
          <w:szCs w:val="20"/>
          <w:color w:val="auto"/>
        </w:rPr>
      </w:pPr>
    </w:p>
    <w:p>
      <w:pPr>
        <w:jc w:val="both"/>
        <w:ind w:right="5860"/>
        <w:spacing w:after="0" w:line="245" w:lineRule="auto"/>
        <w:rPr>
          <w:sz w:val="20"/>
          <w:szCs w:val="20"/>
          <w:color w:val="auto"/>
        </w:rPr>
      </w:pPr>
      <w:r>
        <w:rPr>
          <w:rFonts w:ascii="Arial" w:cs="Arial" w:eastAsia="Arial" w:hAnsi="Arial"/>
          <w:sz w:val="16"/>
          <w:szCs w:val="16"/>
          <w:color w:val="auto"/>
        </w:rPr>
        <w:t>Structural loans measured in ADB increased 0.4% QoQ (+0.7% Neutral Exchange Rate) to stand at S/138,348 million. Growth was mainly attributable to Retail Banking at BCP, led by an uptick in SME-Pyme and Mortgages. This evolution was partially offset by a drop in balances in Wholesale Banking, which was fueled by a reduction in private investment, and by lower balances at Mibanco, where a decline reflected tighter lending conditions implemented.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YoY, structural loan growth stood at 0.3% (+0.7% Neutral Exchange Rate).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This evolution was driven by Retail Banking at BCP and by SME-Pyme,</w:t>
      </w:r>
    </w:p>
    <w:p>
      <w:pPr>
        <w:spacing w:after="0" w:line="238" w:lineRule="auto"/>
        <w:rPr>
          <w:sz w:val="20"/>
          <w:szCs w:val="20"/>
          <w:color w:val="auto"/>
        </w:rPr>
      </w:pPr>
      <w:r>
        <w:rPr>
          <w:rFonts w:ascii="Arial" w:cs="Arial" w:eastAsia="Arial" w:hAnsi="Arial"/>
          <w:sz w:val="16"/>
          <w:szCs w:val="16"/>
          <w:color w:val="auto"/>
        </w:rPr>
        <w:t>Mortgages and Credit Cards in particular, and was offset by a drop in</w:t>
      </w:r>
    </w:p>
    <w:p>
      <w:pPr>
        <w:spacing w:after="0"/>
        <w:rPr>
          <w:sz w:val="20"/>
          <w:szCs w:val="20"/>
          <w:color w:val="auto"/>
        </w:rPr>
      </w:pPr>
      <w:r>
        <w:rPr>
          <w:rFonts w:ascii="Arial" w:cs="Arial" w:eastAsia="Arial" w:hAnsi="Arial"/>
          <w:sz w:val="16"/>
          <w:szCs w:val="16"/>
          <w:color w:val="auto"/>
        </w:rPr>
        <w:t>Wholesale Banking balances, which was spurred by the same factors seen</w:t>
      </w:r>
    </w:p>
    <w:p>
      <w:pPr>
        <w:spacing w:after="0"/>
        <w:rPr>
          <w:sz w:val="20"/>
          <w:szCs w:val="20"/>
          <w:color w:val="auto"/>
        </w:rPr>
      </w:pPr>
      <w:r>
        <w:rPr>
          <w:rFonts w:ascii="Arial" w:cs="Arial" w:eastAsia="Arial" w:hAnsi="Arial"/>
          <w:sz w:val="16"/>
          <w:szCs w:val="16"/>
          <w:color w:val="auto"/>
        </w:rPr>
        <w:t>QoQ.</w:t>
      </w:r>
    </w:p>
    <w:p>
      <w:pPr>
        <w:spacing w:after="0" w:line="166" w:lineRule="exact"/>
        <w:rPr>
          <w:sz w:val="20"/>
          <w:szCs w:val="20"/>
          <w:color w:val="auto"/>
        </w:rPr>
      </w:pPr>
    </w:p>
    <w:p>
      <w:pPr>
        <w:jc w:val="both"/>
        <w:ind w:right="5860"/>
        <w:spacing w:after="0" w:line="258" w:lineRule="auto"/>
        <w:rPr>
          <w:sz w:val="20"/>
          <w:szCs w:val="20"/>
          <w:color w:val="auto"/>
        </w:rPr>
      </w:pPr>
      <w:r>
        <w:rPr>
          <w:rFonts w:ascii="Arial" w:cs="Arial" w:eastAsia="Arial" w:hAnsi="Arial"/>
          <w:sz w:val="16"/>
          <w:szCs w:val="16"/>
          <w:color w:val="auto"/>
        </w:rPr>
        <w:t>The Government Loan Portfolio (GP) represented 2.7% of total loans in average daily balances this quarter (2.5% in quarter-end balances), which were concentrated in BCP SME-Pyme and BCP 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-86995</wp:posOffset>
            </wp:positionV>
            <wp:extent cx="2833370" cy="1850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3370" cy="18503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Deposits</w:t>
      </w:r>
    </w:p>
    <w:p>
      <w:pPr>
        <w:spacing w:after="0" w:line="190" w:lineRule="exact"/>
        <w:rPr>
          <w:sz w:val="20"/>
          <w:szCs w:val="20"/>
          <w:color w:val="auto"/>
        </w:rPr>
      </w:pPr>
    </w:p>
    <w:p>
      <w:pPr>
        <w:jc w:val="both"/>
        <w:ind w:right="5860"/>
        <w:spacing w:after="0" w:line="258" w:lineRule="auto"/>
        <w:rPr>
          <w:sz w:val="20"/>
          <w:szCs w:val="20"/>
          <w:color w:val="auto"/>
        </w:rPr>
      </w:pPr>
      <w:r>
        <w:rPr>
          <w:rFonts w:ascii="Arial" w:cs="Arial" w:eastAsia="Arial" w:hAnsi="Arial"/>
          <w:sz w:val="16"/>
          <w:szCs w:val="16"/>
          <w:color w:val="auto"/>
        </w:rPr>
        <w:t>Our deposit base measured in quarter-end balances decreased 0.5% QoQ (+0.6% Neutral Exchange Rate). This latter growth was mainly attributable to a growth in Low-Cost Deposits.</w:t>
      </w:r>
    </w:p>
    <w:p>
      <w:pPr>
        <w:spacing w:after="0" w:line="138" w:lineRule="exact"/>
        <w:rPr>
          <w:sz w:val="20"/>
          <w:szCs w:val="20"/>
          <w:color w:val="auto"/>
        </w:rPr>
      </w:pPr>
    </w:p>
    <w:p>
      <w:pPr>
        <w:jc w:val="both"/>
        <w:ind w:right="5860"/>
        <w:spacing w:after="0" w:line="252" w:lineRule="auto"/>
        <w:rPr>
          <w:sz w:val="20"/>
          <w:szCs w:val="20"/>
          <w:color w:val="auto"/>
        </w:rPr>
      </w:pPr>
      <w:r>
        <w:rPr>
          <w:rFonts w:ascii="Arial" w:cs="Arial" w:eastAsia="Arial" w:hAnsi="Arial"/>
          <w:sz w:val="16"/>
          <w:szCs w:val="16"/>
          <w:color w:val="auto"/>
        </w:rPr>
        <w:t>In the YoY comparison, the deposit base increased 0.5% (+1.9% Neutral Exchange Rate). Low-cost deposits, which represented 68.1% of our total deposit base at the end of the quarter, continued to play a predominant role in our funding mix.</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Net Interest Income (NII) and Margin (NIM)</w:t>
      </w:r>
    </w:p>
    <w:p>
      <w:pPr>
        <w:spacing w:after="0" w:line="190" w:lineRule="exact"/>
        <w:rPr>
          <w:sz w:val="20"/>
          <w:szCs w:val="20"/>
          <w:color w:val="auto"/>
        </w:rPr>
      </w:pPr>
    </w:p>
    <w:p>
      <w:pPr>
        <w:jc w:val="both"/>
        <w:ind w:right="5860"/>
        <w:spacing w:after="0" w:line="245" w:lineRule="auto"/>
        <w:rPr>
          <w:sz w:val="20"/>
          <w:szCs w:val="20"/>
          <w:color w:val="auto"/>
        </w:rPr>
      </w:pPr>
      <w:r>
        <w:rPr>
          <w:rFonts w:ascii="Arial" w:cs="Arial" w:eastAsia="Arial" w:hAnsi="Arial"/>
          <w:sz w:val="16"/>
          <w:szCs w:val="16"/>
          <w:color w:val="auto"/>
        </w:rPr>
        <w:t>NII rose 2.9% QoQ to stand at S/3,348 million. This evolution was driven by an uptick in financial income, which was primarily fueled by growth in structural loans, driven by Retail Banking. Interest expenses fell 2.7% QoQ due to liability repricing in a cycle of lower interest rates and to an uptick in Low-Cost Deposits’ share of our funding base. In this context, the drop reported in the Funding Cost outpaced the reduction registered for the IEA yield; these factors led NIM to stand at 6.21% at quarter-end.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-661035</wp:posOffset>
            </wp:positionV>
            <wp:extent cx="2493010" cy="1478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3010" cy="1478915"/>
                    </a:xfrm>
                    <a:prstGeom prst="rect">
                      <a:avLst/>
                    </a:prstGeom>
                    <a:noFill/>
                  </pic:spPr>
                </pic:pic>
              </a:graphicData>
            </a:graphic>
          </wp:anchor>
        </w:drawing>
      </w:r>
    </w:p>
    <w:p>
      <w:pPr>
        <w:spacing w:after="0" w:line="128" w:lineRule="exact"/>
        <w:rPr>
          <w:sz w:val="20"/>
          <w:szCs w:val="20"/>
          <w:color w:val="auto"/>
        </w:rPr>
      </w:pPr>
    </w:p>
    <w:p>
      <w:pPr>
        <w:jc w:val="both"/>
        <w:ind w:right="5860"/>
        <w:spacing w:after="0" w:line="258" w:lineRule="auto"/>
        <w:rPr>
          <w:sz w:val="20"/>
          <w:szCs w:val="20"/>
          <w:color w:val="auto"/>
        </w:rPr>
      </w:pPr>
      <w:r>
        <w:rPr>
          <w:rFonts w:ascii="Arial" w:cs="Arial" w:eastAsia="Arial" w:hAnsi="Arial"/>
          <w:sz w:val="16"/>
          <w:szCs w:val="16"/>
          <w:color w:val="auto"/>
        </w:rPr>
        <w:t>YoY and YTD, Net Interest Income rose 6.6% and 16.6% respectively, driven primarily by the evolution of rates for both currencies and by a shift in the loan mix toward retail.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2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43"/>
        </w:trPr>
        <w:tc>
          <w:tcPr>
            <w:tcW w:w="90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10" w:name="page11"/>
    <w:bookmarkEnd w:id="10"/>
    <w:p>
      <w:pPr>
        <w:ind w:left="2722"/>
        <w:spacing w:after="0"/>
        <w:tabs>
          <w:tab w:leader="none" w:pos="292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635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5655" cy="63500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05"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69"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2AD2C8"/>
        </w:rPr>
        <w:t>Portfolio Quality and Structural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-38100</wp:posOffset>
            </wp:positionV>
            <wp:extent cx="2531745" cy="1911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1745" cy="1911985"/>
                    </a:xfrm>
                    <a:prstGeom prst="rect">
                      <a:avLst/>
                    </a:prstGeom>
                    <a:noFill/>
                  </pic:spPr>
                </pic:pic>
              </a:graphicData>
            </a:graphic>
          </wp:anchor>
        </w:drawing>
      </w:r>
    </w:p>
    <w:p>
      <w:pPr>
        <w:spacing w:after="0" w:line="170" w:lineRule="exact"/>
        <w:rPr>
          <w:sz w:val="20"/>
          <w:szCs w:val="20"/>
          <w:color w:val="auto"/>
        </w:rPr>
      </w:pPr>
    </w:p>
    <w:p>
      <w:pPr>
        <w:jc w:val="both"/>
        <w:ind w:left="2" w:right="5860"/>
        <w:spacing w:after="0" w:line="245" w:lineRule="auto"/>
        <w:rPr>
          <w:sz w:val="20"/>
          <w:szCs w:val="20"/>
          <w:color w:val="auto"/>
        </w:rPr>
      </w:pPr>
      <w:r>
        <w:rPr>
          <w:rFonts w:ascii="Arial" w:cs="Arial" w:eastAsia="Arial" w:hAnsi="Arial"/>
          <w:sz w:val="16"/>
          <w:szCs w:val="16"/>
          <w:color w:val="auto"/>
        </w:rPr>
        <w:t>QoQ, the structural NPL balance rose 1.7%. This growth was concentrated in: (i) SME-Pyme, where the uptick in delinquency was concentrated in old vintages while indicators for early delinquency for new vintages improved,</w:t>
      </w:r>
    </w:p>
    <w:p>
      <w:pPr>
        <w:spacing w:after="0" w:line="1" w:lineRule="exact"/>
        <w:rPr>
          <w:sz w:val="20"/>
          <w:szCs w:val="20"/>
          <w:color w:val="auto"/>
        </w:rPr>
      </w:pPr>
    </w:p>
    <w:p>
      <w:pPr>
        <w:jc w:val="both"/>
        <w:ind w:left="2" w:right="5860" w:hanging="2"/>
        <w:spacing w:after="0" w:line="241" w:lineRule="auto"/>
        <w:tabs>
          <w:tab w:leader="none" w:pos="253"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Consumer and Credit Cards, where growth in the NPL volumen was concentrated in loans overdue more than 120 days; and (iii) Mibanco, where early delinquency was concentrated concentrated in loans with higher tickets; note that in 3Q23, we began implementing stricter credit policies and expect to see improvement down the line. These dynamics were partially offset by Corporate, driven by recoveries associated to two specific loans.</w:t>
      </w:r>
    </w:p>
    <w:p>
      <w:pPr>
        <w:spacing w:after="0" w:line="338" w:lineRule="exact"/>
        <w:rPr>
          <w:sz w:val="20"/>
          <w:szCs w:val="20"/>
          <w:color w:val="auto"/>
        </w:rPr>
      </w:pPr>
    </w:p>
    <w:p>
      <w:pPr>
        <w:ind w:left="2" w:right="5860"/>
        <w:spacing w:after="0" w:line="279" w:lineRule="auto"/>
        <w:rPr>
          <w:sz w:val="20"/>
          <w:szCs w:val="20"/>
          <w:color w:val="auto"/>
        </w:rPr>
      </w:pPr>
      <w:r>
        <w:rPr>
          <w:rFonts w:ascii="Arial" w:cs="Arial" w:eastAsia="Arial" w:hAnsi="Arial"/>
          <w:sz w:val="16"/>
          <w:szCs w:val="16"/>
          <w:color w:val="auto"/>
        </w:rPr>
        <w:t>In this context, the structural NPL ratio stood at 5.6% while the structural NPL Coverage ratio situated at 102.4%</w:t>
      </w:r>
    </w:p>
    <w:p>
      <w:pPr>
        <w:spacing w:after="0" w:line="121" w:lineRule="exact"/>
        <w:rPr>
          <w:sz w:val="20"/>
          <w:szCs w:val="20"/>
          <w:color w:val="auto"/>
        </w:rPr>
      </w:pPr>
    </w:p>
    <w:p>
      <w:pPr>
        <w:jc w:val="both"/>
        <w:ind w:left="2" w:right="5860"/>
        <w:spacing w:after="0" w:line="245" w:lineRule="auto"/>
        <w:rPr>
          <w:sz w:val="20"/>
          <w:szCs w:val="20"/>
          <w:color w:val="auto"/>
        </w:rPr>
      </w:pPr>
      <w:r>
        <w:rPr>
          <w:rFonts w:ascii="Arial" w:cs="Arial" w:eastAsia="Arial" w:hAnsi="Arial"/>
          <w:sz w:val="16"/>
          <w:szCs w:val="16"/>
          <w:color w:val="auto"/>
        </w:rPr>
        <w:t>Structural provisions this quarter reflected provisions set aside for the El Niño Phenomenon for approximately S/250 MM, which was based on the information available at the close of the books. If we exclude this effect, structural provisions rose 2.8% QoQ, driven by Wholesale Banking via a base effect and by SME-Pyme, due to a downturn in client payment performance. These dynamics were partially offset by reversals for sub-products in Mortgage and by lower provisions at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-591185</wp:posOffset>
            </wp:positionV>
            <wp:extent cx="2624455" cy="1486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24455" cy="1486535"/>
                    </a:xfrm>
                    <a:prstGeom prst="rect">
                      <a:avLst/>
                    </a:prstGeom>
                    <a:noFill/>
                  </pic:spPr>
                </pic:pic>
              </a:graphicData>
            </a:graphic>
          </wp:anchor>
        </w:drawing>
      </w:r>
    </w:p>
    <w:p>
      <w:pPr>
        <w:spacing w:after="0" w:line="128" w:lineRule="exact"/>
        <w:rPr>
          <w:sz w:val="20"/>
          <w:szCs w:val="20"/>
          <w:color w:val="auto"/>
        </w:rPr>
      </w:pPr>
    </w:p>
    <w:p>
      <w:pPr>
        <w:jc w:val="both"/>
        <w:ind w:left="2" w:right="5860"/>
        <w:spacing w:after="0" w:line="245" w:lineRule="auto"/>
        <w:rPr>
          <w:sz w:val="20"/>
          <w:szCs w:val="20"/>
          <w:color w:val="auto"/>
        </w:rPr>
      </w:pPr>
      <w:r>
        <w:rPr>
          <w:rFonts w:ascii="Arial" w:cs="Arial" w:eastAsia="Arial" w:hAnsi="Arial"/>
          <w:sz w:val="16"/>
          <w:szCs w:val="16"/>
          <w:color w:val="auto"/>
        </w:rPr>
        <w:t>YTD, structural provisions excluding provisions set aside for El Niño Phenomenon, increased 91.0%, driven by Retail Banking at BCP and Consumer, Credit Cards and SME-Pyme in particular, which were impacted by an uptick in the deterioration of old vintages. Provisions at Mibanco also rose significantly. The aforementioned dynamics were partially offset by reversals of provisions in Wholesale Banking during the year, which reflected recoveries of impaired loans.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this context, the Structural Cost of Risk stood at 3.3% and the Cost of</w:t>
      </w:r>
    </w:p>
    <w:p>
      <w:pPr>
        <w:spacing w:after="0" w:line="14" w:lineRule="exact"/>
        <w:rPr>
          <w:sz w:val="20"/>
          <w:szCs w:val="20"/>
          <w:color w:val="auto"/>
        </w:rPr>
      </w:pPr>
    </w:p>
    <w:p>
      <w:pPr>
        <w:ind w:left="2"/>
        <w:spacing w:after="0"/>
        <w:rPr>
          <w:sz w:val="20"/>
          <w:szCs w:val="20"/>
          <w:color w:val="auto"/>
        </w:rPr>
      </w:pPr>
      <w:r>
        <w:rPr>
          <w:rFonts w:ascii="Arial" w:cs="Arial" w:eastAsia="Arial" w:hAnsi="Arial"/>
          <w:sz w:val="16"/>
          <w:szCs w:val="16"/>
          <w:color w:val="auto"/>
        </w:rPr>
        <w:t>Risk, at 3.2%. YTD, the Structural Cost of Risk situated at 2.5% and the</w:t>
      </w:r>
    </w:p>
    <w:p>
      <w:pPr>
        <w:ind w:left="2"/>
        <w:spacing w:after="0"/>
        <w:rPr>
          <w:sz w:val="20"/>
          <w:szCs w:val="20"/>
          <w:color w:val="auto"/>
        </w:rPr>
      </w:pPr>
      <w:r>
        <w:rPr>
          <w:rFonts w:ascii="Arial" w:cs="Arial" w:eastAsia="Arial" w:hAnsi="Arial"/>
          <w:sz w:val="16"/>
          <w:szCs w:val="16"/>
          <w:color w:val="auto"/>
        </w:rPr>
        <w:t>Cost of Risk, at 2.5%.</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902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43"/>
        </w:trPr>
        <w:tc>
          <w:tcPr>
            <w:tcW w:w="90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496" w:right="319" w:bottom="1440" w:gutter="0" w:footer="0" w:header="0"/>
        </w:sectPr>
      </w:pPr>
    </w:p>
    <w:bookmarkStart w:id="11" w:name="page12"/>
    <w:bookmarkEnd w:id="11"/>
    <w:p>
      <w:pPr>
        <w:ind w:left="2722"/>
        <w:spacing w:after="0"/>
        <w:tabs>
          <w:tab w:leader="none" w:pos="292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635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5655" cy="63500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05"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69"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2AD2C8"/>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-38100</wp:posOffset>
            </wp:positionV>
            <wp:extent cx="2655570" cy="1804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5570" cy="1804035"/>
                    </a:xfrm>
                    <a:prstGeom prst="rect">
                      <a:avLst/>
                    </a:prstGeom>
                    <a:noFill/>
                  </pic:spPr>
                </pic:pic>
              </a:graphicData>
            </a:graphic>
          </wp:anchor>
        </w:drawing>
      </w:r>
    </w:p>
    <w:p>
      <w:pPr>
        <w:spacing w:after="0" w:line="162" w:lineRule="exact"/>
        <w:rPr>
          <w:sz w:val="20"/>
          <w:szCs w:val="20"/>
          <w:color w:val="auto"/>
        </w:rPr>
      </w:pPr>
    </w:p>
    <w:p>
      <w:pPr>
        <w:jc w:val="both"/>
        <w:ind w:left="2" w:right="5860"/>
        <w:spacing w:after="0"/>
        <w:rPr>
          <w:sz w:val="20"/>
          <w:szCs w:val="20"/>
          <w:color w:val="auto"/>
        </w:rPr>
      </w:pPr>
      <w:r>
        <w:rPr>
          <w:rFonts w:ascii="Arial" w:cs="Arial" w:eastAsia="Arial" w:hAnsi="Arial"/>
          <w:sz w:val="16"/>
          <w:szCs w:val="16"/>
          <w:color w:val="auto"/>
        </w:rPr>
        <w:t>Other Core Income</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(Fees + Gains on FX transactions), excluding BCP Bolivia, rose 2.1% QoQ. This evolution was driven mainly by an increase in the net gain on FX transactions at BCP Stand-alone and, to a lesser extent, by an uptick in Fee Income at Credicorp Capital. YoY, excluding BCP Bolivia, the 1.4% increase was attributable to growth in the balance for fees at Credicorp Capital, driven by an uptick in fees through BCP Stand-alone.</w:t>
      </w:r>
    </w:p>
    <w:p>
      <w:pPr>
        <w:spacing w:after="0" w:line="241" w:lineRule="exact"/>
        <w:rPr>
          <w:sz w:val="20"/>
          <w:szCs w:val="20"/>
          <w:color w:val="auto"/>
        </w:rPr>
      </w:pPr>
    </w:p>
    <w:p>
      <w:pPr>
        <w:jc w:val="both"/>
        <w:ind w:left="2" w:right="5860"/>
        <w:spacing w:after="0" w:line="245" w:lineRule="auto"/>
        <w:rPr>
          <w:sz w:val="20"/>
          <w:szCs w:val="20"/>
          <w:color w:val="auto"/>
        </w:rPr>
      </w:pPr>
      <w:r>
        <w:rPr>
          <w:rFonts w:ascii="Arial" w:cs="Arial" w:eastAsia="Arial" w:hAnsi="Arial"/>
          <w:sz w:val="16"/>
          <w:szCs w:val="16"/>
          <w:color w:val="auto"/>
        </w:rPr>
        <w:t>Other Non-core income rose 29.6% and 102.8 % QoQ and YoY respectively. These increases were mainly driven by Other Income, which was up due to sales of judicial recoveries and, to a lesser extent, due to an uptick in the Net Gain on Securities at BCP. YTD, growth was driven by an increase in the Net gain on Securities, which was attributable to good results for trading strategies at Credicorp Capital and ASB and growth in income from the investment portfolio at Pacífico.</w:t>
      </w:r>
    </w:p>
    <w:p>
      <w:pPr>
        <w:spacing w:after="0" w:line="150" w:lineRule="exact"/>
        <w:rPr>
          <w:sz w:val="20"/>
          <w:szCs w:val="20"/>
          <w:color w:val="auto"/>
        </w:rPr>
      </w:pPr>
    </w:p>
    <w:p>
      <w:pPr>
        <w:jc w:val="both"/>
        <w:ind w:left="2" w:right="5860" w:hanging="2"/>
        <w:spacing w:after="0" w:line="252" w:lineRule="auto"/>
        <w:tabs>
          <w:tab w:leader="none" w:pos="184" w:val="left"/>
        </w:tabs>
        <w:numPr>
          <w:ilvl w:val="0"/>
          <w:numId w:val="4"/>
        </w:numPr>
        <w:rPr>
          <w:rFonts w:ascii="Arial" w:cs="Arial" w:eastAsia="Arial" w:hAnsi="Arial"/>
          <w:sz w:val="11"/>
          <w:szCs w:val="11"/>
          <w:color w:val="auto"/>
        </w:rPr>
      </w:pPr>
      <w:r>
        <w:rPr>
          <w:rFonts w:ascii="Arial" w:cs="Arial" w:eastAsia="Arial" w:hAnsi="Arial"/>
          <w:sz w:val="11"/>
          <w:szCs w:val="11"/>
          <w:color w:val="auto"/>
        </w:rPr>
        <w:t>When analyzing the results for fee income and FX transactions, it is important to note that both lines have been affected by our operation in BCP Bolivia, where we charge fees to FX clients to offset losses on buy-sell FX transactions.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2AD2C8"/>
        </w:rPr>
        <w:t>Insurance Underwriting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-154305</wp:posOffset>
            </wp:positionV>
            <wp:extent cx="2740660" cy="3166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0660" cy="3166110"/>
                    </a:xfrm>
                    <a:prstGeom prst="rect">
                      <a:avLst/>
                    </a:prstGeom>
                    <a:noFill/>
                  </pic:spPr>
                </pic:pic>
              </a:graphicData>
            </a:graphic>
          </wp:anchor>
        </w:drawing>
      </w:r>
    </w:p>
    <w:p>
      <w:pPr>
        <w:spacing w:after="0" w:line="170" w:lineRule="exact"/>
        <w:rPr>
          <w:sz w:val="20"/>
          <w:szCs w:val="20"/>
          <w:color w:val="auto"/>
        </w:rPr>
      </w:pPr>
    </w:p>
    <w:p>
      <w:pPr>
        <w:jc w:val="both"/>
        <w:ind w:left="2" w:right="5860"/>
        <w:spacing w:after="0" w:line="279" w:lineRule="auto"/>
        <w:rPr>
          <w:sz w:val="20"/>
          <w:szCs w:val="20"/>
          <w:color w:val="auto"/>
        </w:rPr>
      </w:pPr>
      <w:r>
        <w:rPr>
          <w:rFonts w:ascii="Arial" w:cs="Arial" w:eastAsia="Arial" w:hAnsi="Arial"/>
          <w:sz w:val="16"/>
          <w:szCs w:val="16"/>
          <w:color w:val="auto"/>
        </w:rPr>
        <w:t>The Insurance Underwriting Result dropped 13.2% QoQ. This evolution was fueled by higher claims expenses in our P&amp;C and Life businesses.</w:t>
      </w:r>
    </w:p>
    <w:p>
      <w:pPr>
        <w:spacing w:after="0" w:line="121" w:lineRule="exact"/>
        <w:rPr>
          <w:sz w:val="20"/>
          <w:szCs w:val="20"/>
          <w:color w:val="auto"/>
        </w:rPr>
      </w:pPr>
    </w:p>
    <w:p>
      <w:pPr>
        <w:jc w:val="both"/>
        <w:ind w:left="2" w:right="5860"/>
        <w:spacing w:after="0" w:line="252" w:lineRule="auto"/>
        <w:rPr>
          <w:sz w:val="20"/>
          <w:szCs w:val="20"/>
          <w:color w:val="auto"/>
        </w:rPr>
      </w:pPr>
      <w:r>
        <w:rPr>
          <w:rFonts w:ascii="Arial" w:cs="Arial" w:eastAsia="Arial" w:hAnsi="Arial"/>
          <w:sz w:val="16"/>
          <w:szCs w:val="16"/>
          <w:color w:val="auto"/>
        </w:rPr>
        <w:t>YTD, the underwriting results were up 43.9% due to an increase in income from Life and a more favorable reinsurance result. These dynamics were partially attenuated by an increase in expenses for insurance services, primarily in the P&amp;C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902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43"/>
        </w:trPr>
        <w:tc>
          <w:tcPr>
            <w:tcW w:w="90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496" w:right="319" w:bottom="1440" w:gutter="0" w:footer="0" w:header="0"/>
        </w:sectPr>
      </w:pPr>
    </w:p>
    <w:bookmarkStart w:id="12" w:name="page13"/>
    <w:bookmarkEnd w:id="12"/>
    <w:p>
      <w:pPr>
        <w:ind w:left="2722"/>
        <w:spacing w:after="0"/>
        <w:tabs>
          <w:tab w:leader="none" w:pos="292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635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655" cy="63500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05"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69"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2AD2C8"/>
        </w:rPr>
        <w:t>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-38100</wp:posOffset>
            </wp:positionV>
            <wp:extent cx="2709545" cy="1726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9545" cy="1726565"/>
                    </a:xfrm>
                    <a:prstGeom prst="rect">
                      <a:avLst/>
                    </a:prstGeom>
                    <a:noFill/>
                  </pic:spPr>
                </pic:pic>
              </a:graphicData>
            </a:graphic>
          </wp:anchor>
        </w:drawing>
      </w:r>
    </w:p>
    <w:p>
      <w:pPr>
        <w:spacing w:after="0" w:line="170" w:lineRule="exact"/>
        <w:rPr>
          <w:sz w:val="20"/>
          <w:szCs w:val="20"/>
          <w:color w:val="auto"/>
        </w:rPr>
      </w:pPr>
    </w:p>
    <w:p>
      <w:pPr>
        <w:jc w:val="both"/>
        <w:ind w:left="2" w:right="5860"/>
        <w:spacing w:after="0" w:line="252" w:lineRule="auto"/>
        <w:rPr>
          <w:sz w:val="20"/>
          <w:szCs w:val="20"/>
          <w:color w:val="auto"/>
        </w:rPr>
      </w:pPr>
      <w:r>
        <w:rPr>
          <w:rFonts w:ascii="Arial" w:cs="Arial" w:eastAsia="Arial" w:hAnsi="Arial"/>
          <w:sz w:val="16"/>
          <w:szCs w:val="16"/>
          <w:color w:val="auto"/>
        </w:rPr>
        <w:t>At the end of 2023, the Efficiency ratio stood at 46.1%, which represents an improvement of 142 bps versus the figure in 2022. This dynamic was in line with a 13.2% uptick in operating income, where growth outpaced the uptick registered for operating expenses.</w:t>
      </w:r>
    </w:p>
    <w:p>
      <w:pPr>
        <w:spacing w:after="0" w:line="142" w:lineRule="exact"/>
        <w:rPr>
          <w:sz w:val="20"/>
          <w:szCs w:val="20"/>
          <w:color w:val="auto"/>
        </w:rPr>
      </w:pPr>
    </w:p>
    <w:p>
      <w:pPr>
        <w:jc w:val="both"/>
        <w:ind w:left="2" w:right="5860"/>
        <w:spacing w:after="0" w:line="279" w:lineRule="auto"/>
        <w:rPr>
          <w:sz w:val="20"/>
          <w:szCs w:val="20"/>
          <w:color w:val="auto"/>
        </w:rPr>
      </w:pPr>
      <w:r>
        <w:rPr>
          <w:rFonts w:ascii="Arial" w:cs="Arial" w:eastAsia="Arial" w:hAnsi="Arial"/>
          <w:sz w:val="16"/>
          <w:szCs w:val="16"/>
          <w:color w:val="auto"/>
        </w:rPr>
        <w:t>Operating expenses rose 9.8% YTD, driven primarily by disruptive initiatives at Credicorp and core expenses (non – disruption) at BCP.</w:t>
      </w:r>
    </w:p>
    <w:p>
      <w:pPr>
        <w:spacing w:after="0" w:line="122" w:lineRule="exact"/>
        <w:rPr>
          <w:sz w:val="20"/>
          <w:szCs w:val="20"/>
          <w:color w:val="auto"/>
        </w:rPr>
      </w:pPr>
    </w:p>
    <w:p>
      <w:pPr>
        <w:ind w:left="2" w:right="5940" w:hanging="2"/>
        <w:spacing w:after="0" w:line="252" w:lineRule="auto"/>
        <w:tabs>
          <w:tab w:leader="none" w:pos="78" w:val="left"/>
        </w:tabs>
        <w:numPr>
          <w:ilvl w:val="0"/>
          <w:numId w:val="5"/>
        </w:numPr>
        <w:rPr>
          <w:rFonts w:ascii="Arial" w:cs="Arial" w:eastAsia="Arial" w:hAnsi="Arial"/>
          <w:sz w:val="11"/>
          <w:szCs w:val="11"/>
          <w:color w:val="auto"/>
        </w:rPr>
      </w:pPr>
      <w:r>
        <w:rPr>
          <w:rFonts w:ascii="Arial" w:cs="Arial" w:eastAsia="Arial" w:hAnsi="Arial"/>
          <w:sz w:val="11"/>
          <w:szCs w:val="11"/>
          <w:color w:val="auto"/>
        </w:rPr>
        <w:t>Operating Expenses and Income have been reformulated due to the application of IFRS 17 and as such, are reported differently than seen in earlier reports. This reformulation has led to a subsequent change in the way that the Efficiency Ratio is calculated. For more detail, please refer to appendix 12.1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2AD2C8"/>
        </w:rPr>
        <w:t>Net earnings attributable to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-38100</wp:posOffset>
            </wp:positionV>
            <wp:extent cx="2794635" cy="1641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1641475"/>
                    </a:xfrm>
                    <a:prstGeom prst="rect">
                      <a:avLst/>
                    </a:prstGeom>
                    <a:noFill/>
                  </pic:spPr>
                </pic:pic>
              </a:graphicData>
            </a:graphic>
          </wp:anchor>
        </w:drawing>
      </w:r>
    </w:p>
    <w:p>
      <w:pPr>
        <w:spacing w:after="0" w:line="170" w:lineRule="exact"/>
        <w:rPr>
          <w:sz w:val="20"/>
          <w:szCs w:val="20"/>
          <w:color w:val="auto"/>
        </w:rPr>
      </w:pPr>
    </w:p>
    <w:p>
      <w:pPr>
        <w:jc w:val="both"/>
        <w:ind w:left="2" w:right="5860"/>
        <w:spacing w:after="0" w:line="253" w:lineRule="auto"/>
        <w:rPr>
          <w:sz w:val="20"/>
          <w:szCs w:val="20"/>
          <w:color w:val="auto"/>
        </w:rPr>
      </w:pPr>
      <w:r>
        <w:rPr>
          <w:rFonts w:ascii="Arial" w:cs="Arial" w:eastAsia="Arial" w:hAnsi="Arial"/>
          <w:sz w:val="16"/>
          <w:szCs w:val="16"/>
          <w:color w:val="auto"/>
        </w:rPr>
        <w:t>In 4Q23, net income attributable to Credicorp stood at S/841.8 million, down -32.0% QoQ and up -16.7% YoY. Net Shareholders’ Equity was S/32,460 million (+3.8% QoQ and +11.9% YoY). Consequently, ROE stood at 10.6%.</w:t>
      </w:r>
    </w:p>
    <w:p>
      <w:pPr>
        <w:spacing w:after="0" w:line="333" w:lineRule="exact"/>
        <w:rPr>
          <w:sz w:val="20"/>
          <w:szCs w:val="20"/>
          <w:color w:val="auto"/>
        </w:rPr>
      </w:pPr>
    </w:p>
    <w:p>
      <w:pPr>
        <w:jc w:val="both"/>
        <w:ind w:left="2" w:right="5860"/>
        <w:spacing w:after="0" w:line="252" w:lineRule="auto"/>
        <w:rPr>
          <w:sz w:val="20"/>
          <w:szCs w:val="20"/>
          <w:color w:val="auto"/>
        </w:rPr>
      </w:pPr>
      <w:r>
        <w:rPr>
          <w:rFonts w:ascii="Arial" w:cs="Arial" w:eastAsia="Arial" w:hAnsi="Arial"/>
          <w:sz w:val="16"/>
          <w:szCs w:val="16"/>
          <w:color w:val="auto"/>
        </w:rPr>
        <w:t>YTD, in addition to recurring dynamics, this year’s results were impacted by a deterioration in goodwill at Mibanco Colombia and by an increase in provisions for withholding tax at the holding level, which was attributable to higher expectations for dividend payments.</w:t>
      </w:r>
    </w:p>
    <w:p>
      <w:pPr>
        <w:spacing w:after="0" w:line="142" w:lineRule="exact"/>
        <w:rPr>
          <w:sz w:val="20"/>
          <w:szCs w:val="20"/>
          <w:color w:val="auto"/>
        </w:rPr>
      </w:pPr>
    </w:p>
    <w:p>
      <w:pPr>
        <w:jc w:val="both"/>
        <w:ind w:left="2" w:right="5860"/>
        <w:spacing w:after="0" w:line="258" w:lineRule="auto"/>
        <w:rPr>
          <w:sz w:val="20"/>
          <w:szCs w:val="20"/>
          <w:color w:val="auto"/>
        </w:rPr>
      </w:pPr>
      <w:r>
        <w:rPr>
          <w:rFonts w:ascii="Arial" w:cs="Arial" w:eastAsia="Arial" w:hAnsi="Arial"/>
          <w:sz w:val="16"/>
          <w:szCs w:val="16"/>
          <w:color w:val="auto"/>
        </w:rPr>
        <w:t>Consequently, net income attributable to Credicorp rose 4.7% versus the figure in 2022 to stand at S/4,866 million. In this context, ROE stood at 15.8%, 98 bps below the level reported in 2022.</w:t>
      </w:r>
    </w:p>
    <w:p>
      <w:pPr>
        <w:spacing w:after="0" w:line="134" w:lineRule="exact"/>
        <w:rPr>
          <w:sz w:val="20"/>
          <w:szCs w:val="20"/>
          <w:color w:val="auto"/>
        </w:rPr>
      </w:pPr>
    </w:p>
    <w:p>
      <w:pPr>
        <w:jc w:val="center"/>
        <w:ind w:right="-1"/>
        <w:spacing w:after="0"/>
        <w:rPr>
          <w:sz w:val="20"/>
          <w:szCs w:val="20"/>
          <w:color w:val="auto"/>
        </w:rPr>
      </w:pPr>
      <w:r>
        <w:rPr>
          <w:rFonts w:ascii="Arial" w:cs="Arial" w:eastAsia="Arial" w:hAnsi="Arial"/>
          <w:sz w:val="23"/>
          <w:szCs w:val="23"/>
          <w:b w:val="1"/>
          <w:bCs w:val="1"/>
          <w:color w:val="2AD2C8"/>
        </w:rPr>
        <w:t>Contributions and ROE by subsidiary in 4Q23</w:t>
      </w:r>
    </w:p>
    <w:p>
      <w:pPr>
        <w:spacing w:after="0" w:line="26"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2AD2C8"/>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113665</wp:posOffset>
            </wp:positionV>
            <wp:extent cx="4637405" cy="2353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37405" cy="2353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2" w:hanging="182"/>
        <w:spacing w:after="0"/>
        <w:tabs>
          <w:tab w:leader="none" w:pos="182" w:val="left"/>
        </w:tabs>
        <w:numPr>
          <w:ilvl w:val="0"/>
          <w:numId w:val="6"/>
        </w:numPr>
        <w:rPr>
          <w:rFonts w:ascii="Arial" w:cs="Arial" w:eastAsia="Arial" w:hAnsi="Arial"/>
          <w:sz w:val="11"/>
          <w:szCs w:val="11"/>
          <w:color w:val="auto"/>
        </w:rPr>
      </w:pPr>
      <w:r>
        <w:rPr>
          <w:rFonts w:ascii="Arial" w:cs="Arial" w:eastAsia="Arial" w:hAnsi="Arial"/>
          <w:sz w:val="11"/>
          <w:szCs w:val="11"/>
          <w:color w:val="auto"/>
        </w:rPr>
        <w:t>This figure excludes the impact of the goodwill Impairment on Mibanco Colombia’s performance.</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6"/>
        </w:numPr>
        <w:rPr>
          <w:rFonts w:ascii="Arial" w:cs="Arial" w:eastAsia="Arial" w:hAnsi="Arial"/>
          <w:sz w:val="11"/>
          <w:szCs w:val="11"/>
          <w:color w:val="auto"/>
        </w:rPr>
      </w:pPr>
      <w:r>
        <w:rPr>
          <w:rFonts w:ascii="Arial" w:cs="Arial" w:eastAsia="Arial" w:hAnsi="Arial"/>
          <w:sz w:val="11"/>
          <w:szCs w:val="11"/>
          <w:color w:val="auto"/>
        </w:rPr>
        <w:t>At BCP Stand Alone, the figure is lower than net income because it does not include gains on investments in other Credicorp subsidiaries (Mibanco).</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6"/>
        </w:numPr>
        <w:rPr>
          <w:rFonts w:ascii="Arial" w:cs="Arial" w:eastAsia="Arial" w:hAnsi="Arial"/>
          <w:sz w:val="11"/>
          <w:szCs w:val="11"/>
          <w:color w:val="auto"/>
        </w:rPr>
      </w:pPr>
      <w:r>
        <w:rPr>
          <w:rFonts w:ascii="Arial" w:cs="Arial" w:eastAsia="Arial" w:hAnsi="Arial"/>
          <w:sz w:val="11"/>
          <w:szCs w:val="11"/>
          <w:color w:val="auto"/>
        </w:rPr>
        <w:t>At Mibanco, the figure is lower than net income because Credicorp owns 99.921% of Mibanco (directly and indirectly).</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Contribution of Grupo Pacífico presented here is higher than the earnings reported for Pacifico Seguros because it includes 100% of Crediseguros (including 48% under Grupo Credito)</w:t>
      </w:r>
    </w:p>
    <w:p>
      <w:pPr>
        <w:spacing w:after="0" w:line="185"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496" w:right="319" w:bottom="1440" w:gutter="0" w:footer="0" w:header="0"/>
        </w:sectPr>
      </w:pPr>
    </w:p>
    <w:bookmarkStart w:id="13" w:name="page14"/>
    <w:bookmarkEnd w:id="13"/>
    <w:p>
      <w:pPr>
        <w:ind w:left="2720"/>
        <w:spacing w:after="0"/>
        <w:tabs>
          <w:tab w:leader="none" w:pos="29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657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184150</wp:posOffset>
            </wp:positionV>
            <wp:extent cx="4645025" cy="5922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45025" cy="5922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6"/>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14" w:name="page15"/>
    <w:bookmarkEnd w:id="14"/>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420"/>
        </w:trPr>
        <w:tc>
          <w:tcPr>
            <w:tcW w:w="2840" w:type="dxa"/>
            <w:vAlign w:val="bottom"/>
            <w:tcBorders>
              <w:left w:val="single" w:sz="8" w:color="auto"/>
            </w:tcBorders>
            <w:shd w:val="clear" w:color="auto" w:fill="000000"/>
          </w:tcPr>
          <w:p>
            <w:pPr>
              <w:ind w:left="2720"/>
              <w:spacing w:after="0"/>
              <w:rPr>
                <w:sz w:val="20"/>
                <w:szCs w:val="20"/>
                <w:color w:val="auto"/>
              </w:rPr>
            </w:pPr>
            <w:r>
              <w:rPr>
                <w:rFonts w:ascii="Arial" w:cs="Arial" w:eastAsia="Arial" w:hAnsi="Arial"/>
                <w:sz w:val="18"/>
                <w:szCs w:val="18"/>
                <w:color w:val="A6A6A6"/>
              </w:rPr>
              <w:t>|</w:t>
            </w:r>
          </w:p>
        </w:tc>
        <w:tc>
          <w:tcPr>
            <w:tcW w:w="2520" w:type="dxa"/>
            <w:vAlign w:val="bottom"/>
            <w:gridSpan w:val="2"/>
            <w:shd w:val="clear" w:color="auto" w:fill="000000"/>
          </w:tcPr>
          <w:p>
            <w:pPr>
              <w:jc w:val="right"/>
              <w:ind w:right="51"/>
              <w:spacing w:after="0"/>
              <w:rPr>
                <w:sz w:val="20"/>
                <w:szCs w:val="20"/>
                <w:color w:val="auto"/>
              </w:rPr>
            </w:pPr>
            <w:r>
              <w:rPr>
                <w:rFonts w:ascii="Arial" w:cs="Arial" w:eastAsia="Arial" w:hAnsi="Arial"/>
                <w:sz w:val="18"/>
                <w:szCs w:val="18"/>
                <w:b w:val="1"/>
                <w:bCs w:val="1"/>
                <w:color w:val="A6A6A6"/>
              </w:rPr>
              <w:t>Earnings Release 4Q / 2023</w:t>
            </w:r>
          </w:p>
        </w:tc>
        <w:tc>
          <w:tcPr>
            <w:tcW w:w="880" w:type="dxa"/>
            <w:vAlign w:val="bottom"/>
            <w:shd w:val="clear" w:color="auto" w:fill="000000"/>
          </w:tcPr>
          <w:p>
            <w:pPr>
              <w:spacing w:after="0"/>
              <w:rPr>
                <w:sz w:val="24"/>
                <w:szCs w:val="24"/>
                <w:color w:val="auto"/>
              </w:rPr>
            </w:pPr>
          </w:p>
        </w:tc>
        <w:tc>
          <w:tcPr>
            <w:tcW w:w="760" w:type="dxa"/>
            <w:vAlign w:val="bottom"/>
            <w:tcBorders>
              <w:right w:val="single" w:sz="8" w:color="auto"/>
            </w:tcBorders>
            <w:shd w:val="clear" w:color="auto" w:fill="000000"/>
          </w:tcPr>
          <w:p>
            <w:pPr>
              <w:spacing w:after="0"/>
              <w:rPr>
                <w:sz w:val="24"/>
                <w:szCs w:val="24"/>
                <w:color w:val="auto"/>
              </w:rPr>
            </w:pPr>
          </w:p>
        </w:tc>
        <w:tc>
          <w:tcPr>
            <w:tcW w:w="780" w:type="dxa"/>
            <w:vAlign w:val="bottom"/>
            <w:shd w:val="clear" w:color="auto" w:fill="000000"/>
          </w:tcPr>
          <w:p>
            <w:pPr>
              <w:spacing w:after="0"/>
              <w:rPr>
                <w:sz w:val="24"/>
                <w:szCs w:val="24"/>
                <w:color w:val="auto"/>
              </w:rPr>
            </w:pPr>
          </w:p>
        </w:tc>
        <w:tc>
          <w:tcPr>
            <w:tcW w:w="800" w:type="dxa"/>
            <w:vAlign w:val="bottom"/>
            <w:tcBorders>
              <w:right w:val="single" w:sz="8" w:color="auto"/>
            </w:tcBorders>
            <w:shd w:val="clear" w:color="auto" w:fill="000000"/>
          </w:tcPr>
          <w:p>
            <w:pPr>
              <w:spacing w:after="0"/>
              <w:rPr>
                <w:sz w:val="24"/>
                <w:szCs w:val="24"/>
                <w:color w:val="auto"/>
              </w:rPr>
            </w:pPr>
          </w:p>
        </w:tc>
        <w:tc>
          <w:tcPr>
            <w:tcW w:w="1100" w:type="dxa"/>
            <w:vAlign w:val="bottom"/>
            <w:shd w:val="clear" w:color="auto" w:fill="000000"/>
          </w:tcPr>
          <w:p>
            <w:pPr>
              <w:spacing w:after="0"/>
              <w:rPr>
                <w:sz w:val="24"/>
                <w:szCs w:val="24"/>
                <w:color w:val="auto"/>
              </w:rPr>
            </w:pPr>
          </w:p>
        </w:tc>
        <w:tc>
          <w:tcPr>
            <w:tcW w:w="680" w:type="dxa"/>
            <w:vAlign w:val="bottom"/>
            <w:tcBorders>
              <w:right w:val="single" w:sz="8" w:color="auto"/>
            </w:tcBorders>
            <w:shd w:val="clear" w:color="auto" w:fill="000000"/>
          </w:tcPr>
          <w:p>
            <w:pPr>
              <w:spacing w:after="0"/>
              <w:rPr>
                <w:sz w:val="24"/>
                <w:szCs w:val="24"/>
                <w:color w:val="auto"/>
              </w:rPr>
            </w:pPr>
          </w:p>
        </w:tc>
        <w:tc>
          <w:tcPr>
            <w:tcW w:w="90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840" w:type="dxa"/>
            <w:vAlign w:val="bottom"/>
            <w:tcBorders>
              <w:left w:val="single" w:sz="8" w:color="auto"/>
            </w:tcBorders>
            <w:shd w:val="clear" w:color="auto" w:fill="000000"/>
          </w:tcPr>
          <w:p>
            <w:pPr>
              <w:spacing w:after="0"/>
              <w:rPr>
                <w:sz w:val="19"/>
                <w:szCs w:val="19"/>
                <w:color w:val="auto"/>
              </w:rPr>
            </w:pPr>
          </w:p>
        </w:tc>
        <w:tc>
          <w:tcPr>
            <w:tcW w:w="1460" w:type="dxa"/>
            <w:vAlign w:val="bottom"/>
            <w:tcBorders>
              <w:right w:val="single" w:sz="8" w:color="auto"/>
            </w:tcBorders>
            <w:shd w:val="clear" w:color="auto" w:fill="000000"/>
          </w:tcPr>
          <w:p>
            <w:pPr>
              <w:spacing w:after="0"/>
              <w:rPr>
                <w:sz w:val="19"/>
                <w:szCs w:val="19"/>
                <w:color w:val="auto"/>
              </w:rPr>
            </w:pPr>
          </w:p>
        </w:tc>
        <w:tc>
          <w:tcPr>
            <w:tcW w:w="1060" w:type="dxa"/>
            <w:vAlign w:val="bottom"/>
            <w:shd w:val="clear" w:color="auto" w:fill="000000"/>
          </w:tcPr>
          <w:p>
            <w:pPr>
              <w:spacing w:after="0"/>
              <w:rPr>
                <w:sz w:val="19"/>
                <w:szCs w:val="19"/>
                <w:color w:val="auto"/>
              </w:rPr>
            </w:pPr>
          </w:p>
        </w:tc>
        <w:tc>
          <w:tcPr>
            <w:tcW w:w="880" w:type="dxa"/>
            <w:vAlign w:val="bottom"/>
            <w:shd w:val="clear" w:color="auto" w:fill="000000"/>
          </w:tcPr>
          <w:p>
            <w:pPr>
              <w:spacing w:after="0"/>
              <w:rPr>
                <w:sz w:val="19"/>
                <w:szCs w:val="19"/>
                <w:color w:val="auto"/>
              </w:rPr>
            </w:pPr>
          </w:p>
        </w:tc>
        <w:tc>
          <w:tcPr>
            <w:tcW w:w="760" w:type="dxa"/>
            <w:vAlign w:val="bottom"/>
            <w:tcBorders>
              <w:right w:val="single" w:sz="8" w:color="auto"/>
            </w:tcBorders>
            <w:shd w:val="clear" w:color="auto" w:fill="000000"/>
          </w:tcPr>
          <w:p>
            <w:pPr>
              <w:spacing w:after="0"/>
              <w:rPr>
                <w:sz w:val="19"/>
                <w:szCs w:val="19"/>
                <w:color w:val="auto"/>
              </w:rPr>
            </w:pPr>
          </w:p>
        </w:tc>
        <w:tc>
          <w:tcPr>
            <w:tcW w:w="780" w:type="dxa"/>
            <w:vAlign w:val="bottom"/>
            <w:shd w:val="clear" w:color="auto" w:fill="000000"/>
          </w:tcPr>
          <w:p>
            <w:pPr>
              <w:spacing w:after="0"/>
              <w:rPr>
                <w:sz w:val="19"/>
                <w:szCs w:val="19"/>
                <w:color w:val="auto"/>
              </w:rPr>
            </w:pPr>
          </w:p>
        </w:tc>
        <w:tc>
          <w:tcPr>
            <w:tcW w:w="800" w:type="dxa"/>
            <w:vAlign w:val="bottom"/>
            <w:tcBorders>
              <w:right w:val="single" w:sz="8" w:color="auto"/>
            </w:tcBorders>
            <w:shd w:val="clear" w:color="auto" w:fill="000000"/>
          </w:tcPr>
          <w:p>
            <w:pPr>
              <w:spacing w:after="0"/>
              <w:rPr>
                <w:sz w:val="19"/>
                <w:szCs w:val="19"/>
                <w:color w:val="auto"/>
              </w:rPr>
            </w:pPr>
          </w:p>
        </w:tc>
        <w:tc>
          <w:tcPr>
            <w:tcW w:w="1100" w:type="dxa"/>
            <w:vAlign w:val="bottom"/>
            <w:shd w:val="clear" w:color="auto" w:fill="000000"/>
          </w:tcPr>
          <w:p>
            <w:pPr>
              <w:spacing w:after="0"/>
              <w:rPr>
                <w:sz w:val="19"/>
                <w:szCs w:val="19"/>
                <w:color w:val="auto"/>
              </w:rPr>
            </w:pPr>
          </w:p>
        </w:tc>
        <w:tc>
          <w:tcPr>
            <w:tcW w:w="680" w:type="dxa"/>
            <w:vAlign w:val="bottom"/>
            <w:tcBorders>
              <w:right w:val="single" w:sz="8" w:color="auto"/>
            </w:tcBorders>
            <w:shd w:val="clear" w:color="auto" w:fill="000000"/>
          </w:tcPr>
          <w:p>
            <w:pPr>
              <w:spacing w:after="0"/>
              <w:rPr>
                <w:sz w:val="19"/>
                <w:szCs w:val="19"/>
                <w:color w:val="auto"/>
              </w:rPr>
            </w:pPr>
          </w:p>
        </w:tc>
        <w:tc>
          <w:tcPr>
            <w:tcW w:w="900" w:type="dxa"/>
            <w:vAlign w:val="bottom"/>
            <w:tcBorders>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840" w:type="dxa"/>
            <w:vAlign w:val="bottom"/>
            <w:tcBorders>
              <w:left w:val="single" w:sz="8" w:color="29D2C8"/>
            </w:tcBorders>
            <w:shd w:val="clear" w:color="auto" w:fill="29D2C8"/>
          </w:tcPr>
          <w:p>
            <w:pPr>
              <w:ind w:left="80"/>
              <w:spacing w:after="0"/>
              <w:rPr>
                <w:sz w:val="20"/>
                <w:szCs w:val="20"/>
                <w:color w:val="auto"/>
              </w:rPr>
            </w:pPr>
            <w:r>
              <w:rPr>
                <w:rFonts w:ascii="Arial" w:cs="Arial" w:eastAsia="Arial" w:hAnsi="Arial"/>
                <w:sz w:val="18"/>
                <w:szCs w:val="18"/>
                <w:b w:val="1"/>
                <w:bCs w:val="1"/>
                <w:color w:val="FFFFFF"/>
              </w:rPr>
              <w:t>Financial Overview</w:t>
            </w:r>
          </w:p>
        </w:tc>
        <w:tc>
          <w:tcPr>
            <w:tcW w:w="1460" w:type="dxa"/>
            <w:vAlign w:val="bottom"/>
            <w:tcBorders>
              <w:right w:val="single" w:sz="8" w:color="29D2C8"/>
            </w:tcBorders>
            <w:shd w:val="clear" w:color="auto" w:fill="29D2C8"/>
          </w:tcPr>
          <w:p>
            <w:pPr>
              <w:spacing w:after="0"/>
              <w:rPr>
                <w:sz w:val="24"/>
                <w:szCs w:val="24"/>
                <w:color w:val="auto"/>
              </w:rPr>
            </w:pPr>
          </w:p>
        </w:tc>
        <w:tc>
          <w:tcPr>
            <w:tcW w:w="1060" w:type="dxa"/>
            <w:vAlign w:val="bottom"/>
            <w:shd w:val="clear" w:color="auto" w:fill="29D2C8"/>
          </w:tcPr>
          <w:p>
            <w:pPr>
              <w:spacing w:after="0"/>
              <w:rPr>
                <w:sz w:val="24"/>
                <w:szCs w:val="24"/>
                <w:color w:val="auto"/>
              </w:rPr>
            </w:pPr>
          </w:p>
        </w:tc>
        <w:tc>
          <w:tcPr>
            <w:tcW w:w="880" w:type="dxa"/>
            <w:vAlign w:val="bottom"/>
            <w:shd w:val="clear" w:color="auto" w:fill="29D2C8"/>
          </w:tcPr>
          <w:p>
            <w:pPr>
              <w:spacing w:after="0"/>
              <w:rPr>
                <w:sz w:val="24"/>
                <w:szCs w:val="24"/>
                <w:color w:val="auto"/>
              </w:rPr>
            </w:pPr>
          </w:p>
        </w:tc>
        <w:tc>
          <w:tcPr>
            <w:tcW w:w="760" w:type="dxa"/>
            <w:vAlign w:val="bottom"/>
            <w:tcBorders>
              <w:right w:val="single" w:sz="8" w:color="29D2C8"/>
            </w:tcBorders>
            <w:shd w:val="clear" w:color="auto" w:fill="29D2C8"/>
          </w:tcPr>
          <w:p>
            <w:pPr>
              <w:spacing w:after="0"/>
              <w:rPr>
                <w:sz w:val="24"/>
                <w:szCs w:val="24"/>
                <w:color w:val="auto"/>
              </w:rPr>
            </w:pPr>
          </w:p>
        </w:tc>
        <w:tc>
          <w:tcPr>
            <w:tcW w:w="780" w:type="dxa"/>
            <w:vAlign w:val="bottom"/>
            <w:shd w:val="clear" w:color="auto" w:fill="29D2C8"/>
          </w:tcPr>
          <w:p>
            <w:pPr>
              <w:spacing w:after="0"/>
              <w:rPr>
                <w:sz w:val="24"/>
                <w:szCs w:val="24"/>
                <w:color w:val="auto"/>
              </w:rPr>
            </w:pPr>
          </w:p>
        </w:tc>
        <w:tc>
          <w:tcPr>
            <w:tcW w:w="800" w:type="dxa"/>
            <w:vAlign w:val="bottom"/>
            <w:tcBorders>
              <w:right w:val="single" w:sz="8" w:color="29D2C8"/>
            </w:tcBorders>
            <w:shd w:val="clear" w:color="auto" w:fill="29D2C8"/>
          </w:tcPr>
          <w:p>
            <w:pPr>
              <w:spacing w:after="0"/>
              <w:rPr>
                <w:sz w:val="24"/>
                <w:szCs w:val="24"/>
                <w:color w:val="auto"/>
              </w:rPr>
            </w:pPr>
          </w:p>
        </w:tc>
        <w:tc>
          <w:tcPr>
            <w:tcW w:w="1100" w:type="dxa"/>
            <w:vAlign w:val="bottom"/>
            <w:shd w:val="clear" w:color="auto" w:fill="29D2C8"/>
          </w:tcPr>
          <w:p>
            <w:pPr>
              <w:spacing w:after="0"/>
              <w:rPr>
                <w:sz w:val="24"/>
                <w:szCs w:val="24"/>
                <w:color w:val="auto"/>
              </w:rPr>
            </w:pPr>
          </w:p>
        </w:tc>
        <w:tc>
          <w:tcPr>
            <w:tcW w:w="680" w:type="dxa"/>
            <w:vAlign w:val="bottom"/>
            <w:tcBorders>
              <w:right w:val="single" w:sz="8" w:color="29D2C8"/>
            </w:tcBorders>
            <w:shd w:val="clear" w:color="auto" w:fill="29D2C8"/>
          </w:tcPr>
          <w:p>
            <w:pPr>
              <w:spacing w:after="0"/>
              <w:rPr>
                <w:sz w:val="24"/>
                <w:szCs w:val="24"/>
                <w:color w:val="auto"/>
              </w:rPr>
            </w:pPr>
          </w:p>
        </w:tc>
        <w:tc>
          <w:tcPr>
            <w:tcW w:w="900" w:type="dxa"/>
            <w:vAlign w:val="bottom"/>
            <w:tcBorders>
              <w:right w:val="single" w:sz="8" w:color="29D2C8"/>
            </w:tcBorders>
            <w:shd w:val="clear" w:color="auto" w:fill="29D2C8"/>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40" w:type="dxa"/>
            <w:vAlign w:val="bottom"/>
            <w:tcBorders>
              <w:left w:val="single" w:sz="8" w:color="29D2C8"/>
            </w:tcBorders>
            <w:shd w:val="clear" w:color="auto" w:fill="29D2C8"/>
          </w:tcPr>
          <w:p>
            <w:pPr>
              <w:spacing w:after="0"/>
              <w:rPr>
                <w:sz w:val="5"/>
                <w:szCs w:val="5"/>
                <w:color w:val="auto"/>
              </w:rPr>
            </w:pPr>
          </w:p>
        </w:tc>
        <w:tc>
          <w:tcPr>
            <w:tcW w:w="1460" w:type="dxa"/>
            <w:vAlign w:val="bottom"/>
            <w:tcBorders>
              <w:right w:val="single" w:sz="8" w:color="29D2C8"/>
            </w:tcBorders>
            <w:shd w:val="clear" w:color="auto" w:fill="29D2C8"/>
          </w:tcPr>
          <w:p>
            <w:pPr>
              <w:spacing w:after="0"/>
              <w:rPr>
                <w:sz w:val="5"/>
                <w:szCs w:val="5"/>
                <w:color w:val="auto"/>
              </w:rPr>
            </w:pPr>
          </w:p>
        </w:tc>
        <w:tc>
          <w:tcPr>
            <w:tcW w:w="1060" w:type="dxa"/>
            <w:vAlign w:val="bottom"/>
            <w:shd w:val="clear" w:color="auto" w:fill="29D2C8"/>
          </w:tcPr>
          <w:p>
            <w:pPr>
              <w:spacing w:after="0"/>
              <w:rPr>
                <w:sz w:val="5"/>
                <w:szCs w:val="5"/>
                <w:color w:val="auto"/>
              </w:rPr>
            </w:pPr>
          </w:p>
        </w:tc>
        <w:tc>
          <w:tcPr>
            <w:tcW w:w="880" w:type="dxa"/>
            <w:vAlign w:val="bottom"/>
            <w:shd w:val="clear" w:color="auto" w:fill="29D2C8"/>
          </w:tcPr>
          <w:p>
            <w:pPr>
              <w:spacing w:after="0"/>
              <w:rPr>
                <w:sz w:val="5"/>
                <w:szCs w:val="5"/>
                <w:color w:val="auto"/>
              </w:rPr>
            </w:pPr>
          </w:p>
        </w:tc>
        <w:tc>
          <w:tcPr>
            <w:tcW w:w="760" w:type="dxa"/>
            <w:vAlign w:val="bottom"/>
            <w:tcBorders>
              <w:right w:val="single" w:sz="8" w:color="29D2C8"/>
            </w:tcBorders>
            <w:shd w:val="clear" w:color="auto" w:fill="29D2C8"/>
          </w:tcPr>
          <w:p>
            <w:pPr>
              <w:spacing w:after="0"/>
              <w:rPr>
                <w:sz w:val="5"/>
                <w:szCs w:val="5"/>
                <w:color w:val="auto"/>
              </w:rPr>
            </w:pPr>
          </w:p>
        </w:tc>
        <w:tc>
          <w:tcPr>
            <w:tcW w:w="780" w:type="dxa"/>
            <w:vAlign w:val="bottom"/>
            <w:shd w:val="clear" w:color="auto" w:fill="29D2C8"/>
          </w:tcPr>
          <w:p>
            <w:pPr>
              <w:spacing w:after="0"/>
              <w:rPr>
                <w:sz w:val="5"/>
                <w:szCs w:val="5"/>
                <w:color w:val="auto"/>
              </w:rPr>
            </w:pPr>
          </w:p>
        </w:tc>
        <w:tc>
          <w:tcPr>
            <w:tcW w:w="800" w:type="dxa"/>
            <w:vAlign w:val="bottom"/>
            <w:tcBorders>
              <w:right w:val="single" w:sz="8" w:color="29D2C8"/>
            </w:tcBorders>
            <w:shd w:val="clear" w:color="auto" w:fill="29D2C8"/>
          </w:tcPr>
          <w:p>
            <w:pPr>
              <w:spacing w:after="0"/>
              <w:rPr>
                <w:sz w:val="5"/>
                <w:szCs w:val="5"/>
                <w:color w:val="auto"/>
              </w:rPr>
            </w:pPr>
          </w:p>
        </w:tc>
        <w:tc>
          <w:tcPr>
            <w:tcW w:w="1100" w:type="dxa"/>
            <w:vAlign w:val="bottom"/>
            <w:shd w:val="clear" w:color="auto" w:fill="29D2C8"/>
          </w:tcPr>
          <w:p>
            <w:pPr>
              <w:spacing w:after="0"/>
              <w:rPr>
                <w:sz w:val="5"/>
                <w:szCs w:val="5"/>
                <w:color w:val="auto"/>
              </w:rPr>
            </w:pPr>
          </w:p>
        </w:tc>
        <w:tc>
          <w:tcPr>
            <w:tcW w:w="680" w:type="dxa"/>
            <w:vAlign w:val="bottom"/>
            <w:tcBorders>
              <w:right w:val="single" w:sz="8" w:color="29D2C8"/>
            </w:tcBorders>
            <w:shd w:val="clear" w:color="auto" w:fill="29D2C8"/>
          </w:tcPr>
          <w:p>
            <w:pPr>
              <w:spacing w:after="0"/>
              <w:rPr>
                <w:sz w:val="5"/>
                <w:szCs w:val="5"/>
                <w:color w:val="auto"/>
              </w:rPr>
            </w:pPr>
          </w:p>
        </w:tc>
        <w:tc>
          <w:tcPr>
            <w:tcW w:w="900" w:type="dxa"/>
            <w:vAlign w:val="bottom"/>
            <w:tcBorders>
              <w:right w:val="single" w:sz="8" w:color="29D2C8"/>
            </w:tcBorders>
            <w:shd w:val="clear" w:color="auto" w:fill="29D2C8"/>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8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840" w:type="dxa"/>
            <w:vAlign w:val="bottom"/>
            <w:tcBorders>
              <w:left w:val="single" w:sz="8" w:color="auto"/>
            </w:tcBorders>
            <w:shd w:val="clear" w:color="auto" w:fill="2AD2C9"/>
          </w:tcPr>
          <w:p>
            <w:pPr>
              <w:ind w:left="100"/>
              <w:spacing w:after="0" w:line="89" w:lineRule="exact"/>
              <w:rPr>
                <w:sz w:val="20"/>
                <w:szCs w:val="20"/>
                <w:color w:val="auto"/>
              </w:rPr>
            </w:pPr>
            <w:r>
              <w:rPr>
                <w:rFonts w:ascii="Arial" w:cs="Arial" w:eastAsia="Arial" w:hAnsi="Arial"/>
                <w:sz w:val="10"/>
                <w:szCs w:val="10"/>
                <w:b w:val="1"/>
                <w:bCs w:val="1"/>
                <w:color w:val="FFFFFF"/>
              </w:rPr>
              <w:t>Credicorp Ltd.</w:t>
            </w:r>
          </w:p>
        </w:tc>
        <w:tc>
          <w:tcPr>
            <w:tcW w:w="1460" w:type="dxa"/>
            <w:vAlign w:val="bottom"/>
            <w:tcBorders>
              <w:right w:val="single" w:sz="8" w:color="auto"/>
            </w:tcBorders>
            <w:shd w:val="clear" w:color="auto" w:fill="2AD2C9"/>
          </w:tcPr>
          <w:p>
            <w:pPr>
              <w:spacing w:after="0"/>
              <w:rPr>
                <w:sz w:val="7"/>
                <w:szCs w:val="7"/>
                <w:color w:val="auto"/>
              </w:rPr>
            </w:pPr>
          </w:p>
        </w:tc>
        <w:tc>
          <w:tcPr>
            <w:tcW w:w="1060" w:type="dxa"/>
            <w:vAlign w:val="bottom"/>
            <w:shd w:val="clear" w:color="auto" w:fill="2AD2C9"/>
          </w:tcPr>
          <w:p>
            <w:pPr>
              <w:spacing w:after="0"/>
              <w:rPr>
                <w:sz w:val="7"/>
                <w:szCs w:val="7"/>
                <w:color w:val="auto"/>
              </w:rPr>
            </w:pPr>
          </w:p>
        </w:tc>
        <w:tc>
          <w:tcPr>
            <w:tcW w:w="880" w:type="dxa"/>
            <w:vAlign w:val="bottom"/>
            <w:vMerge w:val="restart"/>
            <w:shd w:val="clear" w:color="auto" w:fill="2AD2C9"/>
          </w:tcPr>
          <w:p>
            <w:pPr>
              <w:jc w:val="right"/>
              <w:ind w:right="371"/>
              <w:spacing w:after="0"/>
              <w:rPr>
                <w:sz w:val="20"/>
                <w:szCs w:val="20"/>
                <w:color w:val="auto"/>
              </w:rPr>
            </w:pPr>
            <w:r>
              <w:rPr>
                <w:rFonts w:ascii="Arial" w:cs="Arial" w:eastAsia="Arial" w:hAnsi="Arial"/>
                <w:sz w:val="10"/>
                <w:szCs w:val="10"/>
                <w:b w:val="1"/>
                <w:bCs w:val="1"/>
                <w:color w:val="FFFFFF"/>
              </w:rPr>
              <w:t>Quarter</w:t>
            </w:r>
          </w:p>
        </w:tc>
        <w:tc>
          <w:tcPr>
            <w:tcW w:w="760" w:type="dxa"/>
            <w:vAlign w:val="bottom"/>
            <w:tcBorders>
              <w:right w:val="single" w:sz="8" w:color="auto"/>
            </w:tcBorders>
            <w:shd w:val="clear" w:color="auto" w:fill="2AD2C9"/>
          </w:tcPr>
          <w:p>
            <w:pPr>
              <w:spacing w:after="0"/>
              <w:rPr>
                <w:sz w:val="7"/>
                <w:szCs w:val="7"/>
                <w:color w:val="auto"/>
              </w:rPr>
            </w:pPr>
          </w:p>
        </w:tc>
        <w:tc>
          <w:tcPr>
            <w:tcW w:w="1580" w:type="dxa"/>
            <w:vAlign w:val="bottom"/>
            <w:tcBorders>
              <w:right w:val="single" w:sz="8" w:color="auto"/>
            </w:tcBorders>
            <w:gridSpan w:val="2"/>
            <w:vMerge w:val="restart"/>
            <w:shd w:val="clear" w:color="auto" w:fill="2AD2C9"/>
          </w:tcPr>
          <w:p>
            <w:pPr>
              <w:ind w:left="560"/>
              <w:spacing w:after="0"/>
              <w:rPr>
                <w:sz w:val="20"/>
                <w:szCs w:val="20"/>
                <w:color w:val="auto"/>
              </w:rPr>
            </w:pPr>
            <w:r>
              <w:rPr>
                <w:rFonts w:ascii="Arial" w:cs="Arial" w:eastAsia="Arial" w:hAnsi="Arial"/>
                <w:sz w:val="10"/>
                <w:szCs w:val="10"/>
                <w:b w:val="1"/>
                <w:bCs w:val="1"/>
                <w:color w:val="FFFFFF"/>
              </w:rPr>
              <w:t>% change</w:t>
            </w:r>
          </w:p>
        </w:tc>
        <w:tc>
          <w:tcPr>
            <w:tcW w:w="1100" w:type="dxa"/>
            <w:vAlign w:val="bottom"/>
            <w:vMerge w:val="restart"/>
            <w:shd w:val="clear" w:color="auto" w:fill="2AD2C9"/>
          </w:tcPr>
          <w:p>
            <w:pPr>
              <w:jc w:val="right"/>
              <w:ind w:right="51"/>
              <w:spacing w:after="0"/>
              <w:rPr>
                <w:sz w:val="20"/>
                <w:szCs w:val="20"/>
                <w:color w:val="auto"/>
              </w:rPr>
            </w:pPr>
            <w:r>
              <w:rPr>
                <w:rFonts w:ascii="Arial" w:cs="Arial" w:eastAsia="Arial" w:hAnsi="Arial"/>
                <w:sz w:val="10"/>
                <w:szCs w:val="10"/>
                <w:b w:val="1"/>
                <w:bCs w:val="1"/>
                <w:color w:val="FFFFFF"/>
              </w:rPr>
              <w:t>As of</w:t>
            </w:r>
          </w:p>
        </w:tc>
        <w:tc>
          <w:tcPr>
            <w:tcW w:w="680" w:type="dxa"/>
            <w:vAlign w:val="bottom"/>
            <w:tcBorders>
              <w:right w:val="single" w:sz="8" w:color="auto"/>
            </w:tcBorders>
            <w:shd w:val="clear" w:color="auto" w:fill="2AD2C9"/>
          </w:tcPr>
          <w:p>
            <w:pPr>
              <w:spacing w:after="0"/>
              <w:rPr>
                <w:sz w:val="7"/>
                <w:szCs w:val="7"/>
                <w:color w:val="auto"/>
              </w:rPr>
            </w:pPr>
          </w:p>
        </w:tc>
        <w:tc>
          <w:tcPr>
            <w:tcW w:w="90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0"/>
                <w:szCs w:val="10"/>
                <w:b w:val="1"/>
                <w:bCs w:val="1"/>
                <w:color w:val="FFFFFF"/>
                <w:w w:val="94"/>
              </w:rPr>
              <w:t>% change</w:t>
            </w:r>
          </w:p>
        </w:tc>
        <w:tc>
          <w:tcPr>
            <w:tcW w:w="0" w:type="dxa"/>
            <w:vAlign w:val="bottom"/>
          </w:tcPr>
          <w:p>
            <w:pPr>
              <w:spacing w:after="0"/>
              <w:rPr>
                <w:sz w:val="1"/>
                <w:szCs w:val="1"/>
                <w:color w:val="auto"/>
              </w:rPr>
            </w:pPr>
          </w:p>
        </w:tc>
      </w:tr>
      <w:tr>
        <w:trPr>
          <w:trHeight w:val="73"/>
        </w:trPr>
        <w:tc>
          <w:tcPr>
            <w:tcW w:w="2840" w:type="dxa"/>
            <w:vAlign w:val="bottom"/>
            <w:tcBorders>
              <w:left w:val="single" w:sz="8" w:color="auto"/>
            </w:tcBorders>
            <w:vMerge w:val="restart"/>
            <w:shd w:val="clear" w:color="auto" w:fill="2AD2C9"/>
          </w:tcPr>
          <w:p>
            <w:pPr>
              <w:ind w:left="100"/>
              <w:spacing w:after="0"/>
              <w:rPr>
                <w:sz w:val="20"/>
                <w:szCs w:val="20"/>
                <w:color w:val="auto"/>
              </w:rPr>
            </w:pPr>
            <w:r>
              <w:rPr>
                <w:rFonts w:ascii="Arial" w:cs="Arial" w:eastAsia="Arial" w:hAnsi="Arial"/>
                <w:sz w:val="10"/>
                <w:szCs w:val="10"/>
                <w:b w:val="1"/>
                <w:bCs w:val="1"/>
                <w:color w:val="FFFFFF"/>
              </w:rPr>
              <w:t>S/000</w:t>
            </w:r>
          </w:p>
        </w:tc>
        <w:tc>
          <w:tcPr>
            <w:tcW w:w="1460" w:type="dxa"/>
            <w:vAlign w:val="bottom"/>
            <w:tcBorders>
              <w:right w:val="single" w:sz="8" w:color="auto"/>
            </w:tcBorders>
            <w:shd w:val="clear" w:color="auto" w:fill="2AD2C9"/>
          </w:tcPr>
          <w:p>
            <w:pPr>
              <w:spacing w:after="0"/>
              <w:rPr>
                <w:sz w:val="6"/>
                <w:szCs w:val="6"/>
                <w:color w:val="auto"/>
              </w:rPr>
            </w:pPr>
          </w:p>
        </w:tc>
        <w:tc>
          <w:tcPr>
            <w:tcW w:w="1060" w:type="dxa"/>
            <w:vAlign w:val="bottom"/>
            <w:shd w:val="clear" w:color="auto" w:fill="2AD2C9"/>
          </w:tcPr>
          <w:p>
            <w:pPr>
              <w:spacing w:after="0"/>
              <w:rPr>
                <w:sz w:val="6"/>
                <w:szCs w:val="6"/>
                <w:color w:val="auto"/>
              </w:rPr>
            </w:pPr>
          </w:p>
        </w:tc>
        <w:tc>
          <w:tcPr>
            <w:tcW w:w="880" w:type="dxa"/>
            <w:vAlign w:val="bottom"/>
            <w:vMerge w:val="continue"/>
            <w:shd w:val="clear" w:color="auto" w:fill="2AD2C9"/>
          </w:tcPr>
          <w:p>
            <w:pPr>
              <w:spacing w:after="0"/>
              <w:rPr>
                <w:sz w:val="6"/>
                <w:szCs w:val="6"/>
                <w:color w:val="auto"/>
              </w:rPr>
            </w:pPr>
          </w:p>
        </w:tc>
        <w:tc>
          <w:tcPr>
            <w:tcW w:w="760" w:type="dxa"/>
            <w:vAlign w:val="bottom"/>
            <w:tcBorders>
              <w:right w:val="single" w:sz="8" w:color="auto"/>
            </w:tcBorders>
            <w:shd w:val="clear" w:color="auto" w:fill="2AD2C9"/>
          </w:tcPr>
          <w:p>
            <w:pPr>
              <w:spacing w:after="0"/>
              <w:rPr>
                <w:sz w:val="6"/>
                <w:szCs w:val="6"/>
                <w:color w:val="auto"/>
              </w:rPr>
            </w:pPr>
          </w:p>
        </w:tc>
        <w:tc>
          <w:tcPr>
            <w:tcW w:w="1580" w:type="dxa"/>
            <w:vAlign w:val="bottom"/>
            <w:tcBorders>
              <w:right w:val="single" w:sz="8" w:color="auto"/>
            </w:tcBorders>
            <w:gridSpan w:val="2"/>
            <w:vMerge w:val="continue"/>
            <w:shd w:val="clear" w:color="auto" w:fill="2AD2C9"/>
          </w:tcPr>
          <w:p>
            <w:pPr>
              <w:spacing w:after="0"/>
              <w:rPr>
                <w:sz w:val="6"/>
                <w:szCs w:val="6"/>
                <w:color w:val="auto"/>
              </w:rPr>
            </w:pPr>
          </w:p>
        </w:tc>
        <w:tc>
          <w:tcPr>
            <w:tcW w:w="1100" w:type="dxa"/>
            <w:vAlign w:val="bottom"/>
            <w:vMerge w:val="continue"/>
            <w:shd w:val="clear" w:color="auto" w:fill="2AD2C9"/>
          </w:tcPr>
          <w:p>
            <w:pPr>
              <w:spacing w:after="0"/>
              <w:rPr>
                <w:sz w:val="6"/>
                <w:szCs w:val="6"/>
                <w:color w:val="auto"/>
              </w:rPr>
            </w:pPr>
          </w:p>
        </w:tc>
        <w:tc>
          <w:tcPr>
            <w:tcW w:w="680" w:type="dxa"/>
            <w:vAlign w:val="bottom"/>
            <w:tcBorders>
              <w:right w:val="single" w:sz="8" w:color="auto"/>
            </w:tcBorders>
            <w:shd w:val="clear" w:color="auto" w:fill="2AD2C9"/>
          </w:tcPr>
          <w:p>
            <w:pPr>
              <w:spacing w:after="0"/>
              <w:rPr>
                <w:sz w:val="6"/>
                <w:szCs w:val="6"/>
                <w:color w:val="auto"/>
              </w:rPr>
            </w:pPr>
          </w:p>
        </w:tc>
        <w:tc>
          <w:tcPr>
            <w:tcW w:w="900" w:type="dxa"/>
            <w:vAlign w:val="bottom"/>
            <w:tcBorders>
              <w:right w:val="single" w:sz="8" w:color="auto"/>
            </w:tcBorders>
            <w:vMerge w:val="continue"/>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840" w:type="dxa"/>
            <w:vAlign w:val="bottom"/>
            <w:tcBorders>
              <w:left w:val="single" w:sz="8" w:color="auto"/>
            </w:tcBorders>
            <w:vMerge w:val="continue"/>
            <w:shd w:val="clear" w:color="auto" w:fill="2AD2C9"/>
          </w:tcPr>
          <w:p>
            <w:pPr>
              <w:spacing w:after="0"/>
              <w:rPr>
                <w:sz w:val="5"/>
                <w:szCs w:val="5"/>
                <w:color w:val="auto"/>
              </w:rPr>
            </w:pPr>
          </w:p>
        </w:tc>
        <w:tc>
          <w:tcPr>
            <w:tcW w:w="1460" w:type="dxa"/>
            <w:vAlign w:val="bottom"/>
            <w:tcBorders>
              <w:right w:val="single" w:sz="8" w:color="auto"/>
            </w:tcBorders>
            <w:shd w:val="clear" w:color="auto" w:fill="2AD2C9"/>
          </w:tcPr>
          <w:p>
            <w:pPr>
              <w:spacing w:after="0"/>
              <w:rPr>
                <w:sz w:val="5"/>
                <w:szCs w:val="5"/>
                <w:color w:val="auto"/>
              </w:rPr>
            </w:pPr>
          </w:p>
        </w:tc>
        <w:tc>
          <w:tcPr>
            <w:tcW w:w="1060" w:type="dxa"/>
            <w:vAlign w:val="bottom"/>
            <w:vMerge w:val="restart"/>
            <w:shd w:val="clear" w:color="auto" w:fill="2AD2C9"/>
          </w:tcPr>
          <w:p>
            <w:pPr>
              <w:jc w:val="right"/>
              <w:ind w:right="471"/>
              <w:spacing w:after="0"/>
              <w:rPr>
                <w:sz w:val="20"/>
                <w:szCs w:val="20"/>
                <w:color w:val="auto"/>
              </w:rPr>
            </w:pPr>
            <w:r>
              <w:rPr>
                <w:rFonts w:ascii="Arial" w:cs="Arial" w:eastAsia="Arial" w:hAnsi="Arial"/>
                <w:sz w:val="10"/>
                <w:szCs w:val="10"/>
                <w:b w:val="1"/>
                <w:bCs w:val="1"/>
                <w:color w:val="FFFFFF"/>
              </w:rPr>
              <w:t>4Q22</w:t>
            </w:r>
          </w:p>
        </w:tc>
        <w:tc>
          <w:tcPr>
            <w:tcW w:w="880" w:type="dxa"/>
            <w:vAlign w:val="bottom"/>
            <w:vMerge w:val="restart"/>
            <w:shd w:val="clear" w:color="auto" w:fill="2AD2C9"/>
          </w:tcPr>
          <w:p>
            <w:pPr>
              <w:jc w:val="right"/>
              <w:ind w:right="451"/>
              <w:spacing w:after="0"/>
              <w:rPr>
                <w:sz w:val="20"/>
                <w:szCs w:val="20"/>
                <w:color w:val="auto"/>
              </w:rPr>
            </w:pPr>
            <w:r>
              <w:rPr>
                <w:rFonts w:ascii="Arial" w:cs="Arial" w:eastAsia="Arial" w:hAnsi="Arial"/>
                <w:sz w:val="10"/>
                <w:szCs w:val="10"/>
                <w:b w:val="1"/>
                <w:bCs w:val="1"/>
                <w:color w:val="FFFFFF"/>
              </w:rPr>
              <w:t>3Q23</w:t>
            </w:r>
          </w:p>
        </w:tc>
        <w:tc>
          <w:tcPr>
            <w:tcW w:w="760" w:type="dxa"/>
            <w:vAlign w:val="bottom"/>
            <w:tcBorders>
              <w:right w:val="single" w:sz="8" w:color="auto"/>
            </w:tcBorders>
            <w:vMerge w:val="restart"/>
            <w:shd w:val="clear" w:color="auto" w:fill="2AD2C9"/>
          </w:tcPr>
          <w:p>
            <w:pPr>
              <w:jc w:val="right"/>
              <w:ind w:right="311"/>
              <w:spacing w:after="0"/>
              <w:rPr>
                <w:sz w:val="20"/>
                <w:szCs w:val="20"/>
                <w:color w:val="auto"/>
              </w:rPr>
            </w:pPr>
            <w:r>
              <w:rPr>
                <w:rFonts w:ascii="Arial" w:cs="Arial" w:eastAsia="Arial" w:hAnsi="Arial"/>
                <w:sz w:val="10"/>
                <w:szCs w:val="10"/>
                <w:b w:val="1"/>
                <w:bCs w:val="1"/>
                <w:color w:val="FFFFFF"/>
              </w:rPr>
              <w:t>4Q23</w:t>
            </w:r>
          </w:p>
        </w:tc>
        <w:tc>
          <w:tcPr>
            <w:tcW w:w="780" w:type="dxa"/>
            <w:vAlign w:val="bottom"/>
            <w:vMerge w:val="restart"/>
            <w:shd w:val="clear" w:color="auto" w:fill="2AD2C9"/>
          </w:tcPr>
          <w:p>
            <w:pPr>
              <w:jc w:val="center"/>
              <w:spacing w:after="0"/>
              <w:rPr>
                <w:sz w:val="20"/>
                <w:szCs w:val="20"/>
                <w:color w:val="auto"/>
              </w:rPr>
            </w:pPr>
            <w:r>
              <w:rPr>
                <w:rFonts w:ascii="Arial" w:cs="Arial" w:eastAsia="Arial" w:hAnsi="Arial"/>
                <w:sz w:val="10"/>
                <w:szCs w:val="10"/>
                <w:b w:val="1"/>
                <w:bCs w:val="1"/>
                <w:color w:val="FFFFFF"/>
              </w:rPr>
              <w:t>QoQ</w:t>
            </w:r>
          </w:p>
        </w:tc>
        <w:tc>
          <w:tcPr>
            <w:tcW w:w="80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0"/>
                <w:szCs w:val="10"/>
                <w:b w:val="1"/>
                <w:bCs w:val="1"/>
                <w:color w:val="FFFFFF"/>
                <w:w w:val="92"/>
              </w:rPr>
              <w:t>YoY</w:t>
            </w:r>
          </w:p>
        </w:tc>
        <w:tc>
          <w:tcPr>
            <w:tcW w:w="1100" w:type="dxa"/>
            <w:vAlign w:val="bottom"/>
            <w:vMerge w:val="restart"/>
            <w:shd w:val="clear" w:color="auto" w:fill="2AD2C9"/>
          </w:tcPr>
          <w:p>
            <w:pPr>
              <w:jc w:val="right"/>
              <w:ind w:right="511"/>
              <w:spacing w:after="0"/>
              <w:rPr>
                <w:sz w:val="20"/>
                <w:szCs w:val="20"/>
                <w:color w:val="auto"/>
              </w:rPr>
            </w:pPr>
            <w:r>
              <w:rPr>
                <w:rFonts w:ascii="Arial" w:cs="Arial" w:eastAsia="Arial" w:hAnsi="Arial"/>
                <w:sz w:val="10"/>
                <w:szCs w:val="10"/>
                <w:b w:val="1"/>
                <w:bCs w:val="1"/>
                <w:color w:val="FFFFFF"/>
              </w:rPr>
              <w:t>2022</w:t>
            </w:r>
          </w:p>
        </w:tc>
        <w:tc>
          <w:tcPr>
            <w:tcW w:w="680" w:type="dxa"/>
            <w:vAlign w:val="bottom"/>
            <w:tcBorders>
              <w:right w:val="single" w:sz="8" w:color="auto"/>
            </w:tcBorders>
            <w:vMerge w:val="restart"/>
            <w:shd w:val="clear" w:color="auto" w:fill="2AD2C9"/>
          </w:tcPr>
          <w:p>
            <w:pPr>
              <w:jc w:val="right"/>
              <w:ind w:right="311"/>
              <w:spacing w:after="0"/>
              <w:rPr>
                <w:sz w:val="20"/>
                <w:szCs w:val="20"/>
                <w:color w:val="auto"/>
              </w:rPr>
            </w:pPr>
            <w:r>
              <w:rPr>
                <w:rFonts w:ascii="Arial" w:cs="Arial" w:eastAsia="Arial" w:hAnsi="Arial"/>
                <w:sz w:val="10"/>
                <w:szCs w:val="10"/>
                <w:b w:val="1"/>
                <w:bCs w:val="1"/>
                <w:color w:val="FFFFFF"/>
              </w:rPr>
              <w:t>2023</w:t>
            </w:r>
          </w:p>
        </w:tc>
        <w:tc>
          <w:tcPr>
            <w:tcW w:w="90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0"/>
                <w:szCs w:val="10"/>
                <w:b w:val="1"/>
                <w:bCs w:val="1"/>
                <w:color w:val="FFFFFF"/>
                <w:w w:val="98"/>
              </w:rPr>
              <w:t>2023 / 2022</w:t>
            </w:r>
          </w:p>
        </w:tc>
        <w:tc>
          <w:tcPr>
            <w:tcW w:w="0" w:type="dxa"/>
            <w:vAlign w:val="bottom"/>
          </w:tcPr>
          <w:p>
            <w:pPr>
              <w:spacing w:after="0"/>
              <w:rPr>
                <w:sz w:val="1"/>
                <w:szCs w:val="1"/>
                <w:color w:val="auto"/>
              </w:rPr>
            </w:pPr>
          </w:p>
        </w:tc>
      </w:tr>
      <w:tr>
        <w:trPr>
          <w:trHeight w:val="98"/>
        </w:trPr>
        <w:tc>
          <w:tcPr>
            <w:tcW w:w="2840" w:type="dxa"/>
            <w:vAlign w:val="bottom"/>
            <w:tcBorders>
              <w:left w:val="single" w:sz="8" w:color="auto"/>
              <w:bottom w:val="single" w:sz="8" w:color="auto"/>
            </w:tcBorders>
            <w:shd w:val="clear" w:color="auto" w:fill="2AD2C9"/>
          </w:tcPr>
          <w:p>
            <w:pPr>
              <w:spacing w:after="0"/>
              <w:rPr>
                <w:sz w:val="8"/>
                <w:szCs w:val="8"/>
                <w:color w:val="auto"/>
              </w:rPr>
            </w:pPr>
          </w:p>
        </w:tc>
        <w:tc>
          <w:tcPr>
            <w:tcW w:w="1460" w:type="dxa"/>
            <w:vAlign w:val="bottom"/>
            <w:tcBorders>
              <w:bottom w:val="single" w:sz="8" w:color="auto"/>
              <w:right w:val="single" w:sz="8" w:color="auto"/>
            </w:tcBorders>
            <w:shd w:val="clear" w:color="auto" w:fill="2AD2C9"/>
          </w:tcPr>
          <w:p>
            <w:pPr>
              <w:spacing w:after="0"/>
              <w:rPr>
                <w:sz w:val="8"/>
                <w:szCs w:val="8"/>
                <w:color w:val="auto"/>
              </w:rPr>
            </w:pPr>
          </w:p>
        </w:tc>
        <w:tc>
          <w:tcPr>
            <w:tcW w:w="1060" w:type="dxa"/>
            <w:vAlign w:val="bottom"/>
            <w:tcBorders>
              <w:bottom w:val="single" w:sz="8" w:color="auto"/>
            </w:tcBorders>
            <w:vMerge w:val="continue"/>
            <w:shd w:val="clear" w:color="auto" w:fill="2AD2C9"/>
          </w:tcPr>
          <w:p>
            <w:pPr>
              <w:spacing w:after="0"/>
              <w:rPr>
                <w:sz w:val="8"/>
                <w:szCs w:val="8"/>
                <w:color w:val="auto"/>
              </w:rPr>
            </w:pPr>
          </w:p>
        </w:tc>
        <w:tc>
          <w:tcPr>
            <w:tcW w:w="880" w:type="dxa"/>
            <w:vAlign w:val="bottom"/>
            <w:tcBorders>
              <w:bottom w:val="single" w:sz="8" w:color="auto"/>
            </w:tcBorders>
            <w:vMerge w:val="continue"/>
            <w:shd w:val="clear" w:color="auto" w:fill="2AD2C9"/>
          </w:tcPr>
          <w:p>
            <w:pPr>
              <w:spacing w:after="0"/>
              <w:rPr>
                <w:sz w:val="8"/>
                <w:szCs w:val="8"/>
                <w:color w:val="auto"/>
              </w:rPr>
            </w:pPr>
          </w:p>
        </w:tc>
        <w:tc>
          <w:tcPr>
            <w:tcW w:w="760" w:type="dxa"/>
            <w:vAlign w:val="bottom"/>
            <w:tcBorders>
              <w:bottom w:val="single" w:sz="8" w:color="auto"/>
              <w:right w:val="single" w:sz="8" w:color="auto"/>
            </w:tcBorders>
            <w:vMerge w:val="continue"/>
            <w:shd w:val="clear" w:color="auto" w:fill="2AD2C9"/>
          </w:tcPr>
          <w:p>
            <w:pPr>
              <w:spacing w:after="0"/>
              <w:rPr>
                <w:sz w:val="8"/>
                <w:szCs w:val="8"/>
                <w:color w:val="auto"/>
              </w:rPr>
            </w:pPr>
          </w:p>
        </w:tc>
        <w:tc>
          <w:tcPr>
            <w:tcW w:w="780" w:type="dxa"/>
            <w:vAlign w:val="bottom"/>
            <w:tcBorders>
              <w:bottom w:val="single" w:sz="8" w:color="auto"/>
            </w:tcBorders>
            <w:vMerge w:val="continue"/>
            <w:shd w:val="clear" w:color="auto" w:fill="2AD2C9"/>
          </w:tcPr>
          <w:p>
            <w:pPr>
              <w:spacing w:after="0"/>
              <w:rPr>
                <w:sz w:val="8"/>
                <w:szCs w:val="8"/>
                <w:color w:val="auto"/>
              </w:rPr>
            </w:pPr>
          </w:p>
        </w:tc>
        <w:tc>
          <w:tcPr>
            <w:tcW w:w="800" w:type="dxa"/>
            <w:vAlign w:val="bottom"/>
            <w:tcBorders>
              <w:bottom w:val="single" w:sz="8" w:color="auto"/>
              <w:right w:val="single" w:sz="8" w:color="auto"/>
            </w:tcBorders>
            <w:vMerge w:val="continue"/>
            <w:shd w:val="clear" w:color="auto" w:fill="2AD2C9"/>
          </w:tcPr>
          <w:p>
            <w:pPr>
              <w:spacing w:after="0"/>
              <w:rPr>
                <w:sz w:val="8"/>
                <w:szCs w:val="8"/>
                <w:color w:val="auto"/>
              </w:rPr>
            </w:pPr>
          </w:p>
        </w:tc>
        <w:tc>
          <w:tcPr>
            <w:tcW w:w="1100" w:type="dxa"/>
            <w:vAlign w:val="bottom"/>
            <w:tcBorders>
              <w:bottom w:val="single" w:sz="8" w:color="auto"/>
            </w:tcBorders>
            <w:vMerge w:val="continue"/>
            <w:shd w:val="clear" w:color="auto" w:fill="2AD2C9"/>
          </w:tcPr>
          <w:p>
            <w:pPr>
              <w:spacing w:after="0"/>
              <w:rPr>
                <w:sz w:val="8"/>
                <w:szCs w:val="8"/>
                <w:color w:val="auto"/>
              </w:rPr>
            </w:pPr>
          </w:p>
        </w:tc>
        <w:tc>
          <w:tcPr>
            <w:tcW w:w="680" w:type="dxa"/>
            <w:vAlign w:val="bottom"/>
            <w:tcBorders>
              <w:bottom w:val="single" w:sz="8" w:color="auto"/>
              <w:right w:val="single" w:sz="8" w:color="auto"/>
            </w:tcBorders>
            <w:vMerge w:val="continue"/>
            <w:shd w:val="clear" w:color="auto" w:fill="2AD2C9"/>
          </w:tcPr>
          <w:p>
            <w:pPr>
              <w:spacing w:after="0"/>
              <w:rPr>
                <w:sz w:val="8"/>
                <w:szCs w:val="8"/>
                <w:color w:val="auto"/>
              </w:rPr>
            </w:pPr>
          </w:p>
        </w:tc>
        <w:tc>
          <w:tcPr>
            <w:tcW w:w="900" w:type="dxa"/>
            <w:vAlign w:val="bottom"/>
            <w:tcBorders>
              <w:bottom w:val="single" w:sz="8" w:color="auto"/>
              <w:right w:val="single" w:sz="8" w:color="auto"/>
            </w:tcBorders>
            <w:vMerge w:val="continue"/>
            <w:shd w:val="clear" w:color="auto" w:fill="2AD2C9"/>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4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Net interest, similar income and expenses</w:t>
            </w:r>
          </w:p>
        </w:tc>
        <w:tc>
          <w:tcPr>
            <w:tcW w:w="1460" w:type="dxa"/>
            <w:vAlign w:val="bottom"/>
            <w:tcBorders>
              <w:right w:val="single" w:sz="8" w:color="auto"/>
            </w:tcBorders>
          </w:tcPr>
          <w:p>
            <w:pPr>
              <w:spacing w:after="0"/>
              <w:rPr>
                <w:sz w:val="10"/>
                <w:szCs w:val="10"/>
                <w:color w:val="auto"/>
              </w:rPr>
            </w:pPr>
          </w:p>
        </w:tc>
        <w:tc>
          <w:tcPr>
            <w:tcW w:w="1060" w:type="dxa"/>
            <w:vAlign w:val="bottom"/>
          </w:tcPr>
          <w:p>
            <w:pPr>
              <w:jc w:val="right"/>
              <w:ind w:right="171"/>
              <w:spacing w:after="0"/>
              <w:rPr>
                <w:sz w:val="20"/>
                <w:szCs w:val="20"/>
                <w:color w:val="auto"/>
              </w:rPr>
            </w:pPr>
            <w:r>
              <w:rPr>
                <w:rFonts w:ascii="Arial" w:cs="Arial" w:eastAsia="Arial" w:hAnsi="Arial"/>
                <w:sz w:val="10"/>
                <w:szCs w:val="10"/>
                <w:color w:val="auto"/>
              </w:rPr>
              <w:t>3,140,404</w:t>
            </w:r>
          </w:p>
        </w:tc>
        <w:tc>
          <w:tcPr>
            <w:tcW w:w="880" w:type="dxa"/>
            <w:vAlign w:val="bottom"/>
          </w:tcPr>
          <w:p>
            <w:pPr>
              <w:jc w:val="right"/>
              <w:ind w:right="151"/>
              <w:spacing w:after="0"/>
              <w:rPr>
                <w:sz w:val="20"/>
                <w:szCs w:val="20"/>
                <w:color w:val="auto"/>
              </w:rPr>
            </w:pPr>
            <w:r>
              <w:rPr>
                <w:rFonts w:ascii="Arial" w:cs="Arial" w:eastAsia="Arial" w:hAnsi="Arial"/>
                <w:sz w:val="10"/>
                <w:szCs w:val="10"/>
                <w:color w:val="auto"/>
              </w:rPr>
              <w:t>3,254,043</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3,347,684</w:t>
            </w:r>
          </w:p>
        </w:tc>
        <w:tc>
          <w:tcPr>
            <w:tcW w:w="780" w:type="dxa"/>
            <w:vAlign w:val="bottom"/>
          </w:tcPr>
          <w:p>
            <w:pPr>
              <w:jc w:val="center"/>
              <w:spacing w:after="0"/>
              <w:rPr>
                <w:sz w:val="20"/>
                <w:szCs w:val="20"/>
                <w:color w:val="auto"/>
              </w:rPr>
            </w:pPr>
            <w:r>
              <w:rPr>
                <w:rFonts w:ascii="Arial" w:cs="Arial" w:eastAsia="Arial" w:hAnsi="Arial"/>
                <w:sz w:val="10"/>
                <w:szCs w:val="10"/>
                <w:color w:val="auto"/>
                <w:w w:val="96"/>
              </w:rPr>
              <w:t>2.9%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6.6%</w:t>
            </w:r>
          </w:p>
        </w:tc>
        <w:tc>
          <w:tcPr>
            <w:tcW w:w="1100" w:type="dxa"/>
            <w:vAlign w:val="bottom"/>
          </w:tcPr>
          <w:p>
            <w:pPr>
              <w:jc w:val="right"/>
              <w:ind w:right="211"/>
              <w:spacing w:after="0"/>
              <w:rPr>
                <w:sz w:val="20"/>
                <w:szCs w:val="20"/>
                <w:color w:val="auto"/>
              </w:rPr>
            </w:pPr>
            <w:r>
              <w:rPr>
                <w:rFonts w:ascii="Arial" w:cs="Arial" w:eastAsia="Arial" w:hAnsi="Arial"/>
                <w:sz w:val="10"/>
                <w:szCs w:val="10"/>
                <w:color w:val="auto"/>
              </w:rPr>
              <w:t>11,091,618</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12,937,972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16.6%</w:t>
            </w: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Provision for credit losses on loan portfolio, net of recoveries</w:t>
            </w:r>
          </w:p>
        </w:tc>
        <w:tc>
          <w:tcPr>
            <w:tcW w:w="1460" w:type="dxa"/>
            <w:vAlign w:val="bottom"/>
            <w:tcBorders>
              <w:right w:val="single" w:sz="8" w:color="auto"/>
            </w:tcBorders>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0"/>
                <w:szCs w:val="10"/>
                <w:color w:val="auto"/>
              </w:rPr>
              <w:t>(730,681)</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(917,642)</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(1,173,454)</w:t>
            </w:r>
          </w:p>
        </w:tc>
        <w:tc>
          <w:tcPr>
            <w:tcW w:w="780" w:type="dxa"/>
            <w:vAlign w:val="bottom"/>
          </w:tcPr>
          <w:p>
            <w:pPr>
              <w:jc w:val="center"/>
              <w:spacing w:after="0"/>
              <w:rPr>
                <w:sz w:val="20"/>
                <w:szCs w:val="20"/>
                <w:color w:val="auto"/>
              </w:rPr>
            </w:pPr>
            <w:r>
              <w:rPr>
                <w:rFonts w:ascii="Arial" w:cs="Arial" w:eastAsia="Arial" w:hAnsi="Arial"/>
                <w:sz w:val="10"/>
                <w:szCs w:val="10"/>
                <w:color w:val="auto"/>
                <w:w w:val="98"/>
              </w:rPr>
              <w:t>27.9%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60.6%</w:t>
            </w:r>
          </w:p>
        </w:tc>
        <w:tc>
          <w:tcPr>
            <w:tcW w:w="1100" w:type="dxa"/>
            <w:vAlign w:val="bottom"/>
          </w:tcPr>
          <w:p>
            <w:pPr>
              <w:jc w:val="right"/>
              <w:ind w:right="171"/>
              <w:spacing w:after="0"/>
              <w:rPr>
                <w:sz w:val="20"/>
                <w:szCs w:val="20"/>
                <w:color w:val="auto"/>
              </w:rPr>
            </w:pPr>
            <w:r>
              <w:rPr>
                <w:rFonts w:ascii="Arial" w:cs="Arial" w:eastAsia="Arial" w:hAnsi="Arial"/>
                <w:sz w:val="10"/>
                <w:szCs w:val="10"/>
                <w:color w:val="auto"/>
              </w:rPr>
              <w:t>(1,811,538)</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(3,622,345)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100.0%</w:t>
            </w:r>
          </w:p>
        </w:tc>
        <w:tc>
          <w:tcPr>
            <w:tcW w:w="0" w:type="dxa"/>
            <w:vAlign w:val="bottom"/>
          </w:tcPr>
          <w:p>
            <w:pPr>
              <w:spacing w:after="0"/>
              <w:rPr>
                <w:sz w:val="1"/>
                <w:szCs w:val="1"/>
                <w:color w:val="auto"/>
              </w:rPr>
            </w:pPr>
          </w:p>
        </w:tc>
      </w:tr>
      <w:tr>
        <w:trPr>
          <w:trHeight w:val="201"/>
        </w:trPr>
        <w:tc>
          <w:tcPr>
            <w:tcW w:w="43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Net interest, similar income and expenses, after provision for credit losses on loan</w:t>
            </w:r>
          </w:p>
        </w:tc>
        <w:tc>
          <w:tcPr>
            <w:tcW w:w="1060" w:type="dxa"/>
            <w:vAlign w:val="bottom"/>
            <w:vMerge w:val="restart"/>
          </w:tcPr>
          <w:p>
            <w:pPr>
              <w:jc w:val="right"/>
              <w:ind w:right="171"/>
              <w:spacing w:after="0"/>
              <w:rPr>
                <w:sz w:val="20"/>
                <w:szCs w:val="20"/>
                <w:color w:val="auto"/>
              </w:rPr>
            </w:pPr>
            <w:r>
              <w:rPr>
                <w:rFonts w:ascii="Arial" w:cs="Arial" w:eastAsia="Arial" w:hAnsi="Arial"/>
                <w:sz w:val="10"/>
                <w:szCs w:val="10"/>
                <w:b w:val="1"/>
                <w:bCs w:val="1"/>
                <w:color w:val="auto"/>
              </w:rPr>
              <w:t>2,409,723</w:t>
            </w:r>
          </w:p>
        </w:tc>
        <w:tc>
          <w:tcPr>
            <w:tcW w:w="880" w:type="dxa"/>
            <w:vAlign w:val="bottom"/>
            <w:vMerge w:val="restart"/>
          </w:tcPr>
          <w:p>
            <w:pPr>
              <w:jc w:val="right"/>
              <w:ind w:right="151"/>
              <w:spacing w:after="0"/>
              <w:rPr>
                <w:sz w:val="20"/>
                <w:szCs w:val="20"/>
                <w:color w:val="auto"/>
              </w:rPr>
            </w:pPr>
            <w:r>
              <w:rPr>
                <w:rFonts w:ascii="Arial" w:cs="Arial" w:eastAsia="Arial" w:hAnsi="Arial"/>
                <w:sz w:val="10"/>
                <w:szCs w:val="10"/>
                <w:b w:val="1"/>
                <w:bCs w:val="1"/>
                <w:color w:val="auto"/>
              </w:rPr>
              <w:t>2,336,401</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rPr>
              <w:t>2,174,230</w:t>
            </w:r>
          </w:p>
        </w:tc>
        <w:tc>
          <w:tcPr>
            <w:tcW w:w="7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-6.9%</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9"/>
              </w:rPr>
              <w:t>-9.8%</w:t>
            </w:r>
          </w:p>
        </w:tc>
        <w:tc>
          <w:tcPr>
            <w:tcW w:w="1100" w:type="dxa"/>
            <w:vAlign w:val="bottom"/>
            <w:vMerge w:val="restart"/>
          </w:tcPr>
          <w:p>
            <w:pPr>
              <w:jc w:val="right"/>
              <w:ind w:right="211"/>
              <w:spacing w:after="0"/>
              <w:rPr>
                <w:sz w:val="20"/>
                <w:szCs w:val="20"/>
                <w:color w:val="auto"/>
              </w:rPr>
            </w:pPr>
            <w:r>
              <w:rPr>
                <w:rFonts w:ascii="Arial" w:cs="Arial" w:eastAsia="Arial" w:hAnsi="Arial"/>
                <w:sz w:val="10"/>
                <w:szCs w:val="10"/>
                <w:b w:val="1"/>
                <w:bCs w:val="1"/>
                <w:color w:val="auto"/>
              </w:rPr>
              <w:t>9,280,080</w:t>
            </w: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rPr>
              <w:t>9,315,627</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rPr>
              <w:t>0.4%</w:t>
            </w:r>
          </w:p>
        </w:tc>
        <w:tc>
          <w:tcPr>
            <w:tcW w:w="0" w:type="dxa"/>
            <w:vAlign w:val="bottom"/>
          </w:tcPr>
          <w:p>
            <w:pPr>
              <w:spacing w:after="0"/>
              <w:rPr>
                <w:sz w:val="1"/>
                <w:szCs w:val="1"/>
                <w:color w:val="auto"/>
              </w:rPr>
            </w:pPr>
          </w:p>
        </w:tc>
      </w:tr>
      <w:tr>
        <w:trPr>
          <w:trHeight w:val="73"/>
        </w:trPr>
        <w:tc>
          <w:tcPr>
            <w:tcW w:w="2840" w:type="dxa"/>
            <w:vAlign w:val="bottom"/>
            <w:tcBorders>
              <w:left w:val="single" w:sz="8" w:color="auto"/>
            </w:tcBorders>
            <w:vMerge w:val="restart"/>
          </w:tcPr>
          <w:p>
            <w:pPr>
              <w:ind w:left="180"/>
              <w:spacing w:after="0"/>
              <w:rPr>
                <w:sz w:val="20"/>
                <w:szCs w:val="20"/>
                <w:color w:val="auto"/>
              </w:rPr>
            </w:pPr>
            <w:r>
              <w:rPr>
                <w:rFonts w:ascii="Arial" w:cs="Arial" w:eastAsia="Arial" w:hAnsi="Arial"/>
                <w:sz w:val="10"/>
                <w:szCs w:val="10"/>
                <w:b w:val="1"/>
                <w:bCs w:val="1"/>
                <w:color w:val="auto"/>
              </w:rPr>
              <w:t>portfolio</w:t>
            </w:r>
          </w:p>
        </w:tc>
        <w:tc>
          <w:tcPr>
            <w:tcW w:w="1460" w:type="dxa"/>
            <w:vAlign w:val="bottom"/>
            <w:tcBorders>
              <w:right w:val="single" w:sz="8" w:color="auto"/>
            </w:tcBorders>
          </w:tcPr>
          <w:p>
            <w:pPr>
              <w:spacing w:after="0"/>
              <w:rPr>
                <w:sz w:val="6"/>
                <w:szCs w:val="6"/>
                <w:color w:val="auto"/>
              </w:rPr>
            </w:pPr>
          </w:p>
        </w:tc>
        <w:tc>
          <w:tcPr>
            <w:tcW w:w="10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840" w:type="dxa"/>
            <w:vAlign w:val="bottom"/>
            <w:tcBorders>
              <w:lef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0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84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Total other income</w:t>
            </w:r>
          </w:p>
        </w:tc>
        <w:tc>
          <w:tcPr>
            <w:tcW w:w="1460" w:type="dxa"/>
            <w:vAlign w:val="bottom"/>
            <w:tcBorders>
              <w:right w:val="single" w:sz="8" w:color="auto"/>
            </w:tcBorders>
          </w:tcPr>
          <w:p>
            <w:pPr>
              <w:spacing w:after="0"/>
              <w:rPr>
                <w:sz w:val="17"/>
                <w:szCs w:val="17"/>
                <w:color w:val="auto"/>
              </w:rPr>
            </w:pPr>
          </w:p>
        </w:tc>
        <w:tc>
          <w:tcPr>
            <w:tcW w:w="1060" w:type="dxa"/>
            <w:vAlign w:val="bottom"/>
          </w:tcPr>
          <w:p>
            <w:pPr>
              <w:jc w:val="right"/>
              <w:ind w:right="171"/>
              <w:spacing w:after="0"/>
              <w:rPr>
                <w:sz w:val="20"/>
                <w:szCs w:val="20"/>
                <w:color w:val="auto"/>
              </w:rPr>
            </w:pPr>
            <w:r>
              <w:rPr>
                <w:rFonts w:ascii="Arial" w:cs="Arial" w:eastAsia="Arial" w:hAnsi="Arial"/>
                <w:sz w:val="10"/>
                <w:szCs w:val="10"/>
                <w:color w:val="auto"/>
              </w:rPr>
              <w:t>1,327,862</w:t>
            </w:r>
          </w:p>
        </w:tc>
        <w:tc>
          <w:tcPr>
            <w:tcW w:w="880" w:type="dxa"/>
            <w:vAlign w:val="bottom"/>
          </w:tcPr>
          <w:p>
            <w:pPr>
              <w:jc w:val="right"/>
              <w:ind w:right="151"/>
              <w:spacing w:after="0"/>
              <w:rPr>
                <w:sz w:val="20"/>
                <w:szCs w:val="20"/>
                <w:color w:val="auto"/>
              </w:rPr>
            </w:pPr>
            <w:r>
              <w:rPr>
                <w:rFonts w:ascii="Arial" w:cs="Arial" w:eastAsia="Arial" w:hAnsi="Arial"/>
                <w:sz w:val="10"/>
                <w:szCs w:val="10"/>
                <w:color w:val="auto"/>
              </w:rPr>
              <w:t>1,402,603</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1,486,823</w:t>
            </w:r>
          </w:p>
        </w:tc>
        <w:tc>
          <w:tcPr>
            <w:tcW w:w="780" w:type="dxa"/>
            <w:vAlign w:val="bottom"/>
          </w:tcPr>
          <w:p>
            <w:pPr>
              <w:jc w:val="center"/>
              <w:spacing w:after="0"/>
              <w:rPr>
                <w:sz w:val="20"/>
                <w:szCs w:val="20"/>
                <w:color w:val="auto"/>
              </w:rPr>
            </w:pPr>
            <w:r>
              <w:rPr>
                <w:rFonts w:ascii="Arial" w:cs="Arial" w:eastAsia="Arial" w:hAnsi="Arial"/>
                <w:sz w:val="10"/>
                <w:szCs w:val="10"/>
                <w:color w:val="auto"/>
                <w:w w:val="96"/>
              </w:rPr>
              <w:t>6.0%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12.0%</w:t>
            </w:r>
          </w:p>
        </w:tc>
        <w:tc>
          <w:tcPr>
            <w:tcW w:w="1100" w:type="dxa"/>
            <w:vAlign w:val="bottom"/>
          </w:tcPr>
          <w:p>
            <w:pPr>
              <w:jc w:val="right"/>
              <w:ind w:right="211"/>
              <w:spacing w:after="0"/>
              <w:rPr>
                <w:sz w:val="20"/>
                <w:szCs w:val="20"/>
                <w:color w:val="auto"/>
              </w:rPr>
            </w:pPr>
            <w:r>
              <w:rPr>
                <w:rFonts w:ascii="Arial" w:cs="Arial" w:eastAsia="Arial" w:hAnsi="Arial"/>
                <w:sz w:val="10"/>
                <w:szCs w:val="10"/>
                <w:color w:val="auto"/>
              </w:rPr>
              <w:t>5,066,096</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5,655,825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11.6%</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10"/>
                <w:szCs w:val="10"/>
                <w:color w:val="auto"/>
              </w:rPr>
              <w:t>Insurance underwriting result</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71"/>
              <w:spacing w:after="0" w:line="110" w:lineRule="exact"/>
              <w:rPr>
                <w:sz w:val="20"/>
                <w:szCs w:val="20"/>
                <w:color w:val="auto"/>
              </w:rPr>
            </w:pPr>
            <w:r>
              <w:rPr>
                <w:rFonts w:ascii="Arial" w:cs="Arial" w:eastAsia="Arial" w:hAnsi="Arial"/>
                <w:sz w:val="10"/>
                <w:szCs w:val="10"/>
                <w:color w:val="auto"/>
              </w:rPr>
              <w:t>136,824</w:t>
            </w:r>
          </w:p>
        </w:tc>
        <w:tc>
          <w:tcPr>
            <w:tcW w:w="880" w:type="dxa"/>
            <w:vAlign w:val="bottom"/>
          </w:tcPr>
          <w:p>
            <w:pPr>
              <w:jc w:val="right"/>
              <w:ind w:right="151"/>
              <w:spacing w:after="0" w:line="110" w:lineRule="exact"/>
              <w:rPr>
                <w:sz w:val="20"/>
                <w:szCs w:val="20"/>
                <w:color w:val="auto"/>
              </w:rPr>
            </w:pPr>
            <w:r>
              <w:rPr>
                <w:rFonts w:ascii="Arial" w:cs="Arial" w:eastAsia="Arial" w:hAnsi="Arial"/>
                <w:sz w:val="10"/>
                <w:szCs w:val="10"/>
                <w:color w:val="auto"/>
              </w:rPr>
              <w:t>330,900</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287,295</w:t>
            </w:r>
          </w:p>
        </w:tc>
        <w:tc>
          <w:tcPr>
            <w:tcW w:w="780" w:type="dxa"/>
            <w:vAlign w:val="bottom"/>
          </w:tcPr>
          <w:p>
            <w:pPr>
              <w:jc w:val="center"/>
              <w:spacing w:after="0" w:line="110" w:lineRule="exact"/>
              <w:rPr>
                <w:sz w:val="20"/>
                <w:szCs w:val="20"/>
                <w:color w:val="auto"/>
              </w:rPr>
            </w:pPr>
            <w:r>
              <w:rPr>
                <w:rFonts w:ascii="Arial" w:cs="Arial" w:eastAsia="Arial" w:hAnsi="Arial"/>
                <w:sz w:val="10"/>
                <w:szCs w:val="10"/>
                <w:color w:val="auto"/>
                <w:w w:val="94"/>
              </w:rPr>
              <w:t>-13.2%</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4"/>
              </w:rPr>
              <w:t>110.0%</w:t>
            </w:r>
          </w:p>
        </w:tc>
        <w:tc>
          <w:tcPr>
            <w:tcW w:w="1100" w:type="dxa"/>
            <w:vAlign w:val="bottom"/>
          </w:tcPr>
          <w:p>
            <w:pPr>
              <w:jc w:val="right"/>
              <w:ind w:right="211"/>
              <w:spacing w:after="0" w:line="110" w:lineRule="exact"/>
              <w:rPr>
                <w:sz w:val="20"/>
                <w:szCs w:val="20"/>
                <w:color w:val="auto"/>
              </w:rPr>
            </w:pPr>
            <w:r>
              <w:rPr>
                <w:rFonts w:ascii="Arial" w:cs="Arial" w:eastAsia="Arial" w:hAnsi="Arial"/>
                <w:sz w:val="10"/>
                <w:szCs w:val="10"/>
                <w:color w:val="auto"/>
              </w:rPr>
              <w:t>841,448</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1,211,100</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8"/>
              </w:rPr>
              <w:t>43.9%</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tcBorders>
          </w:tcPr>
          <w:p>
            <w:pPr>
              <w:ind w:left="100"/>
              <w:spacing w:after="0" w:line="108" w:lineRule="exact"/>
              <w:rPr>
                <w:sz w:val="20"/>
                <w:szCs w:val="20"/>
                <w:color w:val="auto"/>
              </w:rPr>
            </w:pPr>
            <w:r>
              <w:rPr>
                <w:rFonts w:ascii="Arial" w:cs="Arial" w:eastAsia="Arial" w:hAnsi="Arial"/>
                <w:sz w:val="10"/>
                <w:szCs w:val="10"/>
                <w:color w:val="auto"/>
              </w:rPr>
              <w:t>Total other expenses</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31"/>
              <w:spacing w:after="0" w:line="108" w:lineRule="exact"/>
              <w:rPr>
                <w:sz w:val="20"/>
                <w:szCs w:val="20"/>
                <w:color w:val="auto"/>
              </w:rPr>
            </w:pPr>
            <w:r>
              <w:rPr>
                <w:rFonts w:ascii="Arial" w:cs="Arial" w:eastAsia="Arial" w:hAnsi="Arial"/>
                <w:sz w:val="10"/>
                <w:szCs w:val="10"/>
                <w:color w:val="auto"/>
              </w:rPr>
              <w:t>(2,363,787)</w:t>
            </w:r>
          </w:p>
        </w:tc>
        <w:tc>
          <w:tcPr>
            <w:tcW w:w="880" w:type="dxa"/>
            <w:vAlign w:val="bottom"/>
          </w:tcPr>
          <w:p>
            <w:pPr>
              <w:jc w:val="right"/>
              <w:ind w:right="111"/>
              <w:spacing w:after="0" w:line="108" w:lineRule="exact"/>
              <w:rPr>
                <w:sz w:val="20"/>
                <w:szCs w:val="20"/>
                <w:color w:val="auto"/>
              </w:rPr>
            </w:pPr>
            <w:r>
              <w:rPr>
                <w:rFonts w:ascii="Arial" w:cs="Arial" w:eastAsia="Arial" w:hAnsi="Arial"/>
                <w:sz w:val="10"/>
                <w:szCs w:val="10"/>
                <w:color w:val="auto"/>
              </w:rPr>
              <w:t>(2,350,469)</w:t>
            </w:r>
          </w:p>
        </w:tc>
        <w:tc>
          <w:tcPr>
            <w:tcW w:w="760" w:type="dxa"/>
            <w:vAlign w:val="bottom"/>
            <w:tcBorders>
              <w:right w:val="single" w:sz="8" w:color="auto"/>
            </w:tcBorders>
          </w:tcPr>
          <w:p>
            <w:pPr>
              <w:jc w:val="right"/>
              <w:spacing w:after="0" w:line="108" w:lineRule="exact"/>
              <w:rPr>
                <w:sz w:val="20"/>
                <w:szCs w:val="20"/>
                <w:color w:val="auto"/>
              </w:rPr>
            </w:pPr>
            <w:r>
              <w:rPr>
                <w:rFonts w:ascii="Arial" w:cs="Arial" w:eastAsia="Arial" w:hAnsi="Arial"/>
                <w:sz w:val="10"/>
                <w:szCs w:val="10"/>
                <w:color w:val="auto"/>
              </w:rPr>
              <w:t>(2,661,542)</w:t>
            </w:r>
          </w:p>
        </w:tc>
        <w:tc>
          <w:tcPr>
            <w:tcW w:w="780" w:type="dxa"/>
            <w:vAlign w:val="bottom"/>
          </w:tcPr>
          <w:p>
            <w:pPr>
              <w:jc w:val="center"/>
              <w:spacing w:after="0" w:line="108" w:lineRule="exact"/>
              <w:rPr>
                <w:sz w:val="20"/>
                <w:szCs w:val="20"/>
                <w:color w:val="auto"/>
              </w:rPr>
            </w:pPr>
            <w:r>
              <w:rPr>
                <w:rFonts w:ascii="Arial" w:cs="Arial" w:eastAsia="Arial" w:hAnsi="Arial"/>
                <w:sz w:val="10"/>
                <w:szCs w:val="10"/>
                <w:color w:val="auto"/>
                <w:w w:val="98"/>
              </w:rPr>
              <w:t>13.2%</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color w:val="auto"/>
                <w:w w:val="98"/>
              </w:rPr>
              <w:t>12.6%</w:t>
            </w:r>
          </w:p>
        </w:tc>
        <w:tc>
          <w:tcPr>
            <w:tcW w:w="1100" w:type="dxa"/>
            <w:vAlign w:val="bottom"/>
          </w:tcPr>
          <w:p>
            <w:pPr>
              <w:jc w:val="right"/>
              <w:ind w:right="171"/>
              <w:spacing w:after="0" w:line="108" w:lineRule="exact"/>
              <w:rPr>
                <w:sz w:val="20"/>
                <w:szCs w:val="20"/>
                <w:color w:val="auto"/>
              </w:rPr>
            </w:pPr>
            <w:r>
              <w:rPr>
                <w:rFonts w:ascii="Arial" w:cs="Arial" w:eastAsia="Arial" w:hAnsi="Arial"/>
                <w:sz w:val="10"/>
                <w:szCs w:val="10"/>
                <w:color w:val="auto"/>
              </w:rPr>
              <w:t>(8,317,013)</w:t>
            </w:r>
          </w:p>
        </w:tc>
        <w:tc>
          <w:tcPr>
            <w:tcW w:w="680" w:type="dxa"/>
            <w:vAlign w:val="bottom"/>
            <w:tcBorders>
              <w:right w:val="single" w:sz="8" w:color="auto"/>
            </w:tcBorders>
          </w:tcPr>
          <w:p>
            <w:pPr>
              <w:jc w:val="right"/>
              <w:spacing w:after="0" w:line="108" w:lineRule="exact"/>
              <w:rPr>
                <w:sz w:val="20"/>
                <w:szCs w:val="20"/>
                <w:color w:val="auto"/>
              </w:rPr>
            </w:pPr>
            <w:r>
              <w:rPr>
                <w:rFonts w:ascii="Arial" w:cs="Arial" w:eastAsia="Arial" w:hAnsi="Arial"/>
                <w:sz w:val="10"/>
                <w:szCs w:val="10"/>
                <w:color w:val="auto"/>
              </w:rPr>
              <w:t>(9,334,223)</w:t>
            </w:r>
          </w:p>
        </w:tc>
        <w:tc>
          <w:tcPr>
            <w:tcW w:w="9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color w:val="auto"/>
                <w:w w:val="98"/>
              </w:rPr>
              <w:t>12.2%</w:t>
            </w:r>
          </w:p>
        </w:tc>
        <w:tc>
          <w:tcPr>
            <w:tcW w:w="0" w:type="dxa"/>
            <w:vAlign w:val="bottom"/>
          </w:tcPr>
          <w:p>
            <w:pPr>
              <w:spacing w:after="0"/>
              <w:rPr>
                <w:sz w:val="1"/>
                <w:szCs w:val="1"/>
                <w:color w:val="auto"/>
              </w:rPr>
            </w:pPr>
          </w:p>
        </w:tc>
      </w:tr>
      <w:tr>
        <w:trPr>
          <w:trHeight w:val="112"/>
        </w:trPr>
        <w:tc>
          <w:tcPr>
            <w:tcW w:w="2840" w:type="dxa"/>
            <w:vAlign w:val="bottom"/>
            <w:tcBorders>
              <w:left w:val="single" w:sz="8" w:color="auto"/>
            </w:tcBorders>
          </w:tcPr>
          <w:p>
            <w:pPr>
              <w:ind w:left="100"/>
              <w:spacing w:after="0" w:line="112" w:lineRule="exact"/>
              <w:rPr>
                <w:sz w:val="20"/>
                <w:szCs w:val="20"/>
                <w:color w:val="auto"/>
              </w:rPr>
            </w:pPr>
            <w:r>
              <w:rPr>
                <w:rFonts w:ascii="Arial" w:cs="Arial" w:eastAsia="Arial" w:hAnsi="Arial"/>
                <w:sz w:val="10"/>
                <w:szCs w:val="10"/>
                <w:b w:val="1"/>
                <w:bCs w:val="1"/>
                <w:color w:val="auto"/>
              </w:rPr>
              <w:t>Profit before income tax</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71"/>
              <w:spacing w:after="0" w:line="112" w:lineRule="exact"/>
              <w:rPr>
                <w:sz w:val="20"/>
                <w:szCs w:val="20"/>
                <w:color w:val="auto"/>
              </w:rPr>
            </w:pPr>
            <w:r>
              <w:rPr>
                <w:rFonts w:ascii="Arial" w:cs="Arial" w:eastAsia="Arial" w:hAnsi="Arial"/>
                <w:sz w:val="10"/>
                <w:szCs w:val="10"/>
                <w:b w:val="1"/>
                <w:bCs w:val="1"/>
                <w:color w:val="auto"/>
              </w:rPr>
              <w:t>1,510,622</w:t>
            </w:r>
          </w:p>
        </w:tc>
        <w:tc>
          <w:tcPr>
            <w:tcW w:w="880" w:type="dxa"/>
            <w:vAlign w:val="bottom"/>
          </w:tcPr>
          <w:p>
            <w:pPr>
              <w:jc w:val="right"/>
              <w:ind w:right="151"/>
              <w:spacing w:after="0" w:line="112" w:lineRule="exact"/>
              <w:rPr>
                <w:sz w:val="20"/>
                <w:szCs w:val="20"/>
                <w:color w:val="auto"/>
              </w:rPr>
            </w:pPr>
            <w:r>
              <w:rPr>
                <w:rFonts w:ascii="Arial" w:cs="Arial" w:eastAsia="Arial" w:hAnsi="Arial"/>
                <w:sz w:val="10"/>
                <w:szCs w:val="10"/>
                <w:b w:val="1"/>
                <w:bCs w:val="1"/>
                <w:color w:val="auto"/>
              </w:rPr>
              <w:t>1,719,435</w:t>
            </w:r>
          </w:p>
        </w:tc>
        <w:tc>
          <w:tcPr>
            <w:tcW w:w="76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1,286,806</w:t>
            </w:r>
          </w:p>
        </w:tc>
        <w:tc>
          <w:tcPr>
            <w:tcW w:w="7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4"/>
              </w:rPr>
              <w:t>-25.2%</w:t>
            </w:r>
          </w:p>
        </w:tc>
        <w:tc>
          <w:tcPr>
            <w:tcW w:w="8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4"/>
              </w:rPr>
              <w:t>-14.8%</w:t>
            </w:r>
          </w:p>
        </w:tc>
        <w:tc>
          <w:tcPr>
            <w:tcW w:w="1100" w:type="dxa"/>
            <w:vAlign w:val="bottom"/>
          </w:tcPr>
          <w:p>
            <w:pPr>
              <w:jc w:val="right"/>
              <w:ind w:right="211"/>
              <w:spacing w:after="0" w:line="112" w:lineRule="exact"/>
              <w:rPr>
                <w:sz w:val="20"/>
                <w:szCs w:val="20"/>
                <w:color w:val="auto"/>
              </w:rPr>
            </w:pPr>
            <w:r>
              <w:rPr>
                <w:rFonts w:ascii="Arial" w:cs="Arial" w:eastAsia="Arial" w:hAnsi="Arial"/>
                <w:sz w:val="10"/>
                <w:szCs w:val="10"/>
                <w:b w:val="1"/>
                <w:bCs w:val="1"/>
                <w:color w:val="auto"/>
              </w:rPr>
              <w:t>6,870,611</w:t>
            </w:r>
          </w:p>
        </w:tc>
        <w:tc>
          <w:tcPr>
            <w:tcW w:w="68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6,848,329</w:t>
            </w:r>
          </w:p>
        </w:tc>
        <w:tc>
          <w:tcPr>
            <w:tcW w:w="9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1"/>
              </w:rPr>
              <w:t>-0.3%</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tcBorders>
          </w:tcPr>
          <w:p>
            <w:pPr>
              <w:ind w:left="100"/>
              <w:spacing w:after="0" w:line="108" w:lineRule="exact"/>
              <w:rPr>
                <w:sz w:val="20"/>
                <w:szCs w:val="20"/>
                <w:color w:val="auto"/>
              </w:rPr>
            </w:pPr>
            <w:r>
              <w:rPr>
                <w:rFonts w:ascii="Arial" w:cs="Arial" w:eastAsia="Arial" w:hAnsi="Arial"/>
                <w:sz w:val="10"/>
                <w:szCs w:val="10"/>
                <w:color w:val="auto"/>
              </w:rPr>
              <w:t>Income tax</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31"/>
              <w:spacing w:after="0" w:line="108" w:lineRule="exact"/>
              <w:rPr>
                <w:sz w:val="20"/>
                <w:szCs w:val="20"/>
                <w:color w:val="auto"/>
              </w:rPr>
            </w:pPr>
            <w:r>
              <w:rPr>
                <w:rFonts w:ascii="Arial" w:cs="Arial" w:eastAsia="Arial" w:hAnsi="Arial"/>
                <w:sz w:val="10"/>
                <w:szCs w:val="10"/>
                <w:color w:val="auto"/>
              </w:rPr>
              <w:t>(476,236)</w:t>
            </w:r>
          </w:p>
        </w:tc>
        <w:tc>
          <w:tcPr>
            <w:tcW w:w="880" w:type="dxa"/>
            <w:vAlign w:val="bottom"/>
          </w:tcPr>
          <w:p>
            <w:pPr>
              <w:jc w:val="right"/>
              <w:ind w:right="111"/>
              <w:spacing w:after="0" w:line="108" w:lineRule="exact"/>
              <w:rPr>
                <w:sz w:val="20"/>
                <w:szCs w:val="20"/>
                <w:color w:val="auto"/>
              </w:rPr>
            </w:pPr>
            <w:r>
              <w:rPr>
                <w:rFonts w:ascii="Arial" w:cs="Arial" w:eastAsia="Arial" w:hAnsi="Arial"/>
                <w:sz w:val="10"/>
                <w:szCs w:val="10"/>
                <w:color w:val="auto"/>
              </w:rPr>
              <w:t>(455,865)</w:t>
            </w:r>
          </w:p>
        </w:tc>
        <w:tc>
          <w:tcPr>
            <w:tcW w:w="760" w:type="dxa"/>
            <w:vAlign w:val="bottom"/>
            <w:tcBorders>
              <w:right w:val="single" w:sz="8" w:color="auto"/>
            </w:tcBorders>
          </w:tcPr>
          <w:p>
            <w:pPr>
              <w:jc w:val="right"/>
              <w:spacing w:after="0" w:line="108" w:lineRule="exact"/>
              <w:rPr>
                <w:sz w:val="20"/>
                <w:szCs w:val="20"/>
                <w:color w:val="auto"/>
              </w:rPr>
            </w:pPr>
            <w:r>
              <w:rPr>
                <w:rFonts w:ascii="Arial" w:cs="Arial" w:eastAsia="Arial" w:hAnsi="Arial"/>
                <w:sz w:val="10"/>
                <w:szCs w:val="10"/>
                <w:color w:val="auto"/>
              </w:rPr>
              <w:t>(434,648)</w:t>
            </w:r>
          </w:p>
        </w:tc>
        <w:tc>
          <w:tcPr>
            <w:tcW w:w="780" w:type="dxa"/>
            <w:vAlign w:val="bottom"/>
          </w:tcPr>
          <w:p>
            <w:pPr>
              <w:jc w:val="center"/>
              <w:spacing w:after="0" w:line="108" w:lineRule="exact"/>
              <w:rPr>
                <w:sz w:val="20"/>
                <w:szCs w:val="20"/>
                <w:color w:val="auto"/>
              </w:rPr>
            </w:pPr>
            <w:r>
              <w:rPr>
                <w:rFonts w:ascii="Arial" w:cs="Arial" w:eastAsia="Arial" w:hAnsi="Arial"/>
                <w:sz w:val="10"/>
                <w:szCs w:val="10"/>
                <w:color w:val="auto"/>
                <w:w w:val="99"/>
              </w:rPr>
              <w:t>-4.7%</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color w:val="auto"/>
                <w:w w:val="99"/>
              </w:rPr>
              <w:t>-8.7%</w:t>
            </w:r>
          </w:p>
        </w:tc>
        <w:tc>
          <w:tcPr>
            <w:tcW w:w="1100" w:type="dxa"/>
            <w:vAlign w:val="bottom"/>
          </w:tcPr>
          <w:p>
            <w:pPr>
              <w:jc w:val="right"/>
              <w:ind w:right="171"/>
              <w:spacing w:after="0" w:line="108" w:lineRule="exact"/>
              <w:rPr>
                <w:sz w:val="20"/>
                <w:szCs w:val="20"/>
                <w:color w:val="auto"/>
              </w:rPr>
            </w:pPr>
            <w:r>
              <w:rPr>
                <w:rFonts w:ascii="Arial" w:cs="Arial" w:eastAsia="Arial" w:hAnsi="Arial"/>
                <w:sz w:val="10"/>
                <w:szCs w:val="10"/>
                <w:color w:val="auto"/>
              </w:rPr>
              <w:t>(2,110,501)</w:t>
            </w:r>
          </w:p>
        </w:tc>
        <w:tc>
          <w:tcPr>
            <w:tcW w:w="680" w:type="dxa"/>
            <w:vAlign w:val="bottom"/>
            <w:tcBorders>
              <w:right w:val="single" w:sz="8" w:color="auto"/>
            </w:tcBorders>
          </w:tcPr>
          <w:p>
            <w:pPr>
              <w:jc w:val="right"/>
              <w:spacing w:after="0" w:line="108" w:lineRule="exact"/>
              <w:rPr>
                <w:sz w:val="20"/>
                <w:szCs w:val="20"/>
                <w:color w:val="auto"/>
              </w:rPr>
            </w:pPr>
            <w:r>
              <w:rPr>
                <w:rFonts w:ascii="Arial" w:cs="Arial" w:eastAsia="Arial" w:hAnsi="Arial"/>
                <w:sz w:val="10"/>
                <w:szCs w:val="10"/>
                <w:color w:val="auto"/>
              </w:rPr>
              <w:t>(1,888,451)</w:t>
            </w:r>
          </w:p>
        </w:tc>
        <w:tc>
          <w:tcPr>
            <w:tcW w:w="9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color w:val="auto"/>
              </w:rPr>
              <w:t>-10.5%</w:t>
            </w:r>
          </w:p>
        </w:tc>
        <w:tc>
          <w:tcPr>
            <w:tcW w:w="0" w:type="dxa"/>
            <w:vAlign w:val="bottom"/>
          </w:tcPr>
          <w:p>
            <w:pPr>
              <w:spacing w:after="0"/>
              <w:rPr>
                <w:sz w:val="1"/>
                <w:szCs w:val="1"/>
                <w:color w:val="auto"/>
              </w:rPr>
            </w:pPr>
          </w:p>
        </w:tc>
      </w:tr>
      <w:tr>
        <w:trPr>
          <w:trHeight w:val="112"/>
        </w:trPr>
        <w:tc>
          <w:tcPr>
            <w:tcW w:w="2840" w:type="dxa"/>
            <w:vAlign w:val="bottom"/>
            <w:tcBorders>
              <w:left w:val="single" w:sz="8" w:color="auto"/>
            </w:tcBorders>
          </w:tcPr>
          <w:p>
            <w:pPr>
              <w:ind w:left="100"/>
              <w:spacing w:after="0" w:line="112" w:lineRule="exact"/>
              <w:rPr>
                <w:sz w:val="20"/>
                <w:szCs w:val="20"/>
                <w:color w:val="auto"/>
              </w:rPr>
            </w:pPr>
            <w:r>
              <w:rPr>
                <w:rFonts w:ascii="Arial" w:cs="Arial" w:eastAsia="Arial" w:hAnsi="Arial"/>
                <w:sz w:val="10"/>
                <w:szCs w:val="10"/>
                <w:b w:val="1"/>
                <w:bCs w:val="1"/>
                <w:color w:val="auto"/>
              </w:rPr>
              <w:t>Net profit</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71"/>
              <w:spacing w:after="0" w:line="112" w:lineRule="exact"/>
              <w:rPr>
                <w:sz w:val="20"/>
                <w:szCs w:val="20"/>
                <w:color w:val="auto"/>
              </w:rPr>
            </w:pPr>
            <w:r>
              <w:rPr>
                <w:rFonts w:ascii="Arial" w:cs="Arial" w:eastAsia="Arial" w:hAnsi="Arial"/>
                <w:sz w:val="10"/>
                <w:szCs w:val="10"/>
                <w:b w:val="1"/>
                <w:bCs w:val="1"/>
                <w:color w:val="auto"/>
              </w:rPr>
              <w:t>1,034,386</w:t>
            </w:r>
          </w:p>
        </w:tc>
        <w:tc>
          <w:tcPr>
            <w:tcW w:w="880" w:type="dxa"/>
            <w:vAlign w:val="bottom"/>
          </w:tcPr>
          <w:p>
            <w:pPr>
              <w:jc w:val="right"/>
              <w:ind w:right="151"/>
              <w:spacing w:after="0" w:line="112" w:lineRule="exact"/>
              <w:rPr>
                <w:sz w:val="20"/>
                <w:szCs w:val="20"/>
                <w:color w:val="auto"/>
              </w:rPr>
            </w:pPr>
            <w:r>
              <w:rPr>
                <w:rFonts w:ascii="Arial" w:cs="Arial" w:eastAsia="Arial" w:hAnsi="Arial"/>
                <w:sz w:val="10"/>
                <w:szCs w:val="10"/>
                <w:b w:val="1"/>
                <w:bCs w:val="1"/>
                <w:color w:val="auto"/>
              </w:rPr>
              <w:t>1,263,570</w:t>
            </w:r>
          </w:p>
        </w:tc>
        <w:tc>
          <w:tcPr>
            <w:tcW w:w="76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852,158</w:t>
            </w:r>
          </w:p>
        </w:tc>
        <w:tc>
          <w:tcPr>
            <w:tcW w:w="7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4"/>
              </w:rPr>
              <w:t>-32.6%</w:t>
            </w:r>
          </w:p>
        </w:tc>
        <w:tc>
          <w:tcPr>
            <w:tcW w:w="8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4"/>
              </w:rPr>
              <w:t>-17.6%</w:t>
            </w:r>
          </w:p>
        </w:tc>
        <w:tc>
          <w:tcPr>
            <w:tcW w:w="1100" w:type="dxa"/>
            <w:vAlign w:val="bottom"/>
          </w:tcPr>
          <w:p>
            <w:pPr>
              <w:jc w:val="right"/>
              <w:ind w:right="211"/>
              <w:spacing w:after="0" w:line="112" w:lineRule="exact"/>
              <w:rPr>
                <w:sz w:val="20"/>
                <w:szCs w:val="20"/>
                <w:color w:val="auto"/>
              </w:rPr>
            </w:pPr>
            <w:r>
              <w:rPr>
                <w:rFonts w:ascii="Arial" w:cs="Arial" w:eastAsia="Arial" w:hAnsi="Arial"/>
                <w:sz w:val="10"/>
                <w:szCs w:val="10"/>
                <w:b w:val="1"/>
                <w:bCs w:val="1"/>
                <w:color w:val="auto"/>
              </w:rPr>
              <w:t>4,760,110</w:t>
            </w:r>
          </w:p>
        </w:tc>
        <w:tc>
          <w:tcPr>
            <w:tcW w:w="68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4,959,878</w:t>
            </w:r>
          </w:p>
        </w:tc>
        <w:tc>
          <w:tcPr>
            <w:tcW w:w="9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rPr>
              <w:t>4.2%</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tcBorders>
          </w:tcPr>
          <w:p>
            <w:pPr>
              <w:ind w:left="100"/>
              <w:spacing w:after="0" w:line="108" w:lineRule="exact"/>
              <w:rPr>
                <w:sz w:val="20"/>
                <w:szCs w:val="20"/>
                <w:color w:val="auto"/>
              </w:rPr>
            </w:pPr>
            <w:r>
              <w:rPr>
                <w:rFonts w:ascii="Arial" w:cs="Arial" w:eastAsia="Arial" w:hAnsi="Arial"/>
                <w:sz w:val="10"/>
                <w:szCs w:val="10"/>
                <w:color w:val="auto"/>
              </w:rPr>
              <w:t>Non-controlling interest</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71"/>
              <w:spacing w:after="0" w:line="108" w:lineRule="exact"/>
              <w:rPr>
                <w:sz w:val="20"/>
                <w:szCs w:val="20"/>
                <w:color w:val="auto"/>
              </w:rPr>
            </w:pPr>
            <w:r>
              <w:rPr>
                <w:rFonts w:ascii="Arial" w:cs="Arial" w:eastAsia="Arial" w:hAnsi="Arial"/>
                <w:sz w:val="10"/>
                <w:szCs w:val="10"/>
                <w:color w:val="auto"/>
              </w:rPr>
              <w:t>24,231</w:t>
            </w:r>
          </w:p>
        </w:tc>
        <w:tc>
          <w:tcPr>
            <w:tcW w:w="880" w:type="dxa"/>
            <w:vAlign w:val="bottom"/>
          </w:tcPr>
          <w:p>
            <w:pPr>
              <w:jc w:val="right"/>
              <w:ind w:right="151"/>
              <w:spacing w:after="0" w:line="108" w:lineRule="exact"/>
              <w:rPr>
                <w:sz w:val="20"/>
                <w:szCs w:val="20"/>
                <w:color w:val="auto"/>
              </w:rPr>
            </w:pPr>
            <w:r>
              <w:rPr>
                <w:rFonts w:ascii="Arial" w:cs="Arial" w:eastAsia="Arial" w:hAnsi="Arial"/>
                <w:sz w:val="10"/>
                <w:szCs w:val="10"/>
                <w:color w:val="auto"/>
              </w:rPr>
              <w:t>25,397</w:t>
            </w:r>
          </w:p>
        </w:tc>
        <w:tc>
          <w:tcPr>
            <w:tcW w:w="760" w:type="dxa"/>
            <w:vAlign w:val="bottom"/>
            <w:tcBorders>
              <w:right w:val="single" w:sz="8" w:color="auto"/>
            </w:tcBorders>
          </w:tcPr>
          <w:p>
            <w:pPr>
              <w:jc w:val="right"/>
              <w:spacing w:after="0" w:line="108" w:lineRule="exact"/>
              <w:rPr>
                <w:sz w:val="20"/>
                <w:szCs w:val="20"/>
                <w:color w:val="auto"/>
              </w:rPr>
            </w:pPr>
            <w:r>
              <w:rPr>
                <w:rFonts w:ascii="Arial" w:cs="Arial" w:eastAsia="Arial" w:hAnsi="Arial"/>
                <w:sz w:val="10"/>
                <w:szCs w:val="10"/>
                <w:color w:val="auto"/>
              </w:rPr>
              <w:t>10,331</w:t>
            </w:r>
          </w:p>
        </w:tc>
        <w:tc>
          <w:tcPr>
            <w:tcW w:w="780" w:type="dxa"/>
            <w:vAlign w:val="bottom"/>
          </w:tcPr>
          <w:p>
            <w:pPr>
              <w:jc w:val="center"/>
              <w:spacing w:after="0" w:line="108" w:lineRule="exact"/>
              <w:rPr>
                <w:sz w:val="20"/>
                <w:szCs w:val="20"/>
                <w:color w:val="auto"/>
              </w:rPr>
            </w:pPr>
            <w:r>
              <w:rPr>
                <w:rFonts w:ascii="Arial" w:cs="Arial" w:eastAsia="Arial" w:hAnsi="Arial"/>
                <w:sz w:val="10"/>
                <w:szCs w:val="10"/>
                <w:color w:val="auto"/>
                <w:w w:val="94"/>
              </w:rPr>
              <w:t>-59.3%</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color w:val="auto"/>
                <w:w w:val="94"/>
              </w:rPr>
              <w:t>-57.4%</w:t>
            </w:r>
          </w:p>
        </w:tc>
        <w:tc>
          <w:tcPr>
            <w:tcW w:w="1100" w:type="dxa"/>
            <w:vAlign w:val="bottom"/>
          </w:tcPr>
          <w:p>
            <w:pPr>
              <w:jc w:val="right"/>
              <w:ind w:right="211"/>
              <w:spacing w:after="0" w:line="108" w:lineRule="exact"/>
              <w:rPr>
                <w:sz w:val="20"/>
                <w:szCs w:val="20"/>
                <w:color w:val="auto"/>
              </w:rPr>
            </w:pPr>
            <w:r>
              <w:rPr>
                <w:rFonts w:ascii="Arial" w:cs="Arial" w:eastAsia="Arial" w:hAnsi="Arial"/>
                <w:sz w:val="10"/>
                <w:szCs w:val="10"/>
                <w:color w:val="auto"/>
              </w:rPr>
              <w:t>112,292</w:t>
            </w:r>
          </w:p>
        </w:tc>
        <w:tc>
          <w:tcPr>
            <w:tcW w:w="680" w:type="dxa"/>
            <w:vAlign w:val="bottom"/>
            <w:tcBorders>
              <w:right w:val="single" w:sz="8" w:color="auto"/>
            </w:tcBorders>
          </w:tcPr>
          <w:p>
            <w:pPr>
              <w:jc w:val="right"/>
              <w:spacing w:after="0" w:line="108" w:lineRule="exact"/>
              <w:rPr>
                <w:sz w:val="20"/>
                <w:szCs w:val="20"/>
                <w:color w:val="auto"/>
              </w:rPr>
            </w:pPr>
            <w:r>
              <w:rPr>
                <w:rFonts w:ascii="Arial" w:cs="Arial" w:eastAsia="Arial" w:hAnsi="Arial"/>
                <w:sz w:val="10"/>
                <w:szCs w:val="10"/>
                <w:color w:val="auto"/>
              </w:rPr>
              <w:t>94,338</w:t>
            </w:r>
          </w:p>
        </w:tc>
        <w:tc>
          <w:tcPr>
            <w:tcW w:w="9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color w:val="auto"/>
              </w:rPr>
              <w:t>-16.0%</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10"/>
                <w:szCs w:val="10"/>
                <w:b w:val="1"/>
                <w:bCs w:val="1"/>
                <w:color w:val="auto"/>
              </w:rPr>
              <w:t>Net profit attributable to Credicorp</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71"/>
              <w:spacing w:after="0" w:line="110" w:lineRule="exact"/>
              <w:rPr>
                <w:sz w:val="20"/>
                <w:szCs w:val="20"/>
                <w:color w:val="auto"/>
              </w:rPr>
            </w:pPr>
            <w:r>
              <w:rPr>
                <w:rFonts w:ascii="Arial" w:cs="Arial" w:eastAsia="Arial" w:hAnsi="Arial"/>
                <w:sz w:val="10"/>
                <w:szCs w:val="10"/>
                <w:b w:val="1"/>
                <w:bCs w:val="1"/>
                <w:color w:val="auto"/>
              </w:rPr>
              <w:t>1,010,155</w:t>
            </w:r>
          </w:p>
        </w:tc>
        <w:tc>
          <w:tcPr>
            <w:tcW w:w="880" w:type="dxa"/>
            <w:vAlign w:val="bottom"/>
          </w:tcPr>
          <w:p>
            <w:pPr>
              <w:jc w:val="right"/>
              <w:ind w:right="151"/>
              <w:spacing w:after="0" w:line="110" w:lineRule="exact"/>
              <w:rPr>
                <w:sz w:val="20"/>
                <w:szCs w:val="20"/>
                <w:color w:val="auto"/>
              </w:rPr>
            </w:pPr>
            <w:r>
              <w:rPr>
                <w:rFonts w:ascii="Arial" w:cs="Arial" w:eastAsia="Arial" w:hAnsi="Arial"/>
                <w:sz w:val="10"/>
                <w:szCs w:val="10"/>
                <w:b w:val="1"/>
                <w:bCs w:val="1"/>
                <w:color w:val="auto"/>
              </w:rPr>
              <w:t>1,238,173</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b w:val="1"/>
                <w:bCs w:val="1"/>
                <w:color w:val="auto"/>
              </w:rPr>
              <w:t>841,827</w:t>
            </w:r>
          </w:p>
        </w:tc>
        <w:tc>
          <w:tcPr>
            <w:tcW w:w="7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4"/>
              </w:rPr>
              <w:t>-32.0%</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b w:val="1"/>
                <w:bCs w:val="1"/>
                <w:color w:val="auto"/>
                <w:w w:val="94"/>
              </w:rPr>
              <w:t>-16.7%</w:t>
            </w:r>
          </w:p>
        </w:tc>
        <w:tc>
          <w:tcPr>
            <w:tcW w:w="1100" w:type="dxa"/>
            <w:vAlign w:val="bottom"/>
          </w:tcPr>
          <w:p>
            <w:pPr>
              <w:jc w:val="right"/>
              <w:ind w:right="211"/>
              <w:spacing w:after="0" w:line="110" w:lineRule="exact"/>
              <w:rPr>
                <w:sz w:val="20"/>
                <w:szCs w:val="20"/>
                <w:color w:val="auto"/>
              </w:rPr>
            </w:pPr>
            <w:r>
              <w:rPr>
                <w:rFonts w:ascii="Arial" w:cs="Arial" w:eastAsia="Arial" w:hAnsi="Arial"/>
                <w:sz w:val="10"/>
                <w:szCs w:val="10"/>
                <w:b w:val="1"/>
                <w:bCs w:val="1"/>
                <w:color w:val="auto"/>
              </w:rPr>
              <w:t>4,647,818</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b w:val="1"/>
                <w:bCs w:val="1"/>
                <w:color w:val="auto"/>
              </w:rPr>
              <w:t>4,865,540</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b w:val="1"/>
                <w:bCs w:val="1"/>
                <w:color w:val="auto"/>
              </w:rPr>
              <w:t>4.7%</w:t>
            </w:r>
          </w:p>
        </w:tc>
        <w:tc>
          <w:tcPr>
            <w:tcW w:w="0" w:type="dxa"/>
            <w:vAlign w:val="bottom"/>
          </w:tcPr>
          <w:p>
            <w:pPr>
              <w:spacing w:after="0"/>
              <w:rPr>
                <w:sz w:val="1"/>
                <w:szCs w:val="1"/>
                <w:color w:val="auto"/>
              </w:rPr>
            </w:pPr>
          </w:p>
        </w:tc>
      </w:tr>
      <w:tr>
        <w:trPr>
          <w:trHeight w:val="112"/>
        </w:trPr>
        <w:tc>
          <w:tcPr>
            <w:tcW w:w="2840" w:type="dxa"/>
            <w:vAlign w:val="bottom"/>
            <w:tcBorders>
              <w:left w:val="single" w:sz="8" w:color="auto"/>
            </w:tcBorders>
          </w:tcPr>
          <w:p>
            <w:pPr>
              <w:ind w:left="100"/>
              <w:spacing w:after="0" w:line="112" w:lineRule="exact"/>
              <w:rPr>
                <w:sz w:val="20"/>
                <w:szCs w:val="20"/>
                <w:color w:val="auto"/>
              </w:rPr>
            </w:pPr>
            <w:r>
              <w:rPr>
                <w:rFonts w:ascii="Arial" w:cs="Arial" w:eastAsia="Arial" w:hAnsi="Arial"/>
                <w:sz w:val="10"/>
                <w:szCs w:val="10"/>
                <w:color w:val="auto"/>
              </w:rPr>
              <w:t>Dividends distribution, net of treasury shares effect (S/000)</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center"/>
              <w:ind w:left="491"/>
              <w:spacing w:after="0" w:line="112" w:lineRule="exact"/>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171"/>
              <w:spacing w:after="0" w:line="112" w:lineRule="exact"/>
              <w:rPr>
                <w:sz w:val="20"/>
                <w:szCs w:val="20"/>
                <w:color w:val="auto"/>
              </w:rPr>
            </w:pPr>
            <w:r>
              <w:rPr>
                <w:rFonts w:ascii="Arial" w:cs="Arial" w:eastAsia="Arial" w:hAnsi="Arial"/>
                <w:sz w:val="10"/>
                <w:szCs w:val="10"/>
                <w:b w:val="1"/>
                <w:bCs w:val="1"/>
                <w:color w:val="auto"/>
              </w:rPr>
              <w:t>-</w:t>
            </w:r>
          </w:p>
        </w:tc>
        <w:tc>
          <w:tcPr>
            <w:tcW w:w="760" w:type="dxa"/>
            <w:vAlign w:val="bottom"/>
            <w:tcBorders>
              <w:right w:val="single" w:sz="8" w:color="auto"/>
            </w:tcBorders>
          </w:tcPr>
          <w:p>
            <w:pPr>
              <w:jc w:val="right"/>
              <w:ind w:right="31"/>
              <w:spacing w:after="0" w:line="112" w:lineRule="exact"/>
              <w:rPr>
                <w:sz w:val="20"/>
                <w:szCs w:val="20"/>
                <w:color w:val="auto"/>
              </w:rPr>
            </w:pPr>
            <w:r>
              <w:rPr>
                <w:rFonts w:ascii="Arial" w:cs="Arial" w:eastAsia="Arial" w:hAnsi="Arial"/>
                <w:sz w:val="10"/>
                <w:szCs w:val="10"/>
                <w:b w:val="1"/>
                <w:bCs w:val="1"/>
                <w:color w:val="auto"/>
              </w:rPr>
              <w:t>-</w:t>
            </w:r>
          </w:p>
        </w:tc>
        <w:tc>
          <w:tcPr>
            <w:tcW w:w="7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7"/>
                <w:szCs w:val="7"/>
                <w:b w:val="1"/>
                <w:bCs w:val="1"/>
                <w:color w:val="auto"/>
                <w:w w:val="83"/>
              </w:rPr>
              <w:t>-</w:t>
            </w:r>
          </w:p>
        </w:tc>
        <w:tc>
          <w:tcPr>
            <w:tcW w:w="1100" w:type="dxa"/>
            <w:vAlign w:val="bottom"/>
          </w:tcPr>
          <w:p>
            <w:pPr>
              <w:jc w:val="right"/>
              <w:ind w:right="211"/>
              <w:spacing w:after="0" w:line="112" w:lineRule="exact"/>
              <w:rPr>
                <w:sz w:val="20"/>
                <w:szCs w:val="20"/>
                <w:color w:val="auto"/>
              </w:rPr>
            </w:pPr>
            <w:r>
              <w:rPr>
                <w:rFonts w:ascii="Arial" w:cs="Arial" w:eastAsia="Arial" w:hAnsi="Arial"/>
                <w:sz w:val="10"/>
                <w:szCs w:val="10"/>
                <w:color w:val="auto"/>
              </w:rPr>
              <w:t>1,196,422</w:t>
            </w:r>
          </w:p>
        </w:tc>
        <w:tc>
          <w:tcPr>
            <w:tcW w:w="68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1,994,037</w:t>
            </w:r>
          </w:p>
        </w:tc>
        <w:tc>
          <w:tcPr>
            <w:tcW w:w="9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8"/>
              </w:rPr>
              <w:t>66.7%</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10"/>
                <w:szCs w:val="10"/>
                <w:color w:val="auto"/>
              </w:rPr>
              <w:t>Net income / share (S/)</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71"/>
              <w:spacing w:after="0" w:line="110" w:lineRule="exact"/>
              <w:rPr>
                <w:sz w:val="20"/>
                <w:szCs w:val="20"/>
                <w:color w:val="auto"/>
              </w:rPr>
            </w:pPr>
            <w:r>
              <w:rPr>
                <w:rFonts w:ascii="Arial" w:cs="Arial" w:eastAsia="Arial" w:hAnsi="Arial"/>
                <w:sz w:val="10"/>
                <w:szCs w:val="10"/>
                <w:color w:val="auto"/>
              </w:rPr>
              <w:t>12.7</w:t>
            </w:r>
          </w:p>
        </w:tc>
        <w:tc>
          <w:tcPr>
            <w:tcW w:w="880" w:type="dxa"/>
            <w:vAlign w:val="bottom"/>
          </w:tcPr>
          <w:p>
            <w:pPr>
              <w:jc w:val="right"/>
              <w:ind w:right="151"/>
              <w:spacing w:after="0" w:line="110" w:lineRule="exact"/>
              <w:rPr>
                <w:sz w:val="20"/>
                <w:szCs w:val="20"/>
                <w:color w:val="auto"/>
              </w:rPr>
            </w:pPr>
            <w:r>
              <w:rPr>
                <w:rFonts w:ascii="Arial" w:cs="Arial" w:eastAsia="Arial" w:hAnsi="Arial"/>
                <w:sz w:val="10"/>
                <w:szCs w:val="10"/>
                <w:color w:val="auto"/>
              </w:rPr>
              <w:t>15.5</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10.6</w:t>
            </w:r>
          </w:p>
        </w:tc>
        <w:tc>
          <w:tcPr>
            <w:tcW w:w="780" w:type="dxa"/>
            <w:vAlign w:val="bottom"/>
          </w:tcPr>
          <w:p>
            <w:pPr>
              <w:jc w:val="center"/>
              <w:spacing w:after="0" w:line="110" w:lineRule="exact"/>
              <w:rPr>
                <w:sz w:val="20"/>
                <w:szCs w:val="20"/>
                <w:color w:val="auto"/>
              </w:rPr>
            </w:pPr>
            <w:r>
              <w:rPr>
                <w:rFonts w:ascii="Arial" w:cs="Arial" w:eastAsia="Arial" w:hAnsi="Arial"/>
                <w:sz w:val="10"/>
                <w:szCs w:val="10"/>
                <w:color w:val="auto"/>
                <w:w w:val="94"/>
              </w:rPr>
              <w:t>-32.0%</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4"/>
              </w:rPr>
              <w:t>-16.7%</w:t>
            </w:r>
          </w:p>
        </w:tc>
        <w:tc>
          <w:tcPr>
            <w:tcW w:w="1100" w:type="dxa"/>
            <w:vAlign w:val="bottom"/>
          </w:tcPr>
          <w:p>
            <w:pPr>
              <w:jc w:val="right"/>
              <w:ind w:right="211"/>
              <w:spacing w:after="0" w:line="110" w:lineRule="exact"/>
              <w:rPr>
                <w:sz w:val="20"/>
                <w:szCs w:val="20"/>
                <w:color w:val="auto"/>
              </w:rPr>
            </w:pPr>
            <w:r>
              <w:rPr>
                <w:rFonts w:ascii="Arial" w:cs="Arial" w:eastAsia="Arial" w:hAnsi="Arial"/>
                <w:sz w:val="10"/>
                <w:szCs w:val="10"/>
                <w:color w:val="auto"/>
              </w:rPr>
              <w:t>58.3</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61.0</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0"/>
                <w:szCs w:val="10"/>
                <w:color w:val="auto"/>
              </w:rPr>
              <w:t>Dividends per Share (S/)</w:t>
            </w:r>
          </w:p>
        </w:tc>
        <w:tc>
          <w:tcPr>
            <w:tcW w:w="14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jc w:val="center"/>
              <w:ind w:left="49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7"/>
                <w:szCs w:val="7"/>
                <w:color w:val="auto"/>
                <w:w w:val="83"/>
              </w:rPr>
              <w:t>-</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15.0</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25.0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66.7%</w:t>
            </w:r>
          </w:p>
        </w:tc>
        <w:tc>
          <w:tcPr>
            <w:tcW w:w="0" w:type="dxa"/>
            <w:vAlign w:val="bottom"/>
          </w:tcPr>
          <w:p>
            <w:pPr>
              <w:spacing w:after="0"/>
              <w:rPr>
                <w:sz w:val="1"/>
                <w:szCs w:val="1"/>
                <w:color w:val="auto"/>
              </w:rPr>
            </w:pPr>
          </w:p>
        </w:tc>
      </w:tr>
      <w:tr>
        <w:trPr>
          <w:trHeight w:val="91"/>
        </w:trPr>
        <w:tc>
          <w:tcPr>
            <w:tcW w:w="2840" w:type="dxa"/>
            <w:vAlign w:val="bottom"/>
            <w:tcBorders>
              <w:left w:val="single" w:sz="8" w:color="auto"/>
            </w:tcBorders>
          </w:tcPr>
          <w:p>
            <w:pPr>
              <w:ind w:left="100"/>
              <w:spacing w:after="0" w:line="91" w:lineRule="exact"/>
              <w:rPr>
                <w:sz w:val="20"/>
                <w:szCs w:val="20"/>
                <w:color w:val="auto"/>
              </w:rPr>
            </w:pPr>
            <w:r>
              <w:rPr>
                <w:rFonts w:ascii="Arial" w:cs="Arial" w:eastAsia="Arial" w:hAnsi="Arial"/>
                <w:sz w:val="10"/>
                <w:szCs w:val="10"/>
                <w:color w:val="auto"/>
              </w:rPr>
              <w:t>Loans</w:t>
            </w:r>
          </w:p>
        </w:tc>
        <w:tc>
          <w:tcPr>
            <w:tcW w:w="1460" w:type="dxa"/>
            <w:vAlign w:val="bottom"/>
            <w:tcBorders>
              <w:right w:val="single" w:sz="8" w:color="auto"/>
            </w:tcBorders>
          </w:tcPr>
          <w:p>
            <w:pPr>
              <w:spacing w:after="0"/>
              <w:rPr>
                <w:sz w:val="7"/>
                <w:szCs w:val="7"/>
                <w:color w:val="auto"/>
              </w:rPr>
            </w:pPr>
          </w:p>
        </w:tc>
        <w:tc>
          <w:tcPr>
            <w:tcW w:w="1060" w:type="dxa"/>
            <w:vAlign w:val="bottom"/>
          </w:tcPr>
          <w:p>
            <w:pPr>
              <w:jc w:val="right"/>
              <w:ind w:right="171"/>
              <w:spacing w:after="0" w:line="91" w:lineRule="exact"/>
              <w:rPr>
                <w:sz w:val="20"/>
                <w:szCs w:val="20"/>
                <w:color w:val="auto"/>
              </w:rPr>
            </w:pPr>
            <w:r>
              <w:rPr>
                <w:rFonts w:ascii="Arial" w:cs="Arial" w:eastAsia="Arial" w:hAnsi="Arial"/>
                <w:sz w:val="10"/>
                <w:szCs w:val="10"/>
                <w:color w:val="auto"/>
              </w:rPr>
              <w:t>148,626,374</w:t>
            </w:r>
          </w:p>
        </w:tc>
        <w:tc>
          <w:tcPr>
            <w:tcW w:w="880" w:type="dxa"/>
            <w:vAlign w:val="bottom"/>
          </w:tcPr>
          <w:p>
            <w:pPr>
              <w:jc w:val="right"/>
              <w:ind w:right="151"/>
              <w:spacing w:after="0" w:line="91" w:lineRule="exact"/>
              <w:rPr>
                <w:sz w:val="20"/>
                <w:szCs w:val="20"/>
                <w:color w:val="auto"/>
              </w:rPr>
            </w:pPr>
            <w:r>
              <w:rPr>
                <w:rFonts w:ascii="Arial" w:cs="Arial" w:eastAsia="Arial" w:hAnsi="Arial"/>
                <w:sz w:val="10"/>
                <w:szCs w:val="10"/>
                <w:color w:val="auto"/>
              </w:rPr>
              <w:t>145,129,260</w:t>
            </w:r>
          </w:p>
        </w:tc>
        <w:tc>
          <w:tcPr>
            <w:tcW w:w="760" w:type="dxa"/>
            <w:vAlign w:val="bottom"/>
            <w:tcBorders>
              <w:right w:val="single" w:sz="8" w:color="auto"/>
            </w:tcBorders>
          </w:tcPr>
          <w:p>
            <w:pPr>
              <w:jc w:val="right"/>
              <w:spacing w:after="0" w:line="91" w:lineRule="exact"/>
              <w:rPr>
                <w:sz w:val="20"/>
                <w:szCs w:val="20"/>
                <w:color w:val="auto"/>
              </w:rPr>
            </w:pPr>
            <w:r>
              <w:rPr>
                <w:rFonts w:ascii="Arial" w:cs="Arial" w:eastAsia="Arial" w:hAnsi="Arial"/>
                <w:sz w:val="10"/>
                <w:szCs w:val="10"/>
                <w:color w:val="auto"/>
              </w:rPr>
              <w:t>144,976,051</w:t>
            </w:r>
          </w:p>
        </w:tc>
        <w:tc>
          <w:tcPr>
            <w:tcW w:w="780" w:type="dxa"/>
            <w:vAlign w:val="bottom"/>
          </w:tcPr>
          <w:p>
            <w:pPr>
              <w:jc w:val="center"/>
              <w:spacing w:after="0" w:line="91" w:lineRule="exact"/>
              <w:rPr>
                <w:sz w:val="20"/>
                <w:szCs w:val="20"/>
                <w:color w:val="auto"/>
              </w:rPr>
            </w:pPr>
            <w:r>
              <w:rPr>
                <w:rFonts w:ascii="Arial" w:cs="Arial" w:eastAsia="Arial" w:hAnsi="Arial"/>
                <w:sz w:val="10"/>
                <w:szCs w:val="10"/>
                <w:color w:val="auto"/>
                <w:w w:val="99"/>
              </w:rPr>
              <w:t>-0.1%</w:t>
            </w:r>
          </w:p>
        </w:tc>
        <w:tc>
          <w:tcPr>
            <w:tcW w:w="80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color w:val="auto"/>
                <w:w w:val="99"/>
              </w:rPr>
              <w:t>-2.5%</w:t>
            </w:r>
          </w:p>
        </w:tc>
        <w:tc>
          <w:tcPr>
            <w:tcW w:w="1100" w:type="dxa"/>
            <w:vAlign w:val="bottom"/>
          </w:tcPr>
          <w:p>
            <w:pPr>
              <w:jc w:val="right"/>
              <w:ind w:right="211"/>
              <w:spacing w:after="0" w:line="91" w:lineRule="exact"/>
              <w:rPr>
                <w:sz w:val="20"/>
                <w:szCs w:val="20"/>
                <w:color w:val="auto"/>
              </w:rPr>
            </w:pPr>
            <w:r>
              <w:rPr>
                <w:rFonts w:ascii="Arial" w:cs="Arial" w:eastAsia="Arial" w:hAnsi="Arial"/>
                <w:sz w:val="10"/>
                <w:szCs w:val="10"/>
                <w:color w:val="auto"/>
              </w:rPr>
              <w:t>148,626,374</w:t>
            </w:r>
          </w:p>
        </w:tc>
        <w:tc>
          <w:tcPr>
            <w:tcW w:w="680" w:type="dxa"/>
            <w:vAlign w:val="bottom"/>
            <w:tcBorders>
              <w:right w:val="single" w:sz="8" w:color="auto"/>
            </w:tcBorders>
          </w:tcPr>
          <w:p>
            <w:pPr>
              <w:jc w:val="right"/>
              <w:spacing w:after="0" w:line="91" w:lineRule="exact"/>
              <w:rPr>
                <w:sz w:val="20"/>
                <w:szCs w:val="20"/>
                <w:color w:val="auto"/>
              </w:rPr>
            </w:pPr>
            <w:r>
              <w:rPr>
                <w:rFonts w:ascii="Arial" w:cs="Arial" w:eastAsia="Arial" w:hAnsi="Arial"/>
                <w:sz w:val="10"/>
                <w:szCs w:val="10"/>
                <w:color w:val="auto"/>
              </w:rPr>
              <w:t>144,976,051</w:t>
            </w:r>
          </w:p>
        </w:tc>
        <w:tc>
          <w:tcPr>
            <w:tcW w:w="90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color w:val="auto"/>
                <w:w w:val="91"/>
              </w:rPr>
              <w:t>-2.5%</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10"/>
                <w:szCs w:val="10"/>
                <w:color w:val="auto"/>
              </w:rPr>
              <w:t>Deposits and obligations</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71"/>
              <w:spacing w:after="0" w:line="110" w:lineRule="exact"/>
              <w:rPr>
                <w:sz w:val="20"/>
                <w:szCs w:val="20"/>
                <w:color w:val="auto"/>
              </w:rPr>
            </w:pPr>
            <w:r>
              <w:rPr>
                <w:rFonts w:ascii="Arial" w:cs="Arial" w:eastAsia="Arial" w:hAnsi="Arial"/>
                <w:sz w:val="10"/>
                <w:szCs w:val="10"/>
                <w:color w:val="auto"/>
              </w:rPr>
              <w:t>147,020,787</w:t>
            </w:r>
          </w:p>
        </w:tc>
        <w:tc>
          <w:tcPr>
            <w:tcW w:w="880" w:type="dxa"/>
            <w:vAlign w:val="bottom"/>
          </w:tcPr>
          <w:p>
            <w:pPr>
              <w:jc w:val="right"/>
              <w:ind w:right="151"/>
              <w:spacing w:after="0" w:line="110" w:lineRule="exact"/>
              <w:rPr>
                <w:sz w:val="20"/>
                <w:szCs w:val="20"/>
                <w:color w:val="auto"/>
              </w:rPr>
            </w:pPr>
            <w:r>
              <w:rPr>
                <w:rFonts w:ascii="Arial" w:cs="Arial" w:eastAsia="Arial" w:hAnsi="Arial"/>
                <w:sz w:val="10"/>
                <w:szCs w:val="10"/>
                <w:color w:val="auto"/>
              </w:rPr>
              <w:t>148,471,535</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147,704,994</w:t>
            </w:r>
          </w:p>
        </w:tc>
        <w:tc>
          <w:tcPr>
            <w:tcW w:w="780" w:type="dxa"/>
            <w:vAlign w:val="bottom"/>
          </w:tcPr>
          <w:p>
            <w:pPr>
              <w:jc w:val="center"/>
              <w:spacing w:after="0" w:line="110" w:lineRule="exact"/>
              <w:rPr>
                <w:sz w:val="20"/>
                <w:szCs w:val="20"/>
                <w:color w:val="auto"/>
              </w:rPr>
            </w:pPr>
            <w:r>
              <w:rPr>
                <w:rFonts w:ascii="Arial" w:cs="Arial" w:eastAsia="Arial" w:hAnsi="Arial"/>
                <w:sz w:val="10"/>
                <w:szCs w:val="10"/>
                <w:color w:val="auto"/>
                <w:w w:val="99"/>
              </w:rPr>
              <w:t>-0.5%</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6"/>
              </w:rPr>
              <w:t>0.5%</w:t>
            </w:r>
          </w:p>
        </w:tc>
        <w:tc>
          <w:tcPr>
            <w:tcW w:w="1100" w:type="dxa"/>
            <w:vAlign w:val="bottom"/>
          </w:tcPr>
          <w:p>
            <w:pPr>
              <w:jc w:val="right"/>
              <w:ind w:right="211"/>
              <w:spacing w:after="0" w:line="110" w:lineRule="exact"/>
              <w:rPr>
                <w:sz w:val="20"/>
                <w:szCs w:val="20"/>
                <w:color w:val="auto"/>
              </w:rPr>
            </w:pPr>
            <w:r>
              <w:rPr>
                <w:rFonts w:ascii="Arial" w:cs="Arial" w:eastAsia="Arial" w:hAnsi="Arial"/>
                <w:sz w:val="10"/>
                <w:szCs w:val="10"/>
                <w:color w:val="auto"/>
              </w:rPr>
              <w:t>147,020,787</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147,704,994</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0.5%</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0"/>
                <w:szCs w:val="10"/>
                <w:color w:val="auto"/>
              </w:rPr>
              <w:t>Net equity</w:t>
            </w:r>
          </w:p>
        </w:tc>
        <w:tc>
          <w:tcPr>
            <w:tcW w:w="14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29,003,644</w:t>
            </w: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31,267,592</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32,460,004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3.8%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11.9%</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29,003,644</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32,460,004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11.9%</w:t>
            </w:r>
          </w:p>
        </w:tc>
        <w:tc>
          <w:tcPr>
            <w:tcW w:w="0" w:type="dxa"/>
            <w:vAlign w:val="bottom"/>
          </w:tcPr>
          <w:p>
            <w:pPr>
              <w:spacing w:after="0"/>
              <w:rPr>
                <w:sz w:val="1"/>
                <w:szCs w:val="1"/>
                <w:color w:val="auto"/>
              </w:rPr>
            </w:pPr>
          </w:p>
        </w:tc>
      </w:tr>
      <w:tr>
        <w:trPr>
          <w:trHeight w:val="81"/>
        </w:trPr>
        <w:tc>
          <w:tcPr>
            <w:tcW w:w="2840" w:type="dxa"/>
            <w:vAlign w:val="bottom"/>
            <w:tcBorders>
              <w:left w:val="single" w:sz="8" w:color="auto"/>
            </w:tcBorders>
          </w:tcPr>
          <w:p>
            <w:pPr>
              <w:ind w:left="100"/>
              <w:spacing w:after="0" w:line="82" w:lineRule="exact"/>
              <w:rPr>
                <w:sz w:val="20"/>
                <w:szCs w:val="20"/>
                <w:color w:val="auto"/>
              </w:rPr>
            </w:pPr>
            <w:r>
              <w:rPr>
                <w:rFonts w:ascii="Arial" w:cs="Arial" w:eastAsia="Arial" w:hAnsi="Arial"/>
                <w:sz w:val="9"/>
                <w:szCs w:val="9"/>
                <w:b w:val="1"/>
                <w:bCs w:val="1"/>
                <w:color w:val="auto"/>
              </w:rPr>
              <w:t>Profitability</w:t>
            </w:r>
          </w:p>
        </w:tc>
        <w:tc>
          <w:tcPr>
            <w:tcW w:w="146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840" w:type="dxa"/>
            <w:vAlign w:val="bottom"/>
            <w:tcBorders>
              <w:left w:val="single" w:sz="8" w:color="auto"/>
            </w:tcBorders>
          </w:tcPr>
          <w:p>
            <w:pPr>
              <w:ind w:left="100"/>
              <w:spacing w:after="0" w:line="119" w:lineRule="exact"/>
              <w:rPr>
                <w:sz w:val="20"/>
                <w:szCs w:val="20"/>
                <w:color w:val="auto"/>
              </w:rPr>
            </w:pPr>
            <w:r>
              <w:rPr>
                <w:rFonts w:ascii="Arial" w:cs="Arial" w:eastAsia="Arial" w:hAnsi="Arial"/>
                <w:sz w:val="8"/>
                <w:szCs w:val="8"/>
                <w:color w:val="auto"/>
              </w:rPr>
              <w:t>Net interest margin</w:t>
            </w:r>
            <w:r>
              <w:rPr>
                <w:rFonts w:ascii="Arial" w:cs="Arial" w:eastAsia="Arial" w:hAnsi="Arial"/>
                <w:sz w:val="13"/>
                <w:szCs w:val="13"/>
                <w:color w:val="auto"/>
                <w:vertAlign w:val="superscript"/>
              </w:rPr>
              <w:t>(1)</w:t>
            </w:r>
          </w:p>
        </w:tc>
        <w:tc>
          <w:tcPr>
            <w:tcW w:w="1460" w:type="dxa"/>
            <w:vAlign w:val="bottom"/>
            <w:tcBorders>
              <w:right w:val="single" w:sz="8" w:color="auto"/>
            </w:tcBorders>
          </w:tcPr>
          <w:p>
            <w:pPr>
              <w:spacing w:after="0"/>
              <w:rPr>
                <w:sz w:val="10"/>
                <w:szCs w:val="10"/>
                <w:color w:val="auto"/>
              </w:rPr>
            </w:pPr>
          </w:p>
        </w:tc>
        <w:tc>
          <w:tcPr>
            <w:tcW w:w="1060" w:type="dxa"/>
            <w:vAlign w:val="bottom"/>
          </w:tcPr>
          <w:p>
            <w:pPr>
              <w:jc w:val="right"/>
              <w:ind w:right="131"/>
              <w:spacing w:after="0"/>
              <w:rPr>
                <w:sz w:val="20"/>
                <w:szCs w:val="20"/>
                <w:color w:val="auto"/>
              </w:rPr>
            </w:pPr>
            <w:r>
              <w:rPr>
                <w:rFonts w:ascii="Arial" w:cs="Arial" w:eastAsia="Arial" w:hAnsi="Arial"/>
                <w:sz w:val="10"/>
                <w:szCs w:val="10"/>
                <w:color w:val="auto"/>
              </w:rPr>
              <w:t>5.75%</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6.11%</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6.21%</w:t>
            </w:r>
          </w:p>
        </w:tc>
        <w:tc>
          <w:tcPr>
            <w:tcW w:w="780" w:type="dxa"/>
            <w:vAlign w:val="bottom"/>
          </w:tcPr>
          <w:p>
            <w:pPr>
              <w:jc w:val="center"/>
              <w:spacing w:after="0"/>
              <w:rPr>
                <w:sz w:val="20"/>
                <w:szCs w:val="20"/>
                <w:color w:val="auto"/>
              </w:rPr>
            </w:pPr>
            <w:r>
              <w:rPr>
                <w:rFonts w:ascii="Arial" w:cs="Arial" w:eastAsia="Arial" w:hAnsi="Arial"/>
                <w:sz w:val="10"/>
                <w:szCs w:val="10"/>
                <w:color w:val="auto"/>
                <w:w w:val="99"/>
              </w:rPr>
              <w:t>10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46 bps</w:t>
            </w:r>
          </w:p>
        </w:tc>
        <w:tc>
          <w:tcPr>
            <w:tcW w:w="1100" w:type="dxa"/>
            <w:vAlign w:val="bottom"/>
          </w:tcPr>
          <w:p>
            <w:pPr>
              <w:jc w:val="right"/>
              <w:ind w:right="171"/>
              <w:spacing w:after="0"/>
              <w:rPr>
                <w:sz w:val="20"/>
                <w:szCs w:val="20"/>
                <w:color w:val="auto"/>
              </w:rPr>
            </w:pPr>
            <w:r>
              <w:rPr>
                <w:rFonts w:ascii="Arial" w:cs="Arial" w:eastAsia="Arial" w:hAnsi="Arial"/>
                <w:sz w:val="10"/>
                <w:szCs w:val="10"/>
                <w:color w:val="auto"/>
              </w:rPr>
              <w:t>5.09%</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6.01%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92 bps</w:t>
            </w:r>
          </w:p>
        </w:tc>
        <w:tc>
          <w:tcPr>
            <w:tcW w:w="0" w:type="dxa"/>
            <w:vAlign w:val="bottom"/>
          </w:tcPr>
          <w:p>
            <w:pPr>
              <w:spacing w:after="0"/>
              <w:rPr>
                <w:sz w:val="1"/>
                <w:szCs w:val="1"/>
                <w:color w:val="auto"/>
              </w:rPr>
            </w:pPr>
          </w:p>
        </w:tc>
      </w:tr>
      <w:tr>
        <w:trPr>
          <w:trHeight w:val="100"/>
        </w:trPr>
        <w:tc>
          <w:tcPr>
            <w:tcW w:w="2840" w:type="dxa"/>
            <w:vAlign w:val="bottom"/>
            <w:tcBorders>
              <w:left w:val="single" w:sz="8" w:color="auto"/>
            </w:tcBorders>
          </w:tcPr>
          <w:p>
            <w:pPr>
              <w:ind w:left="100"/>
              <w:spacing w:after="0" w:line="100" w:lineRule="exact"/>
              <w:rPr>
                <w:sz w:val="20"/>
                <w:szCs w:val="20"/>
                <w:color w:val="auto"/>
              </w:rPr>
            </w:pPr>
            <w:r>
              <w:rPr>
                <w:rFonts w:ascii="Arial" w:cs="Arial" w:eastAsia="Arial" w:hAnsi="Arial"/>
                <w:sz w:val="10"/>
                <w:szCs w:val="10"/>
                <w:color w:val="auto"/>
              </w:rPr>
              <w:t>Risk-adjusted Net interest margin</w:t>
            </w:r>
          </w:p>
        </w:tc>
        <w:tc>
          <w:tcPr>
            <w:tcW w:w="1460" w:type="dxa"/>
            <w:vAlign w:val="bottom"/>
            <w:tcBorders>
              <w:right w:val="single" w:sz="8" w:color="auto"/>
            </w:tcBorders>
          </w:tcPr>
          <w:p>
            <w:pPr>
              <w:spacing w:after="0"/>
              <w:rPr>
                <w:sz w:val="8"/>
                <w:szCs w:val="8"/>
                <w:color w:val="auto"/>
              </w:rPr>
            </w:pPr>
          </w:p>
        </w:tc>
        <w:tc>
          <w:tcPr>
            <w:tcW w:w="1060" w:type="dxa"/>
            <w:vAlign w:val="bottom"/>
          </w:tcPr>
          <w:p>
            <w:pPr>
              <w:jc w:val="right"/>
              <w:ind w:right="131"/>
              <w:spacing w:after="0" w:line="100" w:lineRule="exact"/>
              <w:rPr>
                <w:sz w:val="20"/>
                <w:szCs w:val="20"/>
                <w:color w:val="auto"/>
              </w:rPr>
            </w:pPr>
            <w:r>
              <w:rPr>
                <w:rFonts w:ascii="Arial" w:cs="Arial" w:eastAsia="Arial" w:hAnsi="Arial"/>
                <w:sz w:val="10"/>
                <w:szCs w:val="10"/>
                <w:color w:val="auto"/>
              </w:rPr>
              <w:t>4.45%</w:t>
            </w:r>
          </w:p>
        </w:tc>
        <w:tc>
          <w:tcPr>
            <w:tcW w:w="880" w:type="dxa"/>
            <w:vAlign w:val="bottom"/>
          </w:tcPr>
          <w:p>
            <w:pPr>
              <w:jc w:val="right"/>
              <w:ind w:right="111"/>
              <w:spacing w:after="0" w:line="100" w:lineRule="exact"/>
              <w:rPr>
                <w:sz w:val="20"/>
                <w:szCs w:val="20"/>
                <w:color w:val="auto"/>
              </w:rPr>
            </w:pPr>
            <w:r>
              <w:rPr>
                <w:rFonts w:ascii="Arial" w:cs="Arial" w:eastAsia="Arial" w:hAnsi="Arial"/>
                <w:sz w:val="10"/>
                <w:szCs w:val="10"/>
                <w:color w:val="auto"/>
              </w:rPr>
              <w:t>4.45%</w:t>
            </w:r>
          </w:p>
        </w:tc>
        <w:tc>
          <w:tcPr>
            <w:tcW w:w="76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0"/>
                <w:szCs w:val="10"/>
                <w:color w:val="auto"/>
              </w:rPr>
              <w:t>4.10%</w:t>
            </w:r>
          </w:p>
        </w:tc>
        <w:tc>
          <w:tcPr>
            <w:tcW w:w="780" w:type="dxa"/>
            <w:vAlign w:val="bottom"/>
          </w:tcPr>
          <w:p>
            <w:pPr>
              <w:jc w:val="center"/>
              <w:spacing w:after="0" w:line="100" w:lineRule="exact"/>
              <w:rPr>
                <w:sz w:val="20"/>
                <w:szCs w:val="20"/>
                <w:color w:val="auto"/>
              </w:rPr>
            </w:pPr>
            <w:r>
              <w:rPr>
                <w:rFonts w:ascii="Arial" w:cs="Arial" w:eastAsia="Arial" w:hAnsi="Arial"/>
                <w:sz w:val="10"/>
                <w:szCs w:val="10"/>
                <w:color w:val="auto"/>
                <w:w w:val="95"/>
              </w:rPr>
              <w:t>-35 bps</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0"/>
                <w:szCs w:val="10"/>
                <w:color w:val="auto"/>
              </w:rPr>
              <w:t>-35 bps</w:t>
            </w:r>
          </w:p>
        </w:tc>
        <w:tc>
          <w:tcPr>
            <w:tcW w:w="1100" w:type="dxa"/>
            <w:vAlign w:val="bottom"/>
          </w:tcPr>
          <w:p>
            <w:pPr>
              <w:jc w:val="right"/>
              <w:ind w:right="171"/>
              <w:spacing w:after="0" w:line="100" w:lineRule="exact"/>
              <w:rPr>
                <w:sz w:val="20"/>
                <w:szCs w:val="20"/>
                <w:color w:val="auto"/>
              </w:rPr>
            </w:pPr>
            <w:r>
              <w:rPr>
                <w:rFonts w:ascii="Arial" w:cs="Arial" w:eastAsia="Arial" w:hAnsi="Arial"/>
                <w:sz w:val="10"/>
                <w:szCs w:val="10"/>
                <w:color w:val="auto"/>
              </w:rPr>
              <w:t>4.29%</w:t>
            </w:r>
          </w:p>
        </w:tc>
        <w:tc>
          <w:tcPr>
            <w:tcW w:w="68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0"/>
                <w:szCs w:val="10"/>
                <w:color w:val="auto"/>
              </w:rPr>
              <w:t>4.38%</w:t>
            </w:r>
          </w:p>
        </w:tc>
        <w:tc>
          <w:tcPr>
            <w:tcW w:w="9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0"/>
                <w:szCs w:val="10"/>
                <w:color w:val="auto"/>
                <w:w w:val="97"/>
              </w:rPr>
              <w:t>9 bps</w:t>
            </w:r>
          </w:p>
        </w:tc>
        <w:tc>
          <w:tcPr>
            <w:tcW w:w="0" w:type="dxa"/>
            <w:vAlign w:val="bottom"/>
          </w:tcPr>
          <w:p>
            <w:pPr>
              <w:spacing w:after="0"/>
              <w:rPr>
                <w:sz w:val="1"/>
                <w:szCs w:val="1"/>
                <w:color w:val="auto"/>
              </w:rPr>
            </w:pPr>
          </w:p>
        </w:tc>
      </w:tr>
      <w:tr>
        <w:trPr>
          <w:trHeight w:val="119"/>
        </w:trPr>
        <w:tc>
          <w:tcPr>
            <w:tcW w:w="2840" w:type="dxa"/>
            <w:vAlign w:val="bottom"/>
            <w:tcBorders>
              <w:left w:val="single" w:sz="8" w:color="auto"/>
            </w:tcBorders>
          </w:tcPr>
          <w:p>
            <w:pPr>
              <w:ind w:left="100"/>
              <w:spacing w:after="0" w:line="119" w:lineRule="exact"/>
              <w:rPr>
                <w:sz w:val="20"/>
                <w:szCs w:val="20"/>
                <w:color w:val="auto"/>
              </w:rPr>
            </w:pPr>
            <w:r>
              <w:rPr>
                <w:rFonts w:ascii="Arial" w:cs="Arial" w:eastAsia="Arial" w:hAnsi="Arial"/>
                <w:sz w:val="8"/>
                <w:szCs w:val="8"/>
                <w:color w:val="auto"/>
              </w:rPr>
              <w:t>Funding cost</w:t>
            </w:r>
            <w:r>
              <w:rPr>
                <w:rFonts w:ascii="Arial" w:cs="Arial" w:eastAsia="Arial" w:hAnsi="Arial"/>
                <w:sz w:val="13"/>
                <w:szCs w:val="13"/>
                <w:color w:val="auto"/>
                <w:vertAlign w:val="superscript"/>
              </w:rPr>
              <w:t>(2)</w:t>
            </w:r>
          </w:p>
        </w:tc>
        <w:tc>
          <w:tcPr>
            <w:tcW w:w="1460" w:type="dxa"/>
            <w:vAlign w:val="bottom"/>
            <w:tcBorders>
              <w:right w:val="single" w:sz="8" w:color="auto"/>
            </w:tcBorders>
          </w:tcPr>
          <w:p>
            <w:pPr>
              <w:spacing w:after="0"/>
              <w:rPr>
                <w:sz w:val="10"/>
                <w:szCs w:val="10"/>
                <w:color w:val="auto"/>
              </w:rPr>
            </w:pPr>
          </w:p>
        </w:tc>
        <w:tc>
          <w:tcPr>
            <w:tcW w:w="1060" w:type="dxa"/>
            <w:vAlign w:val="bottom"/>
          </w:tcPr>
          <w:p>
            <w:pPr>
              <w:jc w:val="right"/>
              <w:ind w:right="131"/>
              <w:spacing w:after="0"/>
              <w:rPr>
                <w:sz w:val="20"/>
                <w:szCs w:val="20"/>
                <w:color w:val="auto"/>
              </w:rPr>
            </w:pPr>
            <w:r>
              <w:rPr>
                <w:rFonts w:ascii="Arial" w:cs="Arial" w:eastAsia="Arial" w:hAnsi="Arial"/>
                <w:sz w:val="10"/>
                <w:szCs w:val="10"/>
                <w:color w:val="auto"/>
              </w:rPr>
              <w:t>2.35%</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3.15%</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3.03%</w:t>
            </w:r>
          </w:p>
        </w:tc>
        <w:tc>
          <w:tcPr>
            <w:tcW w:w="780" w:type="dxa"/>
            <w:vAlign w:val="bottom"/>
          </w:tcPr>
          <w:p>
            <w:pPr>
              <w:jc w:val="center"/>
              <w:spacing w:after="0"/>
              <w:rPr>
                <w:sz w:val="20"/>
                <w:szCs w:val="20"/>
                <w:color w:val="auto"/>
              </w:rPr>
            </w:pPr>
            <w:r>
              <w:rPr>
                <w:rFonts w:ascii="Arial" w:cs="Arial" w:eastAsia="Arial" w:hAnsi="Arial"/>
                <w:sz w:val="10"/>
                <w:szCs w:val="10"/>
                <w:color w:val="auto"/>
                <w:w w:val="95"/>
              </w:rPr>
              <w:t>-12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68 bps</w:t>
            </w:r>
          </w:p>
        </w:tc>
        <w:tc>
          <w:tcPr>
            <w:tcW w:w="1100" w:type="dxa"/>
            <w:vAlign w:val="bottom"/>
          </w:tcPr>
          <w:p>
            <w:pPr>
              <w:jc w:val="right"/>
              <w:ind w:right="171"/>
              <w:spacing w:after="0"/>
              <w:rPr>
                <w:sz w:val="20"/>
                <w:szCs w:val="20"/>
                <w:color w:val="auto"/>
              </w:rPr>
            </w:pPr>
            <w:r>
              <w:rPr>
                <w:rFonts w:ascii="Arial" w:cs="Arial" w:eastAsia="Arial" w:hAnsi="Arial"/>
                <w:sz w:val="10"/>
                <w:szCs w:val="10"/>
                <w:color w:val="auto"/>
              </w:rPr>
              <w:t>1.83%</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2.91%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108 bps</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10"/>
                <w:szCs w:val="10"/>
                <w:color w:val="auto"/>
              </w:rPr>
              <w:t>ROE</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31"/>
              <w:spacing w:after="0" w:line="110" w:lineRule="exact"/>
              <w:rPr>
                <w:sz w:val="20"/>
                <w:szCs w:val="20"/>
                <w:color w:val="auto"/>
              </w:rPr>
            </w:pPr>
            <w:r>
              <w:rPr>
                <w:rFonts w:ascii="Arial" w:cs="Arial" w:eastAsia="Arial" w:hAnsi="Arial"/>
                <w:sz w:val="10"/>
                <w:szCs w:val="10"/>
                <w:color w:val="auto"/>
              </w:rPr>
              <w:t>14.4%</w:t>
            </w:r>
          </w:p>
        </w:tc>
        <w:tc>
          <w:tcPr>
            <w:tcW w:w="880" w:type="dxa"/>
            <w:vAlign w:val="bottom"/>
          </w:tcPr>
          <w:p>
            <w:pPr>
              <w:jc w:val="right"/>
              <w:ind w:right="111"/>
              <w:spacing w:after="0" w:line="110" w:lineRule="exact"/>
              <w:rPr>
                <w:sz w:val="20"/>
                <w:szCs w:val="20"/>
                <w:color w:val="auto"/>
              </w:rPr>
            </w:pPr>
            <w:r>
              <w:rPr>
                <w:rFonts w:ascii="Arial" w:cs="Arial" w:eastAsia="Arial" w:hAnsi="Arial"/>
                <w:sz w:val="10"/>
                <w:szCs w:val="10"/>
                <w:color w:val="auto"/>
              </w:rPr>
              <w:t>16.2%</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10.6%</w:t>
            </w:r>
          </w:p>
        </w:tc>
        <w:tc>
          <w:tcPr>
            <w:tcW w:w="780" w:type="dxa"/>
            <w:vAlign w:val="bottom"/>
          </w:tcPr>
          <w:p>
            <w:pPr>
              <w:jc w:val="center"/>
              <w:spacing w:after="0" w:line="110" w:lineRule="exact"/>
              <w:rPr>
                <w:sz w:val="20"/>
                <w:szCs w:val="20"/>
                <w:color w:val="auto"/>
              </w:rPr>
            </w:pPr>
            <w:r>
              <w:rPr>
                <w:rFonts w:ascii="Arial" w:cs="Arial" w:eastAsia="Arial" w:hAnsi="Arial"/>
                <w:sz w:val="10"/>
                <w:szCs w:val="10"/>
                <w:color w:val="auto"/>
                <w:w w:val="97"/>
              </w:rPr>
              <w:t>-559 bps</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7"/>
              </w:rPr>
              <w:t>-379 bps</w:t>
            </w:r>
          </w:p>
        </w:tc>
        <w:tc>
          <w:tcPr>
            <w:tcW w:w="1100" w:type="dxa"/>
            <w:vAlign w:val="bottom"/>
          </w:tcPr>
          <w:p>
            <w:pPr>
              <w:jc w:val="right"/>
              <w:ind w:right="171"/>
              <w:spacing w:after="0" w:line="110" w:lineRule="exact"/>
              <w:rPr>
                <w:sz w:val="20"/>
                <w:szCs w:val="20"/>
                <w:color w:val="auto"/>
              </w:rPr>
            </w:pPr>
            <w:r>
              <w:rPr>
                <w:rFonts w:ascii="Arial" w:cs="Arial" w:eastAsia="Arial" w:hAnsi="Arial"/>
                <w:sz w:val="10"/>
                <w:szCs w:val="10"/>
                <w:color w:val="auto"/>
              </w:rPr>
              <w:t>16.8%</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15.8%</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5"/>
              </w:rPr>
              <w:t>-98 bps</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0"/>
                <w:szCs w:val="10"/>
                <w:color w:val="auto"/>
              </w:rPr>
              <w:t>ROA</w:t>
            </w:r>
          </w:p>
        </w:tc>
        <w:tc>
          <w:tcPr>
            <w:tcW w:w="14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2.1%</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2.1%</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-69 bps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-74 bps</w:t>
            </w: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2.0%</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4 bps</w:t>
            </w:r>
          </w:p>
        </w:tc>
        <w:tc>
          <w:tcPr>
            <w:tcW w:w="0" w:type="dxa"/>
            <w:vAlign w:val="bottom"/>
          </w:tcPr>
          <w:p>
            <w:pPr>
              <w:spacing w:after="0"/>
              <w:rPr>
                <w:sz w:val="1"/>
                <w:szCs w:val="1"/>
                <w:color w:val="auto"/>
              </w:rPr>
            </w:pPr>
          </w:p>
        </w:tc>
      </w:tr>
      <w:tr>
        <w:trPr>
          <w:trHeight w:val="81"/>
        </w:trPr>
        <w:tc>
          <w:tcPr>
            <w:tcW w:w="2840" w:type="dxa"/>
            <w:vAlign w:val="bottom"/>
            <w:tcBorders>
              <w:left w:val="single" w:sz="8" w:color="auto"/>
            </w:tcBorders>
          </w:tcPr>
          <w:p>
            <w:pPr>
              <w:ind w:left="100"/>
              <w:spacing w:after="0" w:line="82" w:lineRule="exact"/>
              <w:rPr>
                <w:sz w:val="20"/>
                <w:szCs w:val="20"/>
                <w:color w:val="auto"/>
              </w:rPr>
            </w:pPr>
            <w:r>
              <w:rPr>
                <w:rFonts w:ascii="Arial" w:cs="Arial" w:eastAsia="Arial" w:hAnsi="Arial"/>
                <w:sz w:val="9"/>
                <w:szCs w:val="9"/>
                <w:b w:val="1"/>
                <w:bCs w:val="1"/>
                <w:color w:val="auto"/>
              </w:rPr>
              <w:t>Loan portfolio quality</w:t>
            </w:r>
          </w:p>
        </w:tc>
        <w:tc>
          <w:tcPr>
            <w:tcW w:w="146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840" w:type="dxa"/>
            <w:vAlign w:val="bottom"/>
            <w:tcBorders>
              <w:left w:val="single" w:sz="8" w:color="auto"/>
            </w:tcBorders>
          </w:tcPr>
          <w:p>
            <w:pPr>
              <w:ind w:left="100"/>
              <w:spacing w:after="0" w:line="119" w:lineRule="exact"/>
              <w:rPr>
                <w:sz w:val="20"/>
                <w:szCs w:val="20"/>
                <w:color w:val="auto"/>
              </w:rPr>
            </w:pPr>
            <w:r>
              <w:rPr>
                <w:rFonts w:ascii="Arial" w:cs="Arial" w:eastAsia="Arial" w:hAnsi="Arial"/>
                <w:sz w:val="8"/>
                <w:szCs w:val="8"/>
                <w:color w:val="auto"/>
              </w:rPr>
              <w:t>Internal overdue ratio</w:t>
            </w:r>
            <w:r>
              <w:rPr>
                <w:rFonts w:ascii="Arial" w:cs="Arial" w:eastAsia="Arial" w:hAnsi="Arial"/>
                <w:sz w:val="13"/>
                <w:szCs w:val="13"/>
                <w:color w:val="auto"/>
                <w:vertAlign w:val="superscript"/>
              </w:rPr>
              <w:t>(3)</w:t>
            </w:r>
          </w:p>
        </w:tc>
        <w:tc>
          <w:tcPr>
            <w:tcW w:w="1460" w:type="dxa"/>
            <w:vAlign w:val="bottom"/>
            <w:tcBorders>
              <w:right w:val="single" w:sz="8" w:color="auto"/>
            </w:tcBorders>
          </w:tcPr>
          <w:p>
            <w:pPr>
              <w:spacing w:after="0"/>
              <w:rPr>
                <w:sz w:val="10"/>
                <w:szCs w:val="10"/>
                <w:color w:val="auto"/>
              </w:rPr>
            </w:pPr>
          </w:p>
        </w:tc>
        <w:tc>
          <w:tcPr>
            <w:tcW w:w="1060" w:type="dxa"/>
            <w:vAlign w:val="bottom"/>
          </w:tcPr>
          <w:p>
            <w:pPr>
              <w:jc w:val="right"/>
              <w:ind w:right="131"/>
              <w:spacing w:after="0"/>
              <w:rPr>
                <w:sz w:val="20"/>
                <w:szCs w:val="20"/>
                <w:color w:val="auto"/>
              </w:rPr>
            </w:pPr>
            <w:r>
              <w:rPr>
                <w:rFonts w:ascii="Arial" w:cs="Arial" w:eastAsia="Arial" w:hAnsi="Arial"/>
                <w:sz w:val="10"/>
                <w:szCs w:val="10"/>
                <w:color w:val="auto"/>
              </w:rPr>
              <w:t>4.0%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4.4%</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4.2%</w:t>
            </w:r>
          </w:p>
        </w:tc>
        <w:tc>
          <w:tcPr>
            <w:tcW w:w="780" w:type="dxa"/>
            <w:vAlign w:val="bottom"/>
          </w:tcPr>
          <w:p>
            <w:pPr>
              <w:jc w:val="center"/>
              <w:spacing w:after="0"/>
              <w:rPr>
                <w:sz w:val="20"/>
                <w:szCs w:val="20"/>
                <w:color w:val="auto"/>
              </w:rPr>
            </w:pPr>
            <w:r>
              <w:rPr>
                <w:rFonts w:ascii="Arial" w:cs="Arial" w:eastAsia="Arial" w:hAnsi="Arial"/>
                <w:sz w:val="10"/>
                <w:szCs w:val="10"/>
                <w:color w:val="auto"/>
                <w:w w:val="95"/>
              </w:rPr>
              <w:t>-18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23 bps</w:t>
            </w:r>
          </w:p>
        </w:tc>
        <w:tc>
          <w:tcPr>
            <w:tcW w:w="1100" w:type="dxa"/>
            <w:vAlign w:val="bottom"/>
          </w:tcPr>
          <w:p>
            <w:pPr>
              <w:jc w:val="right"/>
              <w:ind w:right="171"/>
              <w:spacing w:after="0"/>
              <w:rPr>
                <w:sz w:val="20"/>
                <w:szCs w:val="20"/>
                <w:color w:val="auto"/>
              </w:rPr>
            </w:pPr>
            <w:r>
              <w:rPr>
                <w:rFonts w:ascii="Arial" w:cs="Arial" w:eastAsia="Arial" w:hAnsi="Arial"/>
                <w:sz w:val="10"/>
                <w:szCs w:val="10"/>
                <w:color w:val="auto"/>
              </w:rPr>
              <w:t>4.0%</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4.2%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23 bps</w:t>
            </w:r>
          </w:p>
        </w:tc>
        <w:tc>
          <w:tcPr>
            <w:tcW w:w="0" w:type="dxa"/>
            <w:vAlign w:val="bottom"/>
          </w:tcPr>
          <w:p>
            <w:pPr>
              <w:spacing w:after="0"/>
              <w:rPr>
                <w:sz w:val="1"/>
                <w:szCs w:val="1"/>
                <w:color w:val="auto"/>
              </w:rPr>
            </w:pPr>
          </w:p>
        </w:tc>
      </w:tr>
      <w:tr>
        <w:trPr>
          <w:trHeight w:val="100"/>
        </w:trPr>
        <w:tc>
          <w:tcPr>
            <w:tcW w:w="2840" w:type="dxa"/>
            <w:vAlign w:val="bottom"/>
            <w:tcBorders>
              <w:left w:val="single" w:sz="8" w:color="auto"/>
            </w:tcBorders>
          </w:tcPr>
          <w:p>
            <w:pPr>
              <w:ind w:left="100"/>
              <w:spacing w:after="0" w:line="100" w:lineRule="exact"/>
              <w:rPr>
                <w:sz w:val="20"/>
                <w:szCs w:val="20"/>
                <w:color w:val="auto"/>
              </w:rPr>
            </w:pPr>
            <w:r>
              <w:rPr>
                <w:rFonts w:ascii="Arial" w:cs="Arial" w:eastAsia="Arial" w:hAnsi="Arial"/>
                <w:sz w:val="10"/>
                <w:szCs w:val="10"/>
                <w:color w:val="auto"/>
              </w:rPr>
              <w:t>Internal overdue ratio over 90 days</w:t>
            </w:r>
          </w:p>
        </w:tc>
        <w:tc>
          <w:tcPr>
            <w:tcW w:w="1460" w:type="dxa"/>
            <w:vAlign w:val="bottom"/>
            <w:tcBorders>
              <w:right w:val="single" w:sz="8" w:color="auto"/>
            </w:tcBorders>
          </w:tcPr>
          <w:p>
            <w:pPr>
              <w:spacing w:after="0"/>
              <w:rPr>
                <w:sz w:val="8"/>
                <w:szCs w:val="8"/>
                <w:color w:val="auto"/>
              </w:rPr>
            </w:pPr>
          </w:p>
        </w:tc>
        <w:tc>
          <w:tcPr>
            <w:tcW w:w="1060" w:type="dxa"/>
            <w:vAlign w:val="bottom"/>
          </w:tcPr>
          <w:p>
            <w:pPr>
              <w:jc w:val="right"/>
              <w:ind w:right="131"/>
              <w:spacing w:after="0" w:line="100" w:lineRule="exact"/>
              <w:rPr>
                <w:sz w:val="20"/>
                <w:szCs w:val="20"/>
                <w:color w:val="auto"/>
              </w:rPr>
            </w:pPr>
            <w:r>
              <w:rPr>
                <w:rFonts w:ascii="Arial" w:cs="Arial" w:eastAsia="Arial" w:hAnsi="Arial"/>
                <w:sz w:val="10"/>
                <w:szCs w:val="10"/>
                <w:color w:val="auto"/>
              </w:rPr>
              <w:t>3.1%</w:t>
            </w:r>
          </w:p>
        </w:tc>
        <w:tc>
          <w:tcPr>
            <w:tcW w:w="880" w:type="dxa"/>
            <w:vAlign w:val="bottom"/>
          </w:tcPr>
          <w:p>
            <w:pPr>
              <w:jc w:val="right"/>
              <w:ind w:right="111"/>
              <w:spacing w:after="0" w:line="100" w:lineRule="exact"/>
              <w:rPr>
                <w:sz w:val="20"/>
                <w:szCs w:val="20"/>
                <w:color w:val="auto"/>
              </w:rPr>
            </w:pPr>
            <w:r>
              <w:rPr>
                <w:rFonts w:ascii="Arial" w:cs="Arial" w:eastAsia="Arial" w:hAnsi="Arial"/>
                <w:sz w:val="10"/>
                <w:szCs w:val="10"/>
                <w:color w:val="auto"/>
              </w:rPr>
              <w:t>3.5%</w:t>
            </w:r>
          </w:p>
        </w:tc>
        <w:tc>
          <w:tcPr>
            <w:tcW w:w="76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0"/>
                <w:szCs w:val="10"/>
                <w:color w:val="auto"/>
              </w:rPr>
              <w:t>3.5%</w:t>
            </w:r>
          </w:p>
        </w:tc>
        <w:tc>
          <w:tcPr>
            <w:tcW w:w="780" w:type="dxa"/>
            <w:vAlign w:val="bottom"/>
          </w:tcPr>
          <w:p>
            <w:pPr>
              <w:jc w:val="center"/>
              <w:spacing w:after="0" w:line="100" w:lineRule="exact"/>
              <w:rPr>
                <w:sz w:val="20"/>
                <w:szCs w:val="20"/>
                <w:color w:val="auto"/>
              </w:rPr>
            </w:pPr>
            <w:r>
              <w:rPr>
                <w:rFonts w:ascii="Arial" w:cs="Arial" w:eastAsia="Arial" w:hAnsi="Arial"/>
                <w:sz w:val="10"/>
                <w:szCs w:val="10"/>
                <w:color w:val="auto"/>
                <w:w w:val="93"/>
              </w:rPr>
              <w:t>-8 bps</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0"/>
                <w:szCs w:val="10"/>
                <w:color w:val="auto"/>
                <w:w w:val="99"/>
              </w:rPr>
              <w:t>35 bps</w:t>
            </w:r>
          </w:p>
        </w:tc>
        <w:tc>
          <w:tcPr>
            <w:tcW w:w="1100" w:type="dxa"/>
            <w:vAlign w:val="bottom"/>
          </w:tcPr>
          <w:p>
            <w:pPr>
              <w:jc w:val="right"/>
              <w:ind w:right="171"/>
              <w:spacing w:after="0" w:line="100" w:lineRule="exact"/>
              <w:rPr>
                <w:sz w:val="20"/>
                <w:szCs w:val="20"/>
                <w:color w:val="auto"/>
              </w:rPr>
            </w:pPr>
            <w:r>
              <w:rPr>
                <w:rFonts w:ascii="Arial" w:cs="Arial" w:eastAsia="Arial" w:hAnsi="Arial"/>
                <w:sz w:val="10"/>
                <w:szCs w:val="10"/>
                <w:color w:val="auto"/>
              </w:rPr>
              <w:t>3.1%</w:t>
            </w:r>
          </w:p>
        </w:tc>
        <w:tc>
          <w:tcPr>
            <w:tcW w:w="68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0"/>
                <w:szCs w:val="10"/>
                <w:color w:val="auto"/>
              </w:rPr>
              <w:t>3.5%</w:t>
            </w:r>
          </w:p>
        </w:tc>
        <w:tc>
          <w:tcPr>
            <w:tcW w:w="9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0"/>
                <w:szCs w:val="10"/>
                <w:color w:val="auto"/>
                <w:w w:val="93"/>
              </w:rPr>
              <w:t>35 bps</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8"/>
                <w:szCs w:val="8"/>
                <w:color w:val="auto"/>
              </w:rPr>
              <w:t>NPL ratio</w:t>
            </w:r>
            <w:r>
              <w:rPr>
                <w:rFonts w:ascii="Arial" w:cs="Arial" w:eastAsia="Arial" w:hAnsi="Arial"/>
                <w:sz w:val="12"/>
                <w:szCs w:val="12"/>
                <w:color w:val="auto"/>
                <w:vertAlign w:val="superscript"/>
              </w:rPr>
              <w:t>(4)</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31"/>
              <w:spacing w:after="0" w:line="110" w:lineRule="exact"/>
              <w:rPr>
                <w:sz w:val="20"/>
                <w:szCs w:val="20"/>
                <w:color w:val="auto"/>
              </w:rPr>
            </w:pPr>
            <w:r>
              <w:rPr>
                <w:rFonts w:ascii="Arial" w:cs="Arial" w:eastAsia="Arial" w:hAnsi="Arial"/>
                <w:sz w:val="10"/>
                <w:szCs w:val="10"/>
                <w:color w:val="auto"/>
              </w:rPr>
              <w:t>5.4%</w:t>
            </w:r>
          </w:p>
        </w:tc>
        <w:tc>
          <w:tcPr>
            <w:tcW w:w="880" w:type="dxa"/>
            <w:vAlign w:val="bottom"/>
          </w:tcPr>
          <w:p>
            <w:pPr>
              <w:jc w:val="right"/>
              <w:ind w:right="111"/>
              <w:spacing w:after="0" w:line="110" w:lineRule="exact"/>
              <w:rPr>
                <w:sz w:val="20"/>
                <w:szCs w:val="20"/>
                <w:color w:val="auto"/>
              </w:rPr>
            </w:pPr>
            <w:r>
              <w:rPr>
                <w:rFonts w:ascii="Arial" w:cs="Arial" w:eastAsia="Arial" w:hAnsi="Arial"/>
                <w:sz w:val="10"/>
                <w:szCs w:val="10"/>
                <w:color w:val="auto"/>
              </w:rPr>
              <w:t>6.0%</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5.9%</w:t>
            </w:r>
          </w:p>
        </w:tc>
        <w:tc>
          <w:tcPr>
            <w:tcW w:w="780" w:type="dxa"/>
            <w:vAlign w:val="bottom"/>
          </w:tcPr>
          <w:p>
            <w:pPr>
              <w:jc w:val="center"/>
              <w:spacing w:after="0" w:line="110" w:lineRule="exact"/>
              <w:rPr>
                <w:sz w:val="20"/>
                <w:szCs w:val="20"/>
                <w:color w:val="auto"/>
              </w:rPr>
            </w:pPr>
            <w:r>
              <w:rPr>
                <w:rFonts w:ascii="Arial" w:cs="Arial" w:eastAsia="Arial" w:hAnsi="Arial"/>
                <w:sz w:val="10"/>
                <w:szCs w:val="10"/>
                <w:color w:val="auto"/>
                <w:w w:val="93"/>
              </w:rPr>
              <w:t>-8 bps</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9"/>
              </w:rPr>
              <w:t>48 bps</w:t>
            </w:r>
          </w:p>
        </w:tc>
        <w:tc>
          <w:tcPr>
            <w:tcW w:w="1100" w:type="dxa"/>
            <w:vAlign w:val="bottom"/>
          </w:tcPr>
          <w:p>
            <w:pPr>
              <w:jc w:val="right"/>
              <w:ind w:right="171"/>
              <w:spacing w:after="0" w:line="110" w:lineRule="exact"/>
              <w:rPr>
                <w:sz w:val="20"/>
                <w:szCs w:val="20"/>
                <w:color w:val="auto"/>
              </w:rPr>
            </w:pPr>
            <w:r>
              <w:rPr>
                <w:rFonts w:ascii="Arial" w:cs="Arial" w:eastAsia="Arial" w:hAnsi="Arial"/>
                <w:sz w:val="10"/>
                <w:szCs w:val="10"/>
                <w:color w:val="auto"/>
              </w:rPr>
              <w:t>5.4%</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5.9%</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3"/>
              </w:rPr>
              <w:t>48 bps</w:t>
            </w:r>
          </w:p>
        </w:tc>
        <w:tc>
          <w:tcPr>
            <w:tcW w:w="0" w:type="dxa"/>
            <w:vAlign w:val="bottom"/>
          </w:tcPr>
          <w:p>
            <w:pPr>
              <w:spacing w:after="0"/>
              <w:rPr>
                <w:sz w:val="1"/>
                <w:szCs w:val="1"/>
                <w:color w:val="auto"/>
              </w:rPr>
            </w:pPr>
          </w:p>
        </w:tc>
      </w:tr>
      <w:tr>
        <w:trPr>
          <w:trHeight w:val="119"/>
        </w:trPr>
        <w:tc>
          <w:tcPr>
            <w:tcW w:w="2840" w:type="dxa"/>
            <w:vAlign w:val="bottom"/>
            <w:tcBorders>
              <w:left w:val="single" w:sz="8" w:color="auto"/>
            </w:tcBorders>
          </w:tcPr>
          <w:p>
            <w:pPr>
              <w:ind w:left="100"/>
              <w:spacing w:after="0" w:line="119" w:lineRule="exact"/>
              <w:rPr>
                <w:sz w:val="20"/>
                <w:szCs w:val="20"/>
                <w:color w:val="auto"/>
              </w:rPr>
            </w:pPr>
            <w:r>
              <w:rPr>
                <w:rFonts w:ascii="Arial" w:cs="Arial" w:eastAsia="Arial" w:hAnsi="Arial"/>
                <w:sz w:val="8"/>
                <w:szCs w:val="8"/>
                <w:color w:val="auto"/>
              </w:rPr>
              <w:t>Cost of risk</w:t>
            </w:r>
            <w:r>
              <w:rPr>
                <w:rFonts w:ascii="Arial" w:cs="Arial" w:eastAsia="Arial" w:hAnsi="Arial"/>
                <w:sz w:val="13"/>
                <w:szCs w:val="13"/>
                <w:color w:val="auto"/>
                <w:vertAlign w:val="superscript"/>
              </w:rPr>
              <w:t>(5)</w:t>
            </w:r>
          </w:p>
        </w:tc>
        <w:tc>
          <w:tcPr>
            <w:tcW w:w="1460" w:type="dxa"/>
            <w:vAlign w:val="bottom"/>
            <w:tcBorders>
              <w:right w:val="single" w:sz="8" w:color="auto"/>
            </w:tcBorders>
          </w:tcPr>
          <w:p>
            <w:pPr>
              <w:spacing w:after="0"/>
              <w:rPr>
                <w:sz w:val="10"/>
                <w:szCs w:val="10"/>
                <w:color w:val="auto"/>
              </w:rPr>
            </w:pPr>
          </w:p>
        </w:tc>
        <w:tc>
          <w:tcPr>
            <w:tcW w:w="1060" w:type="dxa"/>
            <w:vAlign w:val="bottom"/>
          </w:tcPr>
          <w:p>
            <w:pPr>
              <w:jc w:val="right"/>
              <w:ind w:right="131"/>
              <w:spacing w:after="0"/>
              <w:rPr>
                <w:sz w:val="20"/>
                <w:szCs w:val="20"/>
                <w:color w:val="auto"/>
              </w:rPr>
            </w:pPr>
            <w:r>
              <w:rPr>
                <w:rFonts w:ascii="Arial" w:cs="Arial" w:eastAsia="Arial" w:hAnsi="Arial"/>
                <w:sz w:val="10"/>
                <w:szCs w:val="10"/>
                <w:color w:val="auto"/>
              </w:rPr>
              <w:t>2.0%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2.5%</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780" w:type="dxa"/>
            <w:vAlign w:val="bottom"/>
          </w:tcPr>
          <w:p>
            <w:pPr>
              <w:jc w:val="center"/>
              <w:spacing w:after="0"/>
              <w:rPr>
                <w:sz w:val="20"/>
                <w:szCs w:val="20"/>
                <w:color w:val="auto"/>
              </w:rPr>
            </w:pPr>
            <w:r>
              <w:rPr>
                <w:rFonts w:ascii="Arial" w:cs="Arial" w:eastAsia="Arial" w:hAnsi="Arial"/>
                <w:sz w:val="10"/>
                <w:szCs w:val="10"/>
                <w:color w:val="auto"/>
                <w:w w:val="99"/>
              </w:rPr>
              <w:t>71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127 bps</w:t>
            </w:r>
          </w:p>
        </w:tc>
        <w:tc>
          <w:tcPr>
            <w:tcW w:w="1100" w:type="dxa"/>
            <w:vAlign w:val="bottom"/>
          </w:tcPr>
          <w:p>
            <w:pPr>
              <w:jc w:val="right"/>
              <w:ind w:right="171"/>
              <w:spacing w:after="0"/>
              <w:rPr>
                <w:sz w:val="20"/>
                <w:szCs w:val="20"/>
                <w:color w:val="auto"/>
              </w:rPr>
            </w:pPr>
            <w:r>
              <w:rPr>
                <w:rFonts w:ascii="Arial" w:cs="Arial" w:eastAsia="Arial" w:hAnsi="Arial"/>
                <w:sz w:val="10"/>
                <w:szCs w:val="10"/>
                <w:color w:val="auto"/>
              </w:rPr>
              <w:t>1.2%</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2.5%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128 bps</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10"/>
                <w:szCs w:val="10"/>
                <w:color w:val="auto"/>
              </w:rPr>
              <w:t>Coverage ratio of IOLs</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right"/>
              <w:ind w:right="131"/>
              <w:spacing w:after="0" w:line="110" w:lineRule="exact"/>
              <w:rPr>
                <w:sz w:val="20"/>
                <w:szCs w:val="20"/>
                <w:color w:val="auto"/>
              </w:rPr>
            </w:pPr>
            <w:r>
              <w:rPr>
                <w:rFonts w:ascii="Arial" w:cs="Arial" w:eastAsia="Arial" w:hAnsi="Arial"/>
                <w:sz w:val="10"/>
                <w:szCs w:val="10"/>
                <w:color w:val="auto"/>
              </w:rPr>
              <w:t>132.5%</w:t>
            </w:r>
          </w:p>
        </w:tc>
        <w:tc>
          <w:tcPr>
            <w:tcW w:w="880" w:type="dxa"/>
            <w:vAlign w:val="bottom"/>
          </w:tcPr>
          <w:p>
            <w:pPr>
              <w:jc w:val="right"/>
              <w:ind w:right="111"/>
              <w:spacing w:after="0" w:line="110" w:lineRule="exact"/>
              <w:rPr>
                <w:sz w:val="20"/>
                <w:szCs w:val="20"/>
                <w:color w:val="auto"/>
              </w:rPr>
            </w:pPr>
            <w:r>
              <w:rPr>
                <w:rFonts w:ascii="Arial" w:cs="Arial" w:eastAsia="Arial" w:hAnsi="Arial"/>
                <w:sz w:val="10"/>
                <w:szCs w:val="10"/>
                <w:color w:val="auto"/>
              </w:rPr>
              <w:t>125.8%</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135.1%</w:t>
            </w:r>
          </w:p>
        </w:tc>
        <w:tc>
          <w:tcPr>
            <w:tcW w:w="780" w:type="dxa"/>
            <w:vAlign w:val="bottom"/>
          </w:tcPr>
          <w:p>
            <w:pPr>
              <w:jc w:val="center"/>
              <w:spacing w:after="0" w:line="110" w:lineRule="exact"/>
              <w:rPr>
                <w:sz w:val="20"/>
                <w:szCs w:val="20"/>
                <w:color w:val="auto"/>
              </w:rPr>
            </w:pPr>
            <w:r>
              <w:rPr>
                <w:rFonts w:ascii="Arial" w:cs="Arial" w:eastAsia="Arial" w:hAnsi="Arial"/>
                <w:sz w:val="10"/>
                <w:szCs w:val="10"/>
                <w:color w:val="auto"/>
                <w:w w:val="95"/>
              </w:rPr>
              <w:t>937 bps</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95"/>
              </w:rPr>
              <w:t>258 bps</w:t>
            </w:r>
          </w:p>
        </w:tc>
        <w:tc>
          <w:tcPr>
            <w:tcW w:w="1100" w:type="dxa"/>
            <w:vAlign w:val="bottom"/>
          </w:tcPr>
          <w:p>
            <w:pPr>
              <w:jc w:val="right"/>
              <w:ind w:right="171"/>
              <w:spacing w:after="0" w:line="110" w:lineRule="exact"/>
              <w:rPr>
                <w:sz w:val="20"/>
                <w:szCs w:val="20"/>
                <w:color w:val="auto"/>
              </w:rPr>
            </w:pPr>
            <w:r>
              <w:rPr>
                <w:rFonts w:ascii="Arial" w:cs="Arial" w:eastAsia="Arial" w:hAnsi="Arial"/>
                <w:sz w:val="10"/>
                <w:szCs w:val="10"/>
                <w:color w:val="auto"/>
              </w:rPr>
              <w:t>132.5%</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135.1%</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258 bps</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0"/>
                <w:szCs w:val="10"/>
                <w:color w:val="auto"/>
              </w:rPr>
              <w:t>Coverage ratio of NPLs</w:t>
            </w:r>
          </w:p>
        </w:tc>
        <w:tc>
          <w:tcPr>
            <w:tcW w:w="14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97.9%</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93.0%</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97.0%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399 bps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-91 bps</w:t>
            </w: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97.9%</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97.0%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-91 bps</w:t>
            </w:r>
          </w:p>
        </w:tc>
        <w:tc>
          <w:tcPr>
            <w:tcW w:w="0" w:type="dxa"/>
            <w:vAlign w:val="bottom"/>
          </w:tcPr>
          <w:p>
            <w:pPr>
              <w:spacing w:after="0"/>
              <w:rPr>
                <w:sz w:val="1"/>
                <w:szCs w:val="1"/>
                <w:color w:val="auto"/>
              </w:rPr>
            </w:pPr>
          </w:p>
        </w:tc>
      </w:tr>
      <w:tr>
        <w:trPr>
          <w:trHeight w:val="81"/>
        </w:trPr>
        <w:tc>
          <w:tcPr>
            <w:tcW w:w="2840" w:type="dxa"/>
            <w:vAlign w:val="bottom"/>
            <w:tcBorders>
              <w:left w:val="single" w:sz="8" w:color="auto"/>
            </w:tcBorders>
          </w:tcPr>
          <w:p>
            <w:pPr>
              <w:ind w:left="100"/>
              <w:spacing w:after="0" w:line="82" w:lineRule="exact"/>
              <w:rPr>
                <w:sz w:val="20"/>
                <w:szCs w:val="20"/>
                <w:color w:val="auto"/>
              </w:rPr>
            </w:pPr>
            <w:r>
              <w:rPr>
                <w:rFonts w:ascii="Arial" w:cs="Arial" w:eastAsia="Arial" w:hAnsi="Arial"/>
                <w:sz w:val="9"/>
                <w:szCs w:val="9"/>
                <w:b w:val="1"/>
                <w:bCs w:val="1"/>
                <w:color w:val="auto"/>
              </w:rPr>
              <w:t>Operating efficiency</w:t>
            </w:r>
          </w:p>
        </w:tc>
        <w:tc>
          <w:tcPr>
            <w:tcW w:w="146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840" w:type="dxa"/>
            <w:vAlign w:val="bottom"/>
            <w:tcBorders>
              <w:left w:val="single" w:sz="8" w:color="auto"/>
            </w:tcBorders>
          </w:tcPr>
          <w:p>
            <w:pPr>
              <w:ind w:left="100"/>
              <w:spacing w:after="0" w:line="119" w:lineRule="exact"/>
              <w:rPr>
                <w:sz w:val="20"/>
                <w:szCs w:val="20"/>
                <w:color w:val="auto"/>
              </w:rPr>
            </w:pPr>
            <w:r>
              <w:rPr>
                <w:rFonts w:ascii="Arial" w:cs="Arial" w:eastAsia="Arial" w:hAnsi="Arial"/>
                <w:sz w:val="8"/>
                <w:szCs w:val="8"/>
                <w:color w:val="auto"/>
              </w:rPr>
              <w:t>Efficiency ratio</w:t>
            </w:r>
            <w:r>
              <w:rPr>
                <w:rFonts w:ascii="Arial" w:cs="Arial" w:eastAsia="Arial" w:hAnsi="Arial"/>
                <w:sz w:val="13"/>
                <w:szCs w:val="13"/>
                <w:color w:val="auto"/>
                <w:vertAlign w:val="superscript"/>
              </w:rPr>
              <w:t>(6)</w:t>
            </w:r>
          </w:p>
        </w:tc>
        <w:tc>
          <w:tcPr>
            <w:tcW w:w="1460" w:type="dxa"/>
            <w:vAlign w:val="bottom"/>
            <w:tcBorders>
              <w:right w:val="single" w:sz="8" w:color="auto"/>
            </w:tcBorders>
          </w:tcPr>
          <w:p>
            <w:pPr>
              <w:spacing w:after="0"/>
              <w:rPr>
                <w:sz w:val="10"/>
                <w:szCs w:val="10"/>
                <w:color w:val="auto"/>
              </w:rPr>
            </w:pPr>
          </w:p>
        </w:tc>
        <w:tc>
          <w:tcPr>
            <w:tcW w:w="1060" w:type="dxa"/>
            <w:vAlign w:val="bottom"/>
          </w:tcPr>
          <w:p>
            <w:pPr>
              <w:jc w:val="right"/>
              <w:ind w:right="131"/>
              <w:spacing w:after="0"/>
              <w:rPr>
                <w:sz w:val="20"/>
                <w:szCs w:val="20"/>
                <w:color w:val="auto"/>
              </w:rPr>
            </w:pPr>
            <w:r>
              <w:rPr>
                <w:rFonts w:ascii="Arial" w:cs="Arial" w:eastAsia="Arial" w:hAnsi="Arial"/>
                <w:sz w:val="10"/>
                <w:szCs w:val="10"/>
                <w:color w:val="auto"/>
              </w:rPr>
              <w:t>49.5%</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46.3%</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49.0%</w:t>
            </w:r>
          </w:p>
        </w:tc>
        <w:tc>
          <w:tcPr>
            <w:tcW w:w="780" w:type="dxa"/>
            <w:vAlign w:val="bottom"/>
          </w:tcPr>
          <w:p>
            <w:pPr>
              <w:jc w:val="center"/>
              <w:spacing w:after="0"/>
              <w:rPr>
                <w:sz w:val="20"/>
                <w:szCs w:val="20"/>
                <w:color w:val="auto"/>
              </w:rPr>
            </w:pPr>
            <w:r>
              <w:rPr>
                <w:rFonts w:ascii="Arial" w:cs="Arial" w:eastAsia="Arial" w:hAnsi="Arial"/>
                <w:sz w:val="10"/>
                <w:szCs w:val="10"/>
                <w:color w:val="auto"/>
                <w:w w:val="95"/>
              </w:rPr>
              <w:t>265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-57 bps</w:t>
            </w:r>
          </w:p>
        </w:tc>
        <w:tc>
          <w:tcPr>
            <w:tcW w:w="1100" w:type="dxa"/>
            <w:vAlign w:val="bottom"/>
          </w:tcPr>
          <w:p>
            <w:pPr>
              <w:jc w:val="right"/>
              <w:ind w:right="171"/>
              <w:spacing w:after="0"/>
              <w:rPr>
                <w:sz w:val="20"/>
                <w:szCs w:val="20"/>
                <w:color w:val="auto"/>
              </w:rPr>
            </w:pPr>
            <w:r>
              <w:rPr>
                <w:rFonts w:ascii="Arial" w:cs="Arial" w:eastAsia="Arial" w:hAnsi="Arial"/>
                <w:sz w:val="10"/>
                <w:szCs w:val="10"/>
                <w:color w:val="auto"/>
              </w:rPr>
              <w:t>47.5%</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46.1%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-142 bps</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0"/>
                <w:szCs w:val="10"/>
                <w:color w:val="auto"/>
              </w:rPr>
              <w:t>Operating expenses / Total average assets</w:t>
            </w:r>
          </w:p>
        </w:tc>
        <w:tc>
          <w:tcPr>
            <w:tcW w:w="14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3.8%</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3.8%</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4.0%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26 bps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22 bps</w:t>
            </w: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4.4%</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50 bps</w:t>
            </w:r>
          </w:p>
        </w:tc>
        <w:tc>
          <w:tcPr>
            <w:tcW w:w="0" w:type="dxa"/>
            <w:vAlign w:val="bottom"/>
          </w:tcPr>
          <w:p>
            <w:pPr>
              <w:spacing w:after="0"/>
              <w:rPr>
                <w:sz w:val="1"/>
                <w:szCs w:val="1"/>
                <w:color w:val="auto"/>
              </w:rPr>
            </w:pPr>
          </w:p>
        </w:tc>
      </w:tr>
      <w:tr>
        <w:trPr>
          <w:trHeight w:val="81"/>
        </w:trPr>
        <w:tc>
          <w:tcPr>
            <w:tcW w:w="2840" w:type="dxa"/>
            <w:vAlign w:val="bottom"/>
            <w:tcBorders>
              <w:left w:val="single" w:sz="8" w:color="auto"/>
            </w:tcBorders>
          </w:tcPr>
          <w:p>
            <w:pPr>
              <w:ind w:left="100"/>
              <w:spacing w:after="0" w:line="82" w:lineRule="exact"/>
              <w:rPr>
                <w:sz w:val="20"/>
                <w:szCs w:val="20"/>
                <w:color w:val="auto"/>
              </w:rPr>
            </w:pPr>
            <w:r>
              <w:rPr>
                <w:rFonts w:ascii="Arial" w:cs="Arial" w:eastAsia="Arial" w:hAnsi="Arial"/>
                <w:sz w:val="9"/>
                <w:szCs w:val="9"/>
                <w:b w:val="1"/>
                <w:bCs w:val="1"/>
                <w:color w:val="auto"/>
              </w:rPr>
              <w:t>Capital adequacy - BCP Stand-alone</w:t>
            </w:r>
          </w:p>
        </w:tc>
        <w:tc>
          <w:tcPr>
            <w:tcW w:w="146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840" w:type="dxa"/>
            <w:vAlign w:val="bottom"/>
            <w:tcBorders>
              <w:left w:val="single" w:sz="8" w:color="auto"/>
            </w:tcBorders>
          </w:tcPr>
          <w:p>
            <w:pPr>
              <w:ind w:left="100"/>
              <w:spacing w:after="0" w:line="119" w:lineRule="exact"/>
              <w:rPr>
                <w:sz w:val="20"/>
                <w:szCs w:val="20"/>
                <w:color w:val="auto"/>
              </w:rPr>
            </w:pPr>
            <w:r>
              <w:rPr>
                <w:rFonts w:ascii="Arial" w:cs="Arial" w:eastAsia="Arial" w:hAnsi="Arial"/>
                <w:sz w:val="8"/>
                <w:szCs w:val="8"/>
                <w:color w:val="auto"/>
              </w:rPr>
              <w:t>Global Capital ratio</w:t>
            </w:r>
            <w:r>
              <w:rPr>
                <w:rFonts w:ascii="Arial" w:cs="Arial" w:eastAsia="Arial" w:hAnsi="Arial"/>
                <w:sz w:val="13"/>
                <w:szCs w:val="13"/>
                <w:color w:val="auto"/>
                <w:vertAlign w:val="superscript"/>
              </w:rPr>
              <w:t>(7)</w:t>
            </w:r>
          </w:p>
        </w:tc>
        <w:tc>
          <w:tcPr>
            <w:tcW w:w="1460" w:type="dxa"/>
            <w:vAlign w:val="bottom"/>
            <w:tcBorders>
              <w:right w:val="single" w:sz="8" w:color="auto"/>
            </w:tcBorders>
          </w:tcPr>
          <w:p>
            <w:pPr>
              <w:spacing w:after="0"/>
              <w:rPr>
                <w:sz w:val="10"/>
                <w:szCs w:val="10"/>
                <w:color w:val="auto"/>
              </w:rPr>
            </w:pPr>
          </w:p>
        </w:tc>
        <w:tc>
          <w:tcPr>
            <w:tcW w:w="1060" w:type="dxa"/>
            <w:vAlign w:val="bottom"/>
          </w:tcPr>
          <w:p>
            <w:pPr>
              <w:jc w:val="center"/>
              <w:ind w:left="511"/>
              <w:spacing w:after="0"/>
              <w:rPr>
                <w:sz w:val="20"/>
                <w:szCs w:val="20"/>
                <w:color w:val="auto"/>
              </w:rPr>
            </w:pPr>
            <w:r>
              <w:rPr>
                <w:rFonts w:ascii="Arial" w:cs="Arial" w:eastAsia="Arial" w:hAnsi="Arial"/>
                <w:sz w:val="10"/>
                <w:szCs w:val="10"/>
                <w:color w:val="auto"/>
              </w:rPr>
              <w:t>n.a</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17.5%</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17.5%</w:t>
            </w:r>
          </w:p>
        </w:tc>
        <w:tc>
          <w:tcPr>
            <w:tcW w:w="780" w:type="dxa"/>
            <w:vAlign w:val="bottom"/>
          </w:tcPr>
          <w:p>
            <w:pPr>
              <w:jc w:val="center"/>
              <w:spacing w:after="0"/>
              <w:rPr>
                <w:sz w:val="20"/>
                <w:szCs w:val="20"/>
                <w:color w:val="auto"/>
              </w:rPr>
            </w:pPr>
            <w:r>
              <w:rPr>
                <w:rFonts w:ascii="Arial" w:cs="Arial" w:eastAsia="Arial" w:hAnsi="Arial"/>
                <w:sz w:val="10"/>
                <w:szCs w:val="10"/>
                <w:color w:val="auto"/>
                <w:w w:val="93"/>
              </w:rPr>
              <w:t>-5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n.a</w:t>
            </w:r>
          </w:p>
        </w:tc>
        <w:tc>
          <w:tcPr>
            <w:tcW w:w="1100" w:type="dxa"/>
            <w:vAlign w:val="bottom"/>
          </w:tcPr>
          <w:p>
            <w:pPr>
              <w:jc w:val="right"/>
              <w:ind w:right="211"/>
              <w:spacing w:after="0"/>
              <w:rPr>
                <w:sz w:val="20"/>
                <w:szCs w:val="20"/>
                <w:color w:val="auto"/>
              </w:rPr>
            </w:pPr>
            <w:r>
              <w:rPr>
                <w:rFonts w:ascii="Arial" w:cs="Arial" w:eastAsia="Arial" w:hAnsi="Arial"/>
                <w:sz w:val="10"/>
                <w:szCs w:val="10"/>
                <w:color w:val="auto"/>
              </w:rPr>
              <w:t>n.a</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17.5%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5"/>
              </w:rPr>
              <w:t>n.a</w:t>
            </w:r>
          </w:p>
        </w:tc>
        <w:tc>
          <w:tcPr>
            <w:tcW w:w="0" w:type="dxa"/>
            <w:vAlign w:val="bottom"/>
          </w:tcPr>
          <w:p>
            <w:pPr>
              <w:spacing w:after="0"/>
              <w:rPr>
                <w:sz w:val="1"/>
                <w:szCs w:val="1"/>
                <w:color w:val="auto"/>
              </w:rPr>
            </w:pPr>
          </w:p>
        </w:tc>
      </w:tr>
      <w:tr>
        <w:trPr>
          <w:trHeight w:val="100"/>
        </w:trPr>
        <w:tc>
          <w:tcPr>
            <w:tcW w:w="2840" w:type="dxa"/>
            <w:vAlign w:val="bottom"/>
            <w:tcBorders>
              <w:left w:val="single" w:sz="8" w:color="auto"/>
            </w:tcBorders>
          </w:tcPr>
          <w:p>
            <w:pPr>
              <w:ind w:left="100"/>
              <w:spacing w:after="0" w:line="100" w:lineRule="exact"/>
              <w:rPr>
                <w:sz w:val="20"/>
                <w:szCs w:val="20"/>
                <w:color w:val="auto"/>
              </w:rPr>
            </w:pPr>
            <w:r>
              <w:rPr>
                <w:rFonts w:ascii="Arial" w:cs="Arial" w:eastAsia="Arial" w:hAnsi="Arial"/>
                <w:sz w:val="10"/>
                <w:szCs w:val="10"/>
                <w:color w:val="auto"/>
              </w:rPr>
              <w:t>Tier 1 ratio(8)</w:t>
            </w:r>
          </w:p>
        </w:tc>
        <w:tc>
          <w:tcPr>
            <w:tcW w:w="1460" w:type="dxa"/>
            <w:vAlign w:val="bottom"/>
            <w:tcBorders>
              <w:right w:val="single" w:sz="8" w:color="auto"/>
            </w:tcBorders>
          </w:tcPr>
          <w:p>
            <w:pPr>
              <w:spacing w:after="0"/>
              <w:rPr>
                <w:sz w:val="8"/>
                <w:szCs w:val="8"/>
                <w:color w:val="auto"/>
              </w:rPr>
            </w:pPr>
          </w:p>
        </w:tc>
        <w:tc>
          <w:tcPr>
            <w:tcW w:w="1060" w:type="dxa"/>
            <w:vAlign w:val="bottom"/>
          </w:tcPr>
          <w:p>
            <w:pPr>
              <w:jc w:val="center"/>
              <w:ind w:left="511"/>
              <w:spacing w:after="0" w:line="100" w:lineRule="exact"/>
              <w:rPr>
                <w:sz w:val="20"/>
                <w:szCs w:val="20"/>
                <w:color w:val="auto"/>
              </w:rPr>
            </w:pPr>
            <w:r>
              <w:rPr>
                <w:rFonts w:ascii="Arial" w:cs="Arial" w:eastAsia="Arial" w:hAnsi="Arial"/>
                <w:sz w:val="10"/>
                <w:szCs w:val="10"/>
                <w:color w:val="auto"/>
              </w:rPr>
              <w:t>n.a</w:t>
            </w:r>
          </w:p>
        </w:tc>
        <w:tc>
          <w:tcPr>
            <w:tcW w:w="880" w:type="dxa"/>
            <w:vAlign w:val="bottom"/>
          </w:tcPr>
          <w:p>
            <w:pPr>
              <w:jc w:val="right"/>
              <w:ind w:right="111"/>
              <w:spacing w:after="0" w:line="100" w:lineRule="exact"/>
              <w:rPr>
                <w:sz w:val="20"/>
                <w:szCs w:val="20"/>
                <w:color w:val="auto"/>
              </w:rPr>
            </w:pPr>
            <w:r>
              <w:rPr>
                <w:rFonts w:ascii="Arial" w:cs="Arial" w:eastAsia="Arial" w:hAnsi="Arial"/>
                <w:sz w:val="10"/>
                <w:szCs w:val="10"/>
                <w:color w:val="auto"/>
              </w:rPr>
              <w:t>13.0%</w:t>
            </w:r>
          </w:p>
        </w:tc>
        <w:tc>
          <w:tcPr>
            <w:tcW w:w="76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0"/>
                <w:szCs w:val="10"/>
                <w:color w:val="auto"/>
              </w:rPr>
              <w:t>13.1%</w:t>
            </w:r>
          </w:p>
        </w:tc>
        <w:tc>
          <w:tcPr>
            <w:tcW w:w="780" w:type="dxa"/>
            <w:vAlign w:val="bottom"/>
          </w:tcPr>
          <w:p>
            <w:pPr>
              <w:jc w:val="center"/>
              <w:spacing w:after="0" w:line="100" w:lineRule="exact"/>
              <w:rPr>
                <w:sz w:val="20"/>
                <w:szCs w:val="20"/>
                <w:color w:val="auto"/>
              </w:rPr>
            </w:pPr>
            <w:r>
              <w:rPr>
                <w:rFonts w:ascii="Arial" w:cs="Arial" w:eastAsia="Arial" w:hAnsi="Arial"/>
                <w:sz w:val="10"/>
                <w:szCs w:val="10"/>
                <w:color w:val="auto"/>
                <w:w w:val="97"/>
              </w:rPr>
              <w:t>8 bps</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0"/>
                <w:szCs w:val="10"/>
                <w:color w:val="auto"/>
              </w:rPr>
              <w:t>n.a</w:t>
            </w:r>
          </w:p>
        </w:tc>
        <w:tc>
          <w:tcPr>
            <w:tcW w:w="1100" w:type="dxa"/>
            <w:vAlign w:val="bottom"/>
          </w:tcPr>
          <w:p>
            <w:pPr>
              <w:jc w:val="right"/>
              <w:ind w:right="211"/>
              <w:spacing w:after="0" w:line="100" w:lineRule="exact"/>
              <w:rPr>
                <w:sz w:val="20"/>
                <w:szCs w:val="20"/>
                <w:color w:val="auto"/>
              </w:rPr>
            </w:pPr>
            <w:r>
              <w:rPr>
                <w:rFonts w:ascii="Arial" w:cs="Arial" w:eastAsia="Arial" w:hAnsi="Arial"/>
                <w:sz w:val="10"/>
                <w:szCs w:val="10"/>
                <w:color w:val="auto"/>
              </w:rPr>
              <w:t>n.a</w:t>
            </w:r>
          </w:p>
        </w:tc>
        <w:tc>
          <w:tcPr>
            <w:tcW w:w="68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0"/>
                <w:szCs w:val="10"/>
                <w:color w:val="auto"/>
              </w:rPr>
              <w:t>13.1%</w:t>
            </w:r>
          </w:p>
        </w:tc>
        <w:tc>
          <w:tcPr>
            <w:tcW w:w="9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0"/>
                <w:szCs w:val="10"/>
                <w:color w:val="auto"/>
                <w:w w:val="85"/>
              </w:rPr>
              <w:t>n.a</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bottom w:val="single" w:sz="8" w:color="auto"/>
            </w:tcBorders>
          </w:tcPr>
          <w:p>
            <w:pPr>
              <w:ind w:left="100"/>
              <w:spacing w:after="0" w:line="131" w:lineRule="exact"/>
              <w:rPr>
                <w:sz w:val="20"/>
                <w:szCs w:val="20"/>
                <w:color w:val="auto"/>
              </w:rPr>
            </w:pPr>
            <w:r>
              <w:rPr>
                <w:rFonts w:ascii="Arial" w:cs="Arial" w:eastAsia="Arial" w:hAnsi="Arial"/>
                <w:sz w:val="9"/>
                <w:szCs w:val="9"/>
                <w:color w:val="auto"/>
              </w:rPr>
              <w:t>Common equity tier 1 ratio</w:t>
            </w:r>
            <w:r>
              <w:rPr>
                <w:rFonts w:ascii="Arial" w:cs="Arial" w:eastAsia="Arial" w:hAnsi="Arial"/>
                <w:sz w:val="15"/>
                <w:szCs w:val="15"/>
                <w:color w:val="auto"/>
                <w:vertAlign w:val="superscript"/>
              </w:rPr>
              <w:t>(9)(11)</w:t>
            </w:r>
          </w:p>
        </w:tc>
        <w:tc>
          <w:tcPr>
            <w:tcW w:w="14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12.6%</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13.0%</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13.2%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16 bps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61 bps</w:t>
            </w: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12.6%</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13.2%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61 bps</w:t>
            </w:r>
          </w:p>
        </w:tc>
        <w:tc>
          <w:tcPr>
            <w:tcW w:w="0" w:type="dxa"/>
            <w:vAlign w:val="bottom"/>
          </w:tcPr>
          <w:p>
            <w:pPr>
              <w:spacing w:after="0"/>
              <w:rPr>
                <w:sz w:val="1"/>
                <w:szCs w:val="1"/>
                <w:color w:val="auto"/>
              </w:rPr>
            </w:pPr>
          </w:p>
        </w:tc>
      </w:tr>
      <w:tr>
        <w:trPr>
          <w:trHeight w:val="81"/>
        </w:trPr>
        <w:tc>
          <w:tcPr>
            <w:tcW w:w="2840" w:type="dxa"/>
            <w:vAlign w:val="bottom"/>
            <w:tcBorders>
              <w:left w:val="single" w:sz="8" w:color="auto"/>
            </w:tcBorders>
          </w:tcPr>
          <w:p>
            <w:pPr>
              <w:ind w:left="100"/>
              <w:spacing w:after="0" w:line="82" w:lineRule="exact"/>
              <w:rPr>
                <w:sz w:val="20"/>
                <w:szCs w:val="20"/>
                <w:color w:val="auto"/>
              </w:rPr>
            </w:pPr>
            <w:r>
              <w:rPr>
                <w:rFonts w:ascii="Arial" w:cs="Arial" w:eastAsia="Arial" w:hAnsi="Arial"/>
                <w:sz w:val="9"/>
                <w:szCs w:val="9"/>
                <w:b w:val="1"/>
                <w:bCs w:val="1"/>
                <w:color w:val="auto"/>
              </w:rPr>
              <w:t>Capital adequacy - Mibanco</w:t>
            </w:r>
          </w:p>
        </w:tc>
        <w:tc>
          <w:tcPr>
            <w:tcW w:w="146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8"/>
                <w:szCs w:val="8"/>
                <w:color w:val="auto"/>
              </w:rPr>
              <w:t>Global Capital ratio</w:t>
            </w:r>
            <w:r>
              <w:rPr>
                <w:rFonts w:ascii="Arial" w:cs="Arial" w:eastAsia="Arial" w:hAnsi="Arial"/>
                <w:sz w:val="12"/>
                <w:szCs w:val="12"/>
                <w:color w:val="auto"/>
                <w:vertAlign w:val="superscript"/>
              </w:rPr>
              <w:t>(7)</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center"/>
              <w:ind w:left="511"/>
              <w:spacing w:after="0" w:line="110" w:lineRule="exact"/>
              <w:rPr>
                <w:sz w:val="20"/>
                <w:szCs w:val="20"/>
                <w:color w:val="auto"/>
              </w:rPr>
            </w:pPr>
            <w:r>
              <w:rPr>
                <w:rFonts w:ascii="Arial" w:cs="Arial" w:eastAsia="Arial" w:hAnsi="Arial"/>
                <w:sz w:val="10"/>
                <w:szCs w:val="10"/>
                <w:color w:val="auto"/>
              </w:rPr>
              <w:t>n.a</w:t>
            </w:r>
          </w:p>
        </w:tc>
        <w:tc>
          <w:tcPr>
            <w:tcW w:w="880" w:type="dxa"/>
            <w:vAlign w:val="bottom"/>
          </w:tcPr>
          <w:p>
            <w:pPr>
              <w:jc w:val="right"/>
              <w:ind w:right="111"/>
              <w:spacing w:after="0" w:line="110" w:lineRule="exact"/>
              <w:rPr>
                <w:sz w:val="20"/>
                <w:szCs w:val="20"/>
                <w:color w:val="auto"/>
              </w:rPr>
            </w:pPr>
            <w:r>
              <w:rPr>
                <w:rFonts w:ascii="Arial" w:cs="Arial" w:eastAsia="Arial" w:hAnsi="Arial"/>
                <w:sz w:val="10"/>
                <w:szCs w:val="10"/>
                <w:color w:val="auto"/>
              </w:rPr>
              <w:t>19.8%</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20.6%</w:t>
            </w:r>
          </w:p>
        </w:tc>
        <w:tc>
          <w:tcPr>
            <w:tcW w:w="780" w:type="dxa"/>
            <w:vAlign w:val="bottom"/>
          </w:tcPr>
          <w:p>
            <w:pPr>
              <w:jc w:val="center"/>
              <w:spacing w:after="0" w:line="110" w:lineRule="exact"/>
              <w:rPr>
                <w:sz w:val="20"/>
                <w:szCs w:val="20"/>
                <w:color w:val="auto"/>
              </w:rPr>
            </w:pPr>
            <w:r>
              <w:rPr>
                <w:rFonts w:ascii="Arial" w:cs="Arial" w:eastAsia="Arial" w:hAnsi="Arial"/>
                <w:sz w:val="10"/>
                <w:szCs w:val="10"/>
                <w:color w:val="auto"/>
                <w:w w:val="99"/>
              </w:rPr>
              <w:t>81 bps</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n.a</w:t>
            </w:r>
          </w:p>
        </w:tc>
        <w:tc>
          <w:tcPr>
            <w:tcW w:w="1100" w:type="dxa"/>
            <w:vAlign w:val="bottom"/>
          </w:tcPr>
          <w:p>
            <w:pPr>
              <w:jc w:val="right"/>
              <w:ind w:right="211"/>
              <w:spacing w:after="0" w:line="110" w:lineRule="exact"/>
              <w:rPr>
                <w:sz w:val="20"/>
                <w:szCs w:val="20"/>
                <w:color w:val="auto"/>
              </w:rPr>
            </w:pPr>
            <w:r>
              <w:rPr>
                <w:rFonts w:ascii="Arial" w:cs="Arial" w:eastAsia="Arial" w:hAnsi="Arial"/>
                <w:sz w:val="10"/>
                <w:szCs w:val="10"/>
                <w:color w:val="auto"/>
              </w:rPr>
              <w:t>n.a</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20.6%</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85"/>
              </w:rPr>
              <w:t>n.a</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100"/>
              <w:spacing w:after="0" w:line="110" w:lineRule="exact"/>
              <w:rPr>
                <w:sz w:val="20"/>
                <w:szCs w:val="20"/>
                <w:color w:val="auto"/>
              </w:rPr>
            </w:pPr>
            <w:r>
              <w:rPr>
                <w:rFonts w:ascii="Arial" w:cs="Arial" w:eastAsia="Arial" w:hAnsi="Arial"/>
                <w:sz w:val="8"/>
                <w:szCs w:val="8"/>
                <w:color w:val="auto"/>
              </w:rPr>
              <w:t>Tier 1 ratio</w:t>
            </w:r>
            <w:r>
              <w:rPr>
                <w:rFonts w:ascii="Arial" w:cs="Arial" w:eastAsia="Arial" w:hAnsi="Arial"/>
                <w:sz w:val="12"/>
                <w:szCs w:val="12"/>
                <w:color w:val="auto"/>
                <w:vertAlign w:val="superscript"/>
              </w:rPr>
              <w:t>(8)</w:t>
            </w:r>
          </w:p>
        </w:tc>
        <w:tc>
          <w:tcPr>
            <w:tcW w:w="1460" w:type="dxa"/>
            <w:vAlign w:val="bottom"/>
            <w:tcBorders>
              <w:right w:val="single" w:sz="8" w:color="auto"/>
            </w:tcBorders>
          </w:tcPr>
          <w:p>
            <w:pPr>
              <w:spacing w:after="0"/>
              <w:rPr>
                <w:sz w:val="9"/>
                <w:szCs w:val="9"/>
                <w:color w:val="auto"/>
              </w:rPr>
            </w:pPr>
          </w:p>
        </w:tc>
        <w:tc>
          <w:tcPr>
            <w:tcW w:w="1060" w:type="dxa"/>
            <w:vAlign w:val="bottom"/>
          </w:tcPr>
          <w:p>
            <w:pPr>
              <w:jc w:val="center"/>
              <w:ind w:left="511"/>
              <w:spacing w:after="0" w:line="110" w:lineRule="exact"/>
              <w:rPr>
                <w:sz w:val="20"/>
                <w:szCs w:val="20"/>
                <w:color w:val="auto"/>
              </w:rPr>
            </w:pPr>
            <w:r>
              <w:rPr>
                <w:rFonts w:ascii="Arial" w:cs="Arial" w:eastAsia="Arial" w:hAnsi="Arial"/>
                <w:sz w:val="10"/>
                <w:szCs w:val="10"/>
                <w:color w:val="auto"/>
              </w:rPr>
              <w:t>n.a</w:t>
            </w:r>
          </w:p>
        </w:tc>
        <w:tc>
          <w:tcPr>
            <w:tcW w:w="880" w:type="dxa"/>
            <w:vAlign w:val="bottom"/>
          </w:tcPr>
          <w:p>
            <w:pPr>
              <w:jc w:val="right"/>
              <w:ind w:right="111"/>
              <w:spacing w:after="0" w:line="110" w:lineRule="exact"/>
              <w:rPr>
                <w:sz w:val="20"/>
                <w:szCs w:val="20"/>
                <w:color w:val="auto"/>
              </w:rPr>
            </w:pPr>
            <w:r>
              <w:rPr>
                <w:rFonts w:ascii="Arial" w:cs="Arial" w:eastAsia="Arial" w:hAnsi="Arial"/>
                <w:sz w:val="10"/>
                <w:szCs w:val="10"/>
                <w:color w:val="auto"/>
              </w:rPr>
              <w:t>17.4%</w:t>
            </w:r>
          </w:p>
        </w:tc>
        <w:tc>
          <w:tcPr>
            <w:tcW w:w="76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18.2%</w:t>
            </w:r>
          </w:p>
        </w:tc>
        <w:tc>
          <w:tcPr>
            <w:tcW w:w="780" w:type="dxa"/>
            <w:vAlign w:val="bottom"/>
          </w:tcPr>
          <w:p>
            <w:pPr>
              <w:jc w:val="center"/>
              <w:spacing w:after="0" w:line="110" w:lineRule="exact"/>
              <w:rPr>
                <w:sz w:val="20"/>
                <w:szCs w:val="20"/>
                <w:color w:val="auto"/>
              </w:rPr>
            </w:pPr>
            <w:r>
              <w:rPr>
                <w:rFonts w:ascii="Arial" w:cs="Arial" w:eastAsia="Arial" w:hAnsi="Arial"/>
                <w:sz w:val="10"/>
                <w:szCs w:val="10"/>
                <w:color w:val="auto"/>
                <w:w w:val="99"/>
              </w:rPr>
              <w:t>79 bps</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n.a</w:t>
            </w:r>
          </w:p>
        </w:tc>
        <w:tc>
          <w:tcPr>
            <w:tcW w:w="1100" w:type="dxa"/>
            <w:vAlign w:val="bottom"/>
          </w:tcPr>
          <w:p>
            <w:pPr>
              <w:jc w:val="right"/>
              <w:ind w:right="211"/>
              <w:spacing w:after="0" w:line="110" w:lineRule="exact"/>
              <w:rPr>
                <w:sz w:val="20"/>
                <w:szCs w:val="20"/>
                <w:color w:val="auto"/>
              </w:rPr>
            </w:pPr>
            <w:r>
              <w:rPr>
                <w:rFonts w:ascii="Arial" w:cs="Arial" w:eastAsia="Arial" w:hAnsi="Arial"/>
                <w:sz w:val="10"/>
                <w:szCs w:val="10"/>
                <w:color w:val="auto"/>
              </w:rPr>
              <w:t>n.a</w:t>
            </w:r>
          </w:p>
        </w:tc>
        <w:tc>
          <w:tcPr>
            <w:tcW w:w="68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0"/>
                <w:szCs w:val="10"/>
                <w:color w:val="auto"/>
              </w:rPr>
              <w:t>18.2%</w:t>
            </w:r>
          </w:p>
        </w:tc>
        <w:tc>
          <w:tcPr>
            <w:tcW w:w="9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w w:val="85"/>
              </w:rPr>
              <w:t>n.a</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bottom w:val="single" w:sz="8" w:color="auto"/>
            </w:tcBorders>
          </w:tcPr>
          <w:p>
            <w:pPr>
              <w:ind w:left="100"/>
              <w:spacing w:after="0" w:line="131" w:lineRule="exact"/>
              <w:rPr>
                <w:sz w:val="20"/>
                <w:szCs w:val="20"/>
                <w:color w:val="auto"/>
              </w:rPr>
            </w:pPr>
            <w:r>
              <w:rPr>
                <w:rFonts w:ascii="Arial" w:cs="Arial" w:eastAsia="Arial" w:hAnsi="Arial"/>
                <w:sz w:val="9"/>
                <w:szCs w:val="9"/>
                <w:color w:val="auto"/>
              </w:rPr>
              <w:t>Common equity tier 1 ratio</w:t>
            </w:r>
            <w:r>
              <w:rPr>
                <w:rFonts w:ascii="Arial" w:cs="Arial" w:eastAsia="Arial" w:hAnsi="Arial"/>
                <w:sz w:val="15"/>
                <w:szCs w:val="15"/>
                <w:color w:val="auto"/>
                <w:vertAlign w:val="superscript"/>
              </w:rPr>
              <w:t>(9)(11)</w:t>
            </w:r>
          </w:p>
        </w:tc>
        <w:tc>
          <w:tcPr>
            <w:tcW w:w="14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16.5%</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17.6%</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18.4%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80 bps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191 bps</w:t>
            </w: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16.5%</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18.4%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191 bps</w:t>
            </w:r>
          </w:p>
        </w:tc>
        <w:tc>
          <w:tcPr>
            <w:tcW w:w="0" w:type="dxa"/>
            <w:vAlign w:val="bottom"/>
          </w:tcPr>
          <w:p>
            <w:pPr>
              <w:spacing w:after="0"/>
              <w:rPr>
                <w:sz w:val="1"/>
                <w:szCs w:val="1"/>
                <w:color w:val="auto"/>
              </w:rPr>
            </w:pPr>
          </w:p>
        </w:tc>
      </w:tr>
      <w:tr>
        <w:trPr>
          <w:trHeight w:val="102"/>
        </w:trPr>
        <w:tc>
          <w:tcPr>
            <w:tcW w:w="2840" w:type="dxa"/>
            <w:vAlign w:val="bottom"/>
            <w:tcBorders>
              <w:left w:val="single" w:sz="8" w:color="auto"/>
              <w:bottom w:val="single" w:sz="8" w:color="auto"/>
            </w:tcBorders>
          </w:tcPr>
          <w:p>
            <w:pPr>
              <w:ind w:left="100"/>
              <w:spacing w:after="0" w:line="102" w:lineRule="exact"/>
              <w:rPr>
                <w:sz w:val="20"/>
                <w:szCs w:val="20"/>
                <w:color w:val="auto"/>
              </w:rPr>
            </w:pPr>
            <w:r>
              <w:rPr>
                <w:rFonts w:ascii="Arial" w:cs="Arial" w:eastAsia="Arial" w:hAnsi="Arial"/>
                <w:sz w:val="10"/>
                <w:szCs w:val="10"/>
                <w:b w:val="1"/>
                <w:bCs w:val="1"/>
                <w:color w:val="auto"/>
              </w:rPr>
              <w:t>Employees</w:t>
            </w:r>
          </w:p>
        </w:tc>
        <w:tc>
          <w:tcPr>
            <w:tcW w:w="146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jc w:val="right"/>
              <w:ind w:right="171"/>
              <w:spacing w:after="0" w:line="102" w:lineRule="exact"/>
              <w:rPr>
                <w:sz w:val="20"/>
                <w:szCs w:val="20"/>
                <w:color w:val="auto"/>
              </w:rPr>
            </w:pPr>
            <w:r>
              <w:rPr>
                <w:rFonts w:ascii="Arial" w:cs="Arial" w:eastAsia="Arial" w:hAnsi="Arial"/>
                <w:sz w:val="10"/>
                <w:szCs w:val="10"/>
                <w:color w:val="auto"/>
              </w:rPr>
              <w:t>36,968</w:t>
            </w:r>
          </w:p>
        </w:tc>
        <w:tc>
          <w:tcPr>
            <w:tcW w:w="880" w:type="dxa"/>
            <w:vAlign w:val="bottom"/>
            <w:tcBorders>
              <w:bottom w:val="single" w:sz="8" w:color="auto"/>
            </w:tcBorders>
          </w:tcPr>
          <w:p>
            <w:pPr>
              <w:jc w:val="right"/>
              <w:ind w:right="151"/>
              <w:spacing w:after="0" w:line="102" w:lineRule="exact"/>
              <w:rPr>
                <w:sz w:val="20"/>
                <w:szCs w:val="20"/>
                <w:color w:val="auto"/>
              </w:rPr>
            </w:pPr>
            <w:r>
              <w:rPr>
                <w:rFonts w:ascii="Arial" w:cs="Arial" w:eastAsia="Arial" w:hAnsi="Arial"/>
                <w:sz w:val="10"/>
                <w:szCs w:val="10"/>
                <w:color w:val="auto"/>
              </w:rPr>
              <w:t>37,161</w:t>
            </w:r>
          </w:p>
        </w:tc>
        <w:tc>
          <w:tcPr>
            <w:tcW w:w="760" w:type="dxa"/>
            <w:vAlign w:val="bottom"/>
            <w:tcBorders>
              <w:bottom w:val="single" w:sz="8" w:color="auto"/>
              <w:right w:val="single" w:sz="8" w:color="auto"/>
            </w:tcBorders>
          </w:tcPr>
          <w:p>
            <w:pPr>
              <w:jc w:val="right"/>
              <w:spacing w:after="0" w:line="102" w:lineRule="exact"/>
              <w:rPr>
                <w:sz w:val="20"/>
                <w:szCs w:val="20"/>
                <w:color w:val="auto"/>
              </w:rPr>
            </w:pPr>
            <w:r>
              <w:rPr>
                <w:rFonts w:ascii="Arial" w:cs="Arial" w:eastAsia="Arial" w:hAnsi="Arial"/>
                <w:sz w:val="10"/>
                <w:szCs w:val="10"/>
                <w:color w:val="auto"/>
              </w:rPr>
              <w:t>37,074</w:t>
            </w:r>
          </w:p>
        </w:tc>
        <w:tc>
          <w:tcPr>
            <w:tcW w:w="780" w:type="dxa"/>
            <w:vAlign w:val="bottom"/>
            <w:tcBorders>
              <w:bottom w:val="single" w:sz="8" w:color="auto"/>
            </w:tcBorders>
          </w:tcPr>
          <w:p>
            <w:pPr>
              <w:jc w:val="center"/>
              <w:spacing w:after="0" w:line="102" w:lineRule="exact"/>
              <w:rPr>
                <w:sz w:val="20"/>
                <w:szCs w:val="20"/>
                <w:color w:val="auto"/>
              </w:rPr>
            </w:pPr>
            <w:r>
              <w:rPr>
                <w:rFonts w:ascii="Arial" w:cs="Arial" w:eastAsia="Arial" w:hAnsi="Arial"/>
                <w:sz w:val="10"/>
                <w:szCs w:val="10"/>
                <w:color w:val="auto"/>
                <w:w w:val="99"/>
              </w:rPr>
              <w:t>-0.2%</w:t>
            </w:r>
          </w:p>
        </w:tc>
        <w:tc>
          <w:tcPr>
            <w:tcW w:w="800" w:type="dxa"/>
            <w:vAlign w:val="bottom"/>
            <w:tcBorders>
              <w:bottom w:val="single" w:sz="8" w:color="auto"/>
              <w:right w:val="single" w:sz="8" w:color="auto"/>
            </w:tcBorders>
          </w:tcPr>
          <w:p>
            <w:pPr>
              <w:jc w:val="center"/>
              <w:spacing w:after="0" w:line="102" w:lineRule="exact"/>
              <w:rPr>
                <w:sz w:val="20"/>
                <w:szCs w:val="20"/>
                <w:color w:val="auto"/>
              </w:rPr>
            </w:pPr>
            <w:r>
              <w:rPr>
                <w:rFonts w:ascii="Arial" w:cs="Arial" w:eastAsia="Arial" w:hAnsi="Arial"/>
                <w:sz w:val="10"/>
                <w:szCs w:val="10"/>
                <w:color w:val="auto"/>
                <w:w w:val="96"/>
              </w:rPr>
              <w:t>0.3%</w:t>
            </w:r>
          </w:p>
        </w:tc>
        <w:tc>
          <w:tcPr>
            <w:tcW w:w="1100" w:type="dxa"/>
            <w:vAlign w:val="bottom"/>
            <w:tcBorders>
              <w:bottom w:val="single" w:sz="8" w:color="auto"/>
            </w:tcBorders>
          </w:tcPr>
          <w:p>
            <w:pPr>
              <w:jc w:val="right"/>
              <w:ind w:right="211"/>
              <w:spacing w:after="0" w:line="102" w:lineRule="exact"/>
              <w:rPr>
                <w:sz w:val="20"/>
                <w:szCs w:val="20"/>
                <w:color w:val="auto"/>
              </w:rPr>
            </w:pPr>
            <w:r>
              <w:rPr>
                <w:rFonts w:ascii="Arial" w:cs="Arial" w:eastAsia="Arial" w:hAnsi="Arial"/>
                <w:sz w:val="10"/>
                <w:szCs w:val="10"/>
                <w:color w:val="auto"/>
              </w:rPr>
              <w:t>36,968</w:t>
            </w:r>
          </w:p>
        </w:tc>
        <w:tc>
          <w:tcPr>
            <w:tcW w:w="680" w:type="dxa"/>
            <w:vAlign w:val="bottom"/>
            <w:tcBorders>
              <w:bottom w:val="single" w:sz="8" w:color="auto"/>
              <w:right w:val="single" w:sz="8" w:color="auto"/>
            </w:tcBorders>
          </w:tcPr>
          <w:p>
            <w:pPr>
              <w:jc w:val="right"/>
              <w:spacing w:after="0" w:line="102" w:lineRule="exact"/>
              <w:rPr>
                <w:sz w:val="20"/>
                <w:szCs w:val="20"/>
                <w:color w:val="auto"/>
              </w:rPr>
            </w:pPr>
            <w:r>
              <w:rPr>
                <w:rFonts w:ascii="Arial" w:cs="Arial" w:eastAsia="Arial" w:hAnsi="Arial"/>
                <w:sz w:val="10"/>
                <w:szCs w:val="10"/>
                <w:color w:val="auto"/>
              </w:rPr>
              <w:t>37,074</w:t>
            </w:r>
          </w:p>
        </w:tc>
        <w:tc>
          <w:tcPr>
            <w:tcW w:w="900" w:type="dxa"/>
            <w:vAlign w:val="bottom"/>
            <w:tcBorders>
              <w:bottom w:val="single" w:sz="8" w:color="auto"/>
              <w:right w:val="single" w:sz="8" w:color="auto"/>
            </w:tcBorders>
          </w:tcPr>
          <w:p>
            <w:pPr>
              <w:jc w:val="center"/>
              <w:spacing w:after="0" w:line="102" w:lineRule="exact"/>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91"/>
        </w:trPr>
        <w:tc>
          <w:tcPr>
            <w:tcW w:w="2840" w:type="dxa"/>
            <w:vAlign w:val="bottom"/>
            <w:tcBorders>
              <w:left w:val="single" w:sz="8" w:color="auto"/>
            </w:tcBorders>
          </w:tcPr>
          <w:p>
            <w:pPr>
              <w:ind w:left="100"/>
              <w:spacing w:after="0" w:line="91" w:lineRule="exact"/>
              <w:rPr>
                <w:sz w:val="20"/>
                <w:szCs w:val="20"/>
                <w:color w:val="auto"/>
              </w:rPr>
            </w:pPr>
            <w:r>
              <w:rPr>
                <w:rFonts w:ascii="Arial" w:cs="Arial" w:eastAsia="Arial" w:hAnsi="Arial"/>
                <w:sz w:val="10"/>
                <w:szCs w:val="10"/>
                <w:b w:val="1"/>
                <w:bCs w:val="1"/>
                <w:color w:val="auto"/>
              </w:rPr>
              <w:t>Share Information</w:t>
            </w:r>
          </w:p>
        </w:tc>
        <w:tc>
          <w:tcPr>
            <w:tcW w:w="146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840" w:type="dxa"/>
            <w:vAlign w:val="bottom"/>
            <w:tcBorders>
              <w:left w:val="single" w:sz="8" w:color="auto"/>
            </w:tcBorders>
          </w:tcPr>
          <w:p>
            <w:pPr>
              <w:ind w:left="100"/>
              <w:spacing w:after="0" w:line="100" w:lineRule="exact"/>
              <w:rPr>
                <w:sz w:val="20"/>
                <w:szCs w:val="20"/>
                <w:color w:val="auto"/>
              </w:rPr>
            </w:pPr>
            <w:r>
              <w:rPr>
                <w:rFonts w:ascii="Arial" w:cs="Arial" w:eastAsia="Arial" w:hAnsi="Arial"/>
                <w:sz w:val="10"/>
                <w:szCs w:val="10"/>
                <w:color w:val="auto"/>
              </w:rPr>
              <w:t>Issued Shares</w:t>
            </w:r>
          </w:p>
        </w:tc>
        <w:tc>
          <w:tcPr>
            <w:tcW w:w="1460" w:type="dxa"/>
            <w:vAlign w:val="bottom"/>
            <w:tcBorders>
              <w:right w:val="single" w:sz="8" w:color="auto"/>
            </w:tcBorders>
          </w:tcPr>
          <w:p>
            <w:pPr>
              <w:spacing w:after="0"/>
              <w:rPr>
                <w:sz w:val="8"/>
                <w:szCs w:val="8"/>
                <w:color w:val="auto"/>
              </w:rPr>
            </w:pPr>
          </w:p>
        </w:tc>
        <w:tc>
          <w:tcPr>
            <w:tcW w:w="1060" w:type="dxa"/>
            <w:vAlign w:val="bottom"/>
          </w:tcPr>
          <w:p>
            <w:pPr>
              <w:jc w:val="right"/>
              <w:ind w:right="171"/>
              <w:spacing w:after="0" w:line="100" w:lineRule="exact"/>
              <w:rPr>
                <w:sz w:val="20"/>
                <w:szCs w:val="20"/>
                <w:color w:val="auto"/>
              </w:rPr>
            </w:pPr>
            <w:r>
              <w:rPr>
                <w:rFonts w:ascii="Arial" w:cs="Arial" w:eastAsia="Arial" w:hAnsi="Arial"/>
                <w:sz w:val="10"/>
                <w:szCs w:val="10"/>
                <w:color w:val="auto"/>
              </w:rPr>
              <w:t>94,382</w:t>
            </w:r>
          </w:p>
        </w:tc>
        <w:tc>
          <w:tcPr>
            <w:tcW w:w="880" w:type="dxa"/>
            <w:vAlign w:val="bottom"/>
          </w:tcPr>
          <w:p>
            <w:pPr>
              <w:jc w:val="right"/>
              <w:ind w:right="151"/>
              <w:spacing w:after="0" w:line="100" w:lineRule="exact"/>
              <w:rPr>
                <w:sz w:val="20"/>
                <w:szCs w:val="20"/>
                <w:color w:val="auto"/>
              </w:rPr>
            </w:pPr>
            <w:r>
              <w:rPr>
                <w:rFonts w:ascii="Arial" w:cs="Arial" w:eastAsia="Arial" w:hAnsi="Arial"/>
                <w:sz w:val="10"/>
                <w:szCs w:val="10"/>
                <w:color w:val="auto"/>
              </w:rPr>
              <w:t>94,382</w:t>
            </w:r>
          </w:p>
        </w:tc>
        <w:tc>
          <w:tcPr>
            <w:tcW w:w="76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0"/>
                <w:szCs w:val="10"/>
                <w:color w:val="auto"/>
              </w:rPr>
              <w:t>94,382</w:t>
            </w:r>
          </w:p>
        </w:tc>
        <w:tc>
          <w:tcPr>
            <w:tcW w:w="780" w:type="dxa"/>
            <w:vAlign w:val="bottom"/>
          </w:tcPr>
          <w:p>
            <w:pPr>
              <w:jc w:val="center"/>
              <w:spacing w:after="0" w:line="100" w:lineRule="exact"/>
              <w:rPr>
                <w:sz w:val="20"/>
                <w:szCs w:val="20"/>
                <w:color w:val="auto"/>
              </w:rPr>
            </w:pPr>
            <w:r>
              <w:rPr>
                <w:rFonts w:ascii="Arial" w:cs="Arial" w:eastAsia="Arial" w:hAnsi="Arial"/>
                <w:sz w:val="10"/>
                <w:szCs w:val="10"/>
                <w:color w:val="auto"/>
                <w:w w:val="96"/>
              </w:rPr>
              <w:t>0.0%</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0"/>
                <w:szCs w:val="10"/>
                <w:color w:val="auto"/>
                <w:w w:val="96"/>
              </w:rPr>
              <w:t>0.0%</w:t>
            </w:r>
          </w:p>
        </w:tc>
        <w:tc>
          <w:tcPr>
            <w:tcW w:w="1100" w:type="dxa"/>
            <w:vAlign w:val="bottom"/>
          </w:tcPr>
          <w:p>
            <w:pPr>
              <w:jc w:val="right"/>
              <w:ind w:right="211"/>
              <w:spacing w:after="0" w:line="100" w:lineRule="exact"/>
              <w:rPr>
                <w:sz w:val="20"/>
                <w:szCs w:val="20"/>
                <w:color w:val="auto"/>
              </w:rPr>
            </w:pPr>
            <w:r>
              <w:rPr>
                <w:rFonts w:ascii="Arial" w:cs="Arial" w:eastAsia="Arial" w:hAnsi="Arial"/>
                <w:sz w:val="10"/>
                <w:szCs w:val="10"/>
                <w:color w:val="auto"/>
              </w:rPr>
              <w:t>94,382</w:t>
            </w:r>
          </w:p>
        </w:tc>
        <w:tc>
          <w:tcPr>
            <w:tcW w:w="68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0"/>
                <w:szCs w:val="10"/>
                <w:color w:val="auto"/>
              </w:rPr>
              <w:t>94,382</w:t>
            </w:r>
          </w:p>
        </w:tc>
        <w:tc>
          <w:tcPr>
            <w:tcW w:w="9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r>
        <w:trPr>
          <w:trHeight w:val="119"/>
        </w:trPr>
        <w:tc>
          <w:tcPr>
            <w:tcW w:w="2840" w:type="dxa"/>
            <w:vAlign w:val="bottom"/>
            <w:tcBorders>
              <w:left w:val="single" w:sz="8" w:color="auto"/>
            </w:tcBorders>
          </w:tcPr>
          <w:p>
            <w:pPr>
              <w:ind w:left="100"/>
              <w:spacing w:after="0" w:line="119" w:lineRule="exact"/>
              <w:rPr>
                <w:sz w:val="20"/>
                <w:szCs w:val="20"/>
                <w:color w:val="auto"/>
              </w:rPr>
            </w:pPr>
            <w:r>
              <w:rPr>
                <w:rFonts w:ascii="Arial" w:cs="Arial" w:eastAsia="Arial" w:hAnsi="Arial"/>
                <w:sz w:val="8"/>
                <w:szCs w:val="8"/>
                <w:color w:val="auto"/>
              </w:rPr>
              <w:t xml:space="preserve">Treasury Shares </w:t>
            </w:r>
            <w:r>
              <w:rPr>
                <w:rFonts w:ascii="Arial" w:cs="Arial" w:eastAsia="Arial" w:hAnsi="Arial"/>
                <w:sz w:val="13"/>
                <w:szCs w:val="13"/>
                <w:color w:val="auto"/>
                <w:vertAlign w:val="superscript"/>
              </w:rPr>
              <w:t>(10)</w:t>
            </w:r>
          </w:p>
        </w:tc>
        <w:tc>
          <w:tcPr>
            <w:tcW w:w="1460" w:type="dxa"/>
            <w:vAlign w:val="bottom"/>
            <w:tcBorders>
              <w:right w:val="single" w:sz="8" w:color="auto"/>
            </w:tcBorders>
          </w:tcPr>
          <w:p>
            <w:pPr>
              <w:spacing w:after="0"/>
              <w:rPr>
                <w:sz w:val="10"/>
                <w:szCs w:val="10"/>
                <w:color w:val="auto"/>
              </w:rPr>
            </w:pPr>
          </w:p>
        </w:tc>
        <w:tc>
          <w:tcPr>
            <w:tcW w:w="1060" w:type="dxa"/>
            <w:vAlign w:val="bottom"/>
          </w:tcPr>
          <w:p>
            <w:pPr>
              <w:jc w:val="right"/>
              <w:ind w:right="171"/>
              <w:spacing w:after="0"/>
              <w:rPr>
                <w:sz w:val="20"/>
                <w:szCs w:val="20"/>
                <w:color w:val="auto"/>
              </w:rPr>
            </w:pPr>
            <w:r>
              <w:rPr>
                <w:rFonts w:ascii="Arial" w:cs="Arial" w:eastAsia="Arial" w:hAnsi="Arial"/>
                <w:sz w:val="10"/>
                <w:szCs w:val="10"/>
                <w:color w:val="auto"/>
              </w:rPr>
              <w:t>14,849</w:t>
            </w:r>
          </w:p>
        </w:tc>
        <w:tc>
          <w:tcPr>
            <w:tcW w:w="880" w:type="dxa"/>
            <w:vAlign w:val="bottom"/>
          </w:tcPr>
          <w:p>
            <w:pPr>
              <w:jc w:val="right"/>
              <w:ind w:right="151"/>
              <w:spacing w:after="0"/>
              <w:rPr>
                <w:sz w:val="20"/>
                <w:szCs w:val="20"/>
                <w:color w:val="auto"/>
              </w:rPr>
            </w:pPr>
            <w:r>
              <w:rPr>
                <w:rFonts w:ascii="Arial" w:cs="Arial" w:eastAsia="Arial" w:hAnsi="Arial"/>
                <w:sz w:val="10"/>
                <w:szCs w:val="10"/>
                <w:color w:val="auto"/>
              </w:rPr>
              <w:t>14,847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14,847</w:t>
            </w:r>
          </w:p>
        </w:tc>
        <w:tc>
          <w:tcPr>
            <w:tcW w:w="780" w:type="dxa"/>
            <w:vAlign w:val="bottom"/>
          </w:tcPr>
          <w:p>
            <w:pPr>
              <w:jc w:val="center"/>
              <w:spacing w:after="0"/>
              <w:rPr>
                <w:sz w:val="20"/>
                <w:szCs w:val="20"/>
                <w:color w:val="auto"/>
              </w:rPr>
            </w:pPr>
            <w:r>
              <w:rPr>
                <w:rFonts w:ascii="Arial" w:cs="Arial" w:eastAsia="Arial" w:hAnsi="Arial"/>
                <w:sz w:val="10"/>
                <w:szCs w:val="10"/>
                <w:color w:val="auto"/>
                <w:w w:val="96"/>
              </w:rPr>
              <w:t>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0.0%</w:t>
            </w:r>
          </w:p>
        </w:tc>
        <w:tc>
          <w:tcPr>
            <w:tcW w:w="1100" w:type="dxa"/>
            <w:vAlign w:val="bottom"/>
          </w:tcPr>
          <w:p>
            <w:pPr>
              <w:jc w:val="right"/>
              <w:ind w:right="211"/>
              <w:spacing w:after="0"/>
              <w:rPr>
                <w:sz w:val="20"/>
                <w:szCs w:val="20"/>
                <w:color w:val="auto"/>
              </w:rPr>
            </w:pPr>
            <w:r>
              <w:rPr>
                <w:rFonts w:ascii="Arial" w:cs="Arial" w:eastAsia="Arial" w:hAnsi="Arial"/>
                <w:sz w:val="10"/>
                <w:szCs w:val="10"/>
                <w:color w:val="auto"/>
              </w:rPr>
              <w:t>14,849</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14,847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0"/>
                <w:szCs w:val="10"/>
                <w:color w:val="auto"/>
              </w:rPr>
              <w:t>Outstanding Shares</w:t>
            </w:r>
          </w:p>
        </w:tc>
        <w:tc>
          <w:tcPr>
            <w:tcW w:w="14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79,533</w:t>
            </w: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79,535</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79,535</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0.0%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0.0%</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79,533</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79,535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-4427855</wp:posOffset>
            </wp:positionV>
            <wp:extent cx="1161415" cy="13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87" w:lineRule="exact"/>
        <w:rPr>
          <w:sz w:val="20"/>
          <w:szCs w:val="20"/>
          <w:color w:val="auto"/>
        </w:rPr>
      </w:pPr>
    </w:p>
    <w:p>
      <w:pPr>
        <w:ind w:left="162" w:hanging="162"/>
        <w:spacing w:after="0"/>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Net Interest Margin = Net Interest Income (Excluding Net Insurance Financial Expenses) / Average Interest Earning Assets</w:t>
      </w:r>
    </w:p>
    <w:p>
      <w:pPr>
        <w:spacing w:after="0" w:line="5" w:lineRule="exact"/>
        <w:rPr>
          <w:rFonts w:ascii="Arial" w:cs="Arial" w:eastAsia="Arial" w:hAnsi="Arial"/>
          <w:sz w:val="11"/>
          <w:szCs w:val="11"/>
          <w:color w:val="auto"/>
        </w:rPr>
      </w:pPr>
    </w:p>
    <w:p>
      <w:pPr>
        <w:ind w:left="162" w:hanging="162"/>
        <w:spacing w:after="0" w:line="231" w:lineRule="auto"/>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Funding Cost = Interest Expense (Does not include Net Insurance Financial Expenses) / Average Funding</w:t>
      </w:r>
    </w:p>
    <w:p>
      <w:pPr>
        <w:ind w:left="162" w:hanging="162"/>
        <w:spacing w:after="0" w:line="231" w:lineRule="auto"/>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Internal Overdue Loans: includes overdue loans and loans under legal collection, according to our internal policy for overdue loans. Internal Overdue Ratio: Internal overdue loans / Total loans</w:t>
      </w:r>
    </w:p>
    <w:p>
      <w:pPr>
        <w:ind w:left="162" w:hanging="162"/>
        <w:spacing w:after="0" w:line="231" w:lineRule="auto"/>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Non-performing loans (NPL): Internal overdue loans + Refinanced loans. NPL ratio: NPL / Total loans.</w:t>
      </w:r>
    </w:p>
    <w:p>
      <w:pPr>
        <w:ind w:left="162" w:hanging="162"/>
        <w:spacing w:after="0" w:line="231" w:lineRule="auto"/>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Cost of risk = Annualized provision for loan losses, net of recoveries / Total loans.</w:t>
      </w:r>
    </w:p>
    <w:p>
      <w:pPr>
        <w:ind w:left="2" w:right="360" w:hanging="2"/>
        <w:spacing w:after="0" w:line="231" w:lineRule="auto"/>
        <w:tabs>
          <w:tab w:leader="none" w:pos="173" w:val="left"/>
        </w:tabs>
        <w:numPr>
          <w:ilvl w:val="0"/>
          <w:numId w:val="7"/>
        </w:numPr>
        <w:rPr>
          <w:rFonts w:ascii="Arial" w:cs="Arial" w:eastAsia="Arial" w:hAnsi="Arial"/>
          <w:sz w:val="11"/>
          <w:szCs w:val="11"/>
          <w:color w:val="auto"/>
        </w:rPr>
      </w:pPr>
      <w:r>
        <w:rPr>
          <w:rFonts w:ascii="Arial" w:cs="Arial" w:eastAsia="Arial" w:hAnsi="Arial"/>
          <w:sz w:val="11"/>
          <w:szCs w:val="11"/>
          <w:color w:val="auto"/>
        </w:rPr>
        <w:t>Efficiency Ratio = (Salaries and employee benefits + Administrative expenses + Depreciation and amortization + Association in participation) / (Net interest, similar income and expenses + Fee Income + Net gain on foreign exchange transactions + Net Gain From associates + Net gain on derivatives held for trading + Result on exchange differences + Insurance Underwriting Result)</w:t>
      </w:r>
    </w:p>
    <w:p>
      <w:pPr>
        <w:ind w:left="162" w:hanging="162"/>
        <w:spacing w:after="0" w:line="231" w:lineRule="auto"/>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Regulatory Capital / Risk-weighted assets (legal minimum = 10% since July 2011).</w:t>
      </w:r>
    </w:p>
    <w:p>
      <w:pPr>
        <w:ind w:left="2" w:right="40" w:hanging="2"/>
        <w:spacing w:after="0" w:line="231" w:lineRule="auto"/>
        <w:tabs>
          <w:tab w:leader="none" w:pos="173" w:val="left"/>
        </w:tabs>
        <w:numPr>
          <w:ilvl w:val="0"/>
          <w:numId w:val="7"/>
        </w:numPr>
        <w:rPr>
          <w:rFonts w:ascii="Arial" w:cs="Arial" w:eastAsia="Arial" w:hAnsi="Arial"/>
          <w:sz w:val="11"/>
          <w:szCs w:val="11"/>
          <w:color w:val="auto"/>
        </w:rPr>
      </w:pPr>
      <w:r>
        <w:rPr>
          <w:rFonts w:ascii="Arial" w:cs="Arial" w:eastAsia="Arial" w:hAnsi="Arial"/>
          <w:sz w:val="11"/>
          <w:szCs w:val="11"/>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62" w:hanging="162"/>
        <w:spacing w:after="0" w:line="231" w:lineRule="auto"/>
        <w:tabs>
          <w:tab w:leader="none" w:pos="162" w:val="left"/>
        </w:tabs>
        <w:numPr>
          <w:ilvl w:val="0"/>
          <w:numId w:val="7"/>
        </w:numPr>
        <w:rPr>
          <w:rFonts w:ascii="Arial" w:cs="Arial" w:eastAsia="Arial" w:hAnsi="Arial"/>
          <w:sz w:val="11"/>
          <w:szCs w:val="11"/>
          <w:color w:val="auto"/>
        </w:rPr>
      </w:pPr>
      <w:r>
        <w:rPr>
          <w:rFonts w:ascii="Arial" w:cs="Arial" w:eastAsia="Arial" w:hAnsi="Arial"/>
          <w:sz w:val="11"/>
          <w:szCs w:val="11"/>
          <w:color w:val="auto"/>
        </w:rPr>
        <w:t>Common Equity Tier I = Capital + Reserves – 100% of applicable deductions (investment in subsidiaries, goodwill, intangibles and net deferred taxes that rely on future profitability) + retained earnings + unrealized gains.</w:t>
      </w:r>
    </w:p>
    <w:p>
      <w:pPr>
        <w:ind w:left="242" w:hanging="242"/>
        <w:spacing w:after="0" w:line="231" w:lineRule="auto"/>
        <w:tabs>
          <w:tab w:leader="none" w:pos="242" w:val="left"/>
        </w:tabs>
        <w:numPr>
          <w:ilvl w:val="0"/>
          <w:numId w:val="7"/>
        </w:numPr>
        <w:rPr>
          <w:rFonts w:ascii="Arial" w:cs="Arial" w:eastAsia="Arial" w:hAnsi="Arial"/>
          <w:sz w:val="11"/>
          <w:szCs w:val="11"/>
          <w:color w:val="auto"/>
        </w:rPr>
      </w:pPr>
      <w:r>
        <w:rPr>
          <w:rFonts w:ascii="Arial" w:cs="Arial" w:eastAsia="Arial" w:hAnsi="Arial"/>
          <w:sz w:val="11"/>
          <w:szCs w:val="11"/>
          <w:color w:val="auto"/>
        </w:rPr>
        <w:t>Consider shares held by Atlantic Security Holding Corporation (ASHC) and stock awards.</w:t>
      </w:r>
    </w:p>
    <w:p>
      <w:pPr>
        <w:ind w:left="222" w:hanging="222"/>
        <w:spacing w:after="0"/>
        <w:tabs>
          <w:tab w:leader="none" w:pos="222" w:val="left"/>
        </w:tabs>
        <w:numPr>
          <w:ilvl w:val="0"/>
          <w:numId w:val="7"/>
        </w:numPr>
        <w:rPr>
          <w:rFonts w:ascii="Arial" w:cs="Arial" w:eastAsia="Arial" w:hAnsi="Arial"/>
          <w:sz w:val="11"/>
          <w:szCs w:val="11"/>
          <w:color w:val="auto"/>
        </w:rPr>
      </w:pPr>
      <w:r>
        <w:rPr>
          <w:rFonts w:ascii="Arial" w:cs="Arial" w:eastAsia="Arial" w:hAnsi="Arial"/>
          <w:sz w:val="11"/>
          <w:szCs w:val="11"/>
          <w:color w:val="auto"/>
        </w:rPr>
        <w:t>Common Equity Tier I calculated based on IFRS Accounting</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322" w:right="319" w:bottom="1440" w:gutter="0" w:footer="0" w:header="0"/>
        </w:sectPr>
      </w:pPr>
    </w:p>
    <w:bookmarkStart w:id="15" w:name="page16"/>
    <w:bookmarkEnd w:id="15"/>
    <w:p>
      <w:pPr>
        <w:ind w:left="2722"/>
        <w:spacing w:after="0"/>
        <w:tabs>
          <w:tab w:leader="none" w:pos="292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FFFFFF"/>
        </w:rPr>
        <w:t>Credicorp’s Strategy Update</w:t>
      </w:r>
    </w:p>
    <w:p>
      <w:pPr>
        <w:spacing w:after="0" w:line="265" w:lineRule="exact"/>
        <w:rPr>
          <w:sz w:val="20"/>
          <w:szCs w:val="20"/>
          <w:color w:val="auto"/>
        </w:rPr>
      </w:pPr>
    </w:p>
    <w:p>
      <w:pPr>
        <w:ind w:left="2"/>
        <w:spacing w:after="0"/>
        <w:rPr>
          <w:sz w:val="20"/>
          <w:szCs w:val="20"/>
          <w:color w:val="auto"/>
        </w:rPr>
      </w:pPr>
      <w:r>
        <w:rPr>
          <w:rFonts w:ascii="Arial" w:cs="Arial" w:eastAsia="Arial" w:hAnsi="Arial"/>
          <w:sz w:val="29"/>
          <w:szCs w:val="29"/>
          <w:color w:val="E93BAC"/>
        </w:rPr>
        <w:t>Credicorp’s Strategy</w:t>
      </w:r>
    </w:p>
    <w:p>
      <w:pPr>
        <w:spacing w:after="0" w:line="199" w:lineRule="exact"/>
        <w:rPr>
          <w:sz w:val="20"/>
          <w:szCs w:val="20"/>
          <w:color w:val="auto"/>
        </w:rPr>
      </w:pPr>
    </w:p>
    <w:p>
      <w:pPr>
        <w:jc w:val="both"/>
        <w:ind w:left="2" w:right="20"/>
        <w:spacing w:after="0" w:line="248" w:lineRule="auto"/>
        <w:rPr>
          <w:sz w:val="20"/>
          <w:szCs w:val="20"/>
          <w:color w:val="auto"/>
        </w:rPr>
      </w:pPr>
      <w:r>
        <w:rPr>
          <w:rFonts w:ascii="Arial" w:cs="Arial" w:eastAsia="Arial" w:hAnsi="Arial"/>
          <w:sz w:val="16"/>
          <w:szCs w:val="16"/>
          <w:color w:val="auto"/>
        </w:rPr>
        <w:t>Credicorp has demonstrated resilience in a challenging context. The company has leveraged its financial strength, prudent approach to risk management, client-centered focus, and digital capacities developed over the last decade to navigate complex junctures and bolster its leadership. In 2023, Credicorp anticipated the credit cycle and revised its appetite for risk while proactively offering financial assistance to clients. The company has developed its proposition for transaction value and increased its insurance offerings to reach more clients while improving its performance indicators for user experience and frequency of use.</w:t>
      </w:r>
    </w:p>
    <w:p>
      <w:pPr>
        <w:spacing w:after="0" w:line="147" w:lineRule="exact"/>
        <w:rPr>
          <w:sz w:val="20"/>
          <w:szCs w:val="20"/>
          <w:color w:val="auto"/>
        </w:rPr>
      </w:pPr>
    </w:p>
    <w:p>
      <w:pPr>
        <w:jc w:val="both"/>
        <w:ind w:left="2"/>
        <w:spacing w:after="0" w:line="279" w:lineRule="auto"/>
        <w:rPr>
          <w:sz w:val="20"/>
          <w:szCs w:val="20"/>
          <w:color w:val="auto"/>
        </w:rPr>
      </w:pPr>
      <w:r>
        <w:rPr>
          <w:rFonts w:ascii="Arial" w:cs="Arial" w:eastAsia="Arial" w:hAnsi="Arial"/>
          <w:sz w:val="16"/>
          <w:szCs w:val="16"/>
          <w:color w:val="auto"/>
        </w:rPr>
        <w:t>Credicorp continues to invest in technology and disruptive initiatives to maintain a competitive advantage and ensure sustainability down the line. By understanding market trends and satisfying clients’ needs, Credicorp aims to solidify its position and expand into new markets.</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Main KPIs of Credicorp’s Strategy</w:t>
      </w:r>
    </w:p>
    <w:p>
      <w:pPr>
        <w:spacing w:after="0" w:line="179" w:lineRule="exact"/>
        <w:rPr>
          <w:sz w:val="20"/>
          <w:szCs w:val="20"/>
          <w:color w:val="auto"/>
        </w:rPr>
      </w:pPr>
    </w:p>
    <w:tbl>
      <w:tblPr>
        <w:tblLayout w:type="fixed"/>
        <w:tblInd w:w="12" w:type="dxa"/>
        <w:tblCellMar>
          <w:top w:w="0" w:type="dxa"/>
          <w:left w:w="0" w:type="dxa"/>
          <w:bottom w:w="0" w:type="dxa"/>
          <w:right w:w="0" w:type="dxa"/>
        </w:tblCellMar>
      </w:tblPr>
      <w:tr>
        <w:trPr>
          <w:trHeight w:val="244"/>
        </w:trPr>
        <w:tc>
          <w:tcPr>
            <w:tcW w:w="5980" w:type="dxa"/>
            <w:vAlign w:val="bottom"/>
            <w:tcBorders>
              <w:top w:val="single" w:sz="8" w:color="auto"/>
              <w:left w:val="single" w:sz="8" w:color="auto"/>
              <w:bottom w:val="single" w:sz="8" w:color="auto"/>
              <w:right w:val="single" w:sz="8" w:color="auto"/>
            </w:tcBorders>
            <w:shd w:val="clear" w:color="auto" w:fill="2AD2C8"/>
          </w:tcPr>
          <w:p>
            <w:pPr>
              <w:ind w:left="100"/>
              <w:spacing w:after="0" w:line="244" w:lineRule="exact"/>
              <w:rPr>
                <w:sz w:val="20"/>
                <w:szCs w:val="20"/>
                <w:color w:val="auto"/>
              </w:rPr>
            </w:pPr>
            <w:r>
              <w:rPr>
                <w:rFonts w:ascii="Arial" w:cs="Arial" w:eastAsia="Arial" w:hAnsi="Arial"/>
                <w:sz w:val="16"/>
                <w:szCs w:val="16"/>
                <w:b w:val="1"/>
                <w:bCs w:val="1"/>
                <w:i w:val="1"/>
                <w:iCs w:val="1"/>
                <w:color w:val="auto"/>
              </w:rPr>
              <w:t xml:space="preserve">Traditional Business Transformation </w:t>
            </w:r>
            <w:r>
              <w:rPr>
                <w:rFonts w:ascii="Arial" w:cs="Arial" w:eastAsia="Arial" w:hAnsi="Arial"/>
                <w:sz w:val="27"/>
                <w:szCs w:val="27"/>
                <w:b w:val="1"/>
                <w:bCs w:val="1"/>
                <w:i w:val="1"/>
                <w:iCs w:val="1"/>
                <w:color w:val="auto"/>
                <w:vertAlign w:val="superscript"/>
              </w:rPr>
              <w:t>(1)</w:t>
            </w:r>
          </w:p>
        </w:tc>
        <w:tc>
          <w:tcPr>
            <w:tcW w:w="1460" w:type="dxa"/>
            <w:vAlign w:val="bottom"/>
            <w:tcBorders>
              <w:top w:val="single" w:sz="8" w:color="auto"/>
              <w:bottom w:val="single" w:sz="8" w:color="auto"/>
              <w:right w:val="single" w:sz="8" w:color="auto"/>
            </w:tcBorders>
            <w:shd w:val="clear" w:color="auto" w:fill="2AD2C8"/>
          </w:tcPr>
          <w:p>
            <w:pPr>
              <w:ind w:left="80"/>
              <w:spacing w:after="0"/>
              <w:rPr>
                <w:sz w:val="20"/>
                <w:szCs w:val="20"/>
                <w:color w:val="auto"/>
              </w:rPr>
            </w:pPr>
            <w:r>
              <w:rPr>
                <w:rFonts w:ascii="Arial" w:cs="Arial" w:eastAsia="Arial" w:hAnsi="Arial"/>
                <w:sz w:val="16"/>
                <w:szCs w:val="16"/>
                <w:b w:val="1"/>
                <w:bCs w:val="1"/>
                <w:i w:val="1"/>
                <w:iCs w:val="1"/>
                <w:color w:val="auto"/>
              </w:rPr>
              <w:t>Subsidiary</w:t>
            </w:r>
          </w:p>
        </w:tc>
        <w:tc>
          <w:tcPr>
            <w:tcW w:w="1220" w:type="dxa"/>
            <w:vAlign w:val="bottom"/>
            <w:tcBorders>
              <w:top w:val="single" w:sz="8" w:color="auto"/>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i w:val="1"/>
                <w:iCs w:val="1"/>
                <w:color w:val="auto"/>
                <w:w w:val="96"/>
              </w:rPr>
              <w:t>4Q22</w:t>
            </w:r>
          </w:p>
        </w:tc>
        <w:tc>
          <w:tcPr>
            <w:tcW w:w="1260" w:type="dxa"/>
            <w:vAlign w:val="bottom"/>
            <w:tcBorders>
              <w:top w:val="single" w:sz="8" w:color="auto"/>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i w:val="1"/>
                <w:iCs w:val="1"/>
                <w:color w:val="auto"/>
              </w:rPr>
              <w:t>3Q23</w:t>
            </w:r>
          </w:p>
        </w:tc>
        <w:tc>
          <w:tcPr>
            <w:tcW w:w="1340" w:type="dxa"/>
            <w:vAlign w:val="bottom"/>
            <w:tcBorders>
              <w:top w:val="single" w:sz="8" w:color="auto"/>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i w:val="1"/>
                <w:iCs w:val="1"/>
                <w:color w:val="auto"/>
              </w:rPr>
              <w:t>4Q23</w:t>
            </w:r>
          </w:p>
        </w:tc>
      </w:tr>
      <w:tr>
        <w:trPr>
          <w:trHeight w:val="223"/>
        </w:trPr>
        <w:tc>
          <w:tcPr>
            <w:tcW w:w="5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Day to Day</w:t>
            </w:r>
          </w:p>
        </w:tc>
        <w:tc>
          <w:tcPr>
            <w:tcW w:w="146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r>
      <w:tr>
        <w:trPr>
          <w:trHeight w:val="240"/>
        </w:trPr>
        <w:tc>
          <w:tcPr>
            <w:tcW w:w="5980" w:type="dxa"/>
            <w:vAlign w:val="bottom"/>
            <w:tcBorders>
              <w:left w:val="single" w:sz="8" w:color="auto"/>
              <w:right w:val="single" w:sz="8" w:color="auto"/>
            </w:tcBorders>
          </w:tcPr>
          <w:p>
            <w:pPr>
              <w:ind w:left="100"/>
              <w:spacing w:after="0" w:line="240" w:lineRule="exact"/>
              <w:rPr>
                <w:sz w:val="20"/>
                <w:szCs w:val="20"/>
                <w:color w:val="auto"/>
              </w:rPr>
            </w:pPr>
            <w:r>
              <w:rPr>
                <w:rFonts w:ascii="Arial" w:cs="Arial" w:eastAsia="Arial" w:hAnsi="Arial"/>
                <w:sz w:val="16"/>
                <w:szCs w:val="16"/>
                <w:color w:val="auto"/>
              </w:rPr>
              <w:t xml:space="preserve">Digital monetary transactions </w:t>
            </w:r>
            <w:r>
              <w:rPr>
                <w:rFonts w:ascii="Arial" w:cs="Arial" w:eastAsia="Arial" w:hAnsi="Arial"/>
                <w:sz w:val="27"/>
                <w:szCs w:val="27"/>
                <w:color w:val="auto"/>
                <w:vertAlign w:val="superscript"/>
              </w:rPr>
              <w:t>(2)</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BCP</w:t>
            </w:r>
          </w:p>
        </w:tc>
        <w:tc>
          <w:tcPr>
            <w:tcW w:w="1220" w:type="dxa"/>
            <w:vAlign w:val="bottom"/>
          </w:tcPr>
          <w:p>
            <w:pPr>
              <w:jc w:val="center"/>
              <w:spacing w:after="0"/>
              <w:rPr>
                <w:sz w:val="20"/>
                <w:szCs w:val="20"/>
                <w:color w:val="auto"/>
              </w:rPr>
            </w:pPr>
            <w:r>
              <w:rPr>
                <w:rFonts w:ascii="Arial" w:cs="Arial" w:eastAsia="Arial" w:hAnsi="Arial"/>
                <w:sz w:val="16"/>
                <w:szCs w:val="16"/>
                <w:color w:val="auto"/>
              </w:rPr>
              <w:t>67%</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80%</w:t>
            </w:r>
          </w:p>
        </w:tc>
      </w:tr>
      <w:tr>
        <w:trPr>
          <w:trHeight w:val="215"/>
        </w:trPr>
        <w:tc>
          <w:tcPr>
            <w:tcW w:w="5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Transactional cost by unit</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BCP</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0.11</w:t>
            </w:r>
          </w:p>
        </w:tc>
        <w:tc>
          <w:tcPr>
            <w:tcW w:w="1260" w:type="dxa"/>
            <w:vAlign w:val="bottom"/>
          </w:tcPr>
          <w:p>
            <w:pPr>
              <w:jc w:val="center"/>
              <w:spacing w:after="0"/>
              <w:rPr>
                <w:sz w:val="20"/>
                <w:szCs w:val="20"/>
                <w:color w:val="auto"/>
              </w:rPr>
            </w:pPr>
            <w:r>
              <w:rPr>
                <w:rFonts w:ascii="Arial" w:cs="Arial" w:eastAsia="Arial" w:hAnsi="Arial"/>
                <w:sz w:val="16"/>
                <w:szCs w:val="16"/>
                <w:color w:val="auto"/>
              </w:rPr>
              <w:t>0.07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0.07</w:t>
            </w:r>
          </w:p>
        </w:tc>
      </w:tr>
      <w:tr>
        <w:trPr>
          <w:trHeight w:val="240"/>
        </w:trPr>
        <w:tc>
          <w:tcPr>
            <w:tcW w:w="5980" w:type="dxa"/>
            <w:vAlign w:val="bottom"/>
            <w:tcBorders>
              <w:left w:val="single" w:sz="8" w:color="auto"/>
              <w:right w:val="single" w:sz="8" w:color="auto"/>
            </w:tcBorders>
          </w:tcPr>
          <w:p>
            <w:pPr>
              <w:ind w:left="100"/>
              <w:spacing w:after="0" w:line="240" w:lineRule="exact"/>
              <w:rPr>
                <w:sz w:val="20"/>
                <w:szCs w:val="20"/>
                <w:color w:val="auto"/>
              </w:rPr>
            </w:pPr>
            <w:r>
              <w:rPr>
                <w:rFonts w:ascii="Arial" w:cs="Arial" w:eastAsia="Arial" w:hAnsi="Arial"/>
                <w:sz w:val="16"/>
                <w:szCs w:val="16"/>
                <w:color w:val="auto"/>
              </w:rPr>
              <w:t xml:space="preserve">Disbursements through leads </w:t>
            </w:r>
            <w:r>
              <w:rPr>
                <w:rFonts w:ascii="Arial" w:cs="Arial" w:eastAsia="Arial" w:hAnsi="Arial"/>
                <w:sz w:val="27"/>
                <w:szCs w:val="27"/>
                <w:color w:val="auto"/>
                <w:vertAlign w:val="superscript"/>
              </w:rPr>
              <w:t>(3)</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Mibanco</w:t>
            </w:r>
          </w:p>
        </w:tc>
        <w:tc>
          <w:tcPr>
            <w:tcW w:w="1220" w:type="dxa"/>
            <w:vAlign w:val="bottom"/>
          </w:tcPr>
          <w:p>
            <w:pPr>
              <w:jc w:val="center"/>
              <w:spacing w:after="0"/>
              <w:rPr>
                <w:sz w:val="20"/>
                <w:szCs w:val="20"/>
                <w:color w:val="auto"/>
              </w:rPr>
            </w:pPr>
            <w:r>
              <w:rPr>
                <w:rFonts w:ascii="Arial" w:cs="Arial" w:eastAsia="Arial" w:hAnsi="Arial"/>
                <w:sz w:val="16"/>
                <w:szCs w:val="16"/>
                <w:color w:val="auto"/>
              </w:rPr>
              <w:t>76%</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71%</w:t>
            </w:r>
          </w:p>
        </w:tc>
      </w:tr>
      <w:tr>
        <w:trPr>
          <w:trHeight w:val="232"/>
        </w:trPr>
        <w:tc>
          <w:tcPr>
            <w:tcW w:w="5980" w:type="dxa"/>
            <w:vAlign w:val="bottom"/>
            <w:tcBorders>
              <w:left w:val="single" w:sz="8" w:color="auto"/>
              <w:right w:val="single" w:sz="8" w:color="auto"/>
            </w:tcBorders>
          </w:tcPr>
          <w:p>
            <w:pPr>
              <w:ind w:left="100"/>
              <w:spacing w:after="0" w:line="231" w:lineRule="exact"/>
              <w:rPr>
                <w:sz w:val="20"/>
                <w:szCs w:val="20"/>
                <w:color w:val="auto"/>
              </w:rPr>
            </w:pPr>
            <w:r>
              <w:rPr>
                <w:rFonts w:ascii="Arial" w:cs="Arial" w:eastAsia="Arial" w:hAnsi="Arial"/>
                <w:sz w:val="16"/>
                <w:szCs w:val="16"/>
                <w:color w:val="auto"/>
              </w:rPr>
              <w:t xml:space="preserve">Disbursements through alternative channels </w:t>
            </w:r>
            <w:r>
              <w:rPr>
                <w:rFonts w:ascii="Arial" w:cs="Arial" w:eastAsia="Arial" w:hAnsi="Arial"/>
                <w:sz w:val="26"/>
                <w:szCs w:val="26"/>
                <w:color w:val="auto"/>
                <w:vertAlign w:val="superscript"/>
              </w:rPr>
              <w:t>(4)</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Mibanco</w:t>
            </w:r>
          </w:p>
        </w:tc>
        <w:tc>
          <w:tcPr>
            <w:tcW w:w="1220" w:type="dxa"/>
            <w:vAlign w:val="bottom"/>
          </w:tcPr>
          <w:p>
            <w:pPr>
              <w:jc w:val="center"/>
              <w:spacing w:after="0"/>
              <w:rPr>
                <w:sz w:val="20"/>
                <w:szCs w:val="20"/>
                <w:color w:val="auto"/>
              </w:rPr>
            </w:pPr>
            <w:r>
              <w:rPr>
                <w:rFonts w:ascii="Arial" w:cs="Arial" w:eastAsia="Arial" w:hAnsi="Arial"/>
                <w:sz w:val="16"/>
                <w:szCs w:val="16"/>
                <w:color w:val="auto"/>
              </w:rPr>
              <w:t>45%</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41%</w:t>
            </w:r>
          </w:p>
        </w:tc>
      </w:tr>
      <w:tr>
        <w:trPr>
          <w:trHeight w:val="232"/>
        </w:trPr>
        <w:tc>
          <w:tcPr>
            <w:tcW w:w="5980" w:type="dxa"/>
            <w:vAlign w:val="bottom"/>
            <w:tcBorders>
              <w:left w:val="single" w:sz="8" w:color="auto"/>
              <w:bottom w:val="single" w:sz="8" w:color="auto"/>
              <w:right w:val="single" w:sz="8" w:color="auto"/>
            </w:tcBorders>
          </w:tcPr>
          <w:p>
            <w:pPr>
              <w:ind w:left="100"/>
              <w:spacing w:after="0" w:line="232" w:lineRule="exact"/>
              <w:rPr>
                <w:sz w:val="20"/>
                <w:szCs w:val="20"/>
                <w:color w:val="auto"/>
              </w:rPr>
            </w:pPr>
            <w:r>
              <w:rPr>
                <w:rFonts w:ascii="Arial" w:cs="Arial" w:eastAsia="Arial" w:hAnsi="Arial"/>
                <w:sz w:val="16"/>
                <w:szCs w:val="16"/>
                <w:color w:val="auto"/>
              </w:rPr>
              <w:t xml:space="preserve">Mibanco Productivity </w:t>
            </w:r>
            <w:r>
              <w:rPr>
                <w:rFonts w:ascii="Arial" w:cs="Arial" w:eastAsia="Arial" w:hAnsi="Arial"/>
                <w:sz w:val="26"/>
                <w:szCs w:val="26"/>
                <w:color w:val="auto"/>
                <w:vertAlign w:val="superscript"/>
              </w:rPr>
              <w:t>(5)</w:t>
            </w:r>
          </w:p>
        </w:tc>
        <w:tc>
          <w:tcPr>
            <w:tcW w:w="1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Mibanco</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25.9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22.1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21.6</w:t>
            </w:r>
          </w:p>
        </w:tc>
      </w:tr>
      <w:tr>
        <w:trPr>
          <w:trHeight w:val="223"/>
        </w:trPr>
        <w:tc>
          <w:tcPr>
            <w:tcW w:w="5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Cashless</w:t>
            </w:r>
          </w:p>
        </w:tc>
        <w:tc>
          <w:tcPr>
            <w:tcW w:w="146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r>
      <w:tr>
        <w:trPr>
          <w:trHeight w:val="240"/>
        </w:trPr>
        <w:tc>
          <w:tcPr>
            <w:tcW w:w="5980" w:type="dxa"/>
            <w:vAlign w:val="bottom"/>
            <w:tcBorders>
              <w:left w:val="single" w:sz="8" w:color="auto"/>
              <w:right w:val="single" w:sz="8" w:color="auto"/>
            </w:tcBorders>
          </w:tcPr>
          <w:p>
            <w:pPr>
              <w:ind w:left="100"/>
              <w:spacing w:after="0" w:line="240" w:lineRule="exact"/>
              <w:rPr>
                <w:sz w:val="20"/>
                <w:szCs w:val="20"/>
                <w:color w:val="auto"/>
              </w:rPr>
            </w:pPr>
            <w:r>
              <w:rPr>
                <w:rFonts w:ascii="Arial" w:cs="Arial" w:eastAsia="Arial" w:hAnsi="Arial"/>
                <w:sz w:val="16"/>
                <w:szCs w:val="16"/>
                <w:color w:val="auto"/>
              </w:rPr>
              <w:t xml:space="preserve">Cashless transactions </w:t>
            </w:r>
            <w:r>
              <w:rPr>
                <w:rFonts w:ascii="Arial" w:cs="Arial" w:eastAsia="Arial" w:hAnsi="Arial"/>
                <w:sz w:val="27"/>
                <w:szCs w:val="27"/>
                <w:color w:val="auto"/>
                <w:vertAlign w:val="superscript"/>
              </w:rPr>
              <w:t>(6)</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BCP</w:t>
            </w:r>
          </w:p>
        </w:tc>
        <w:tc>
          <w:tcPr>
            <w:tcW w:w="1220" w:type="dxa"/>
            <w:vAlign w:val="bottom"/>
          </w:tcPr>
          <w:p>
            <w:pPr>
              <w:jc w:val="center"/>
              <w:spacing w:after="0"/>
              <w:rPr>
                <w:sz w:val="20"/>
                <w:szCs w:val="20"/>
                <w:color w:val="auto"/>
              </w:rPr>
            </w:pPr>
            <w:r>
              <w:rPr>
                <w:rFonts w:ascii="Arial" w:cs="Arial" w:eastAsia="Arial" w:hAnsi="Arial"/>
                <w:sz w:val="16"/>
                <w:szCs w:val="16"/>
                <w:color w:val="auto"/>
              </w:rPr>
              <w:t>48%</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51%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56%</w:t>
            </w:r>
          </w:p>
        </w:tc>
      </w:tr>
      <w:tr>
        <w:trPr>
          <w:trHeight w:val="215"/>
        </w:trPr>
        <w:tc>
          <w:tcPr>
            <w:tcW w:w="5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Mobile Banking rating iOS</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BCP</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1260" w:type="dxa"/>
            <w:vAlign w:val="bottom"/>
          </w:tcPr>
          <w:p>
            <w:pPr>
              <w:jc w:val="center"/>
              <w:spacing w:after="0"/>
              <w:rPr>
                <w:sz w:val="20"/>
                <w:szCs w:val="20"/>
                <w:color w:val="auto"/>
              </w:rPr>
            </w:pPr>
            <w:r>
              <w:rPr>
                <w:rFonts w:ascii="Arial" w:cs="Arial" w:eastAsia="Arial" w:hAnsi="Arial"/>
                <w:sz w:val="16"/>
                <w:szCs w:val="16"/>
                <w:color w:val="auto"/>
              </w:rPr>
              <w:t>4.7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4.7</w:t>
            </w:r>
          </w:p>
        </w:tc>
      </w:tr>
      <w:tr>
        <w:trPr>
          <w:trHeight w:val="236"/>
        </w:trPr>
        <w:tc>
          <w:tcPr>
            <w:tcW w:w="59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Mobile Banking rating Android</w:t>
            </w:r>
          </w:p>
        </w:tc>
        <w:tc>
          <w:tcPr>
            <w:tcW w:w="1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BCP</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3.7</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4.7</w:t>
            </w:r>
          </w:p>
        </w:tc>
      </w:tr>
      <w:tr>
        <w:trPr>
          <w:trHeight w:val="179"/>
        </w:trPr>
        <w:tc>
          <w:tcPr>
            <w:tcW w:w="5980" w:type="dxa"/>
            <w:vAlign w:val="bottom"/>
            <w:tcBorders>
              <w:left w:val="single" w:sz="8" w:color="auto"/>
              <w:right w:val="single" w:sz="8" w:color="auto"/>
            </w:tcBorders>
          </w:tcPr>
          <w:p>
            <w:pPr>
              <w:ind w:left="100"/>
              <w:spacing w:after="0" w:line="179" w:lineRule="exact"/>
              <w:rPr>
                <w:sz w:val="20"/>
                <w:szCs w:val="20"/>
                <w:color w:val="auto"/>
              </w:rPr>
            </w:pPr>
            <w:r>
              <w:rPr>
                <w:rFonts w:ascii="Arial" w:cs="Arial" w:eastAsia="Arial" w:hAnsi="Arial"/>
                <w:sz w:val="16"/>
                <w:szCs w:val="16"/>
                <w:b w:val="1"/>
                <w:bCs w:val="1"/>
                <w:i w:val="1"/>
                <w:iCs w:val="1"/>
                <w:color w:val="auto"/>
              </w:rPr>
              <w:t>Digital Acquisition</w:t>
            </w:r>
          </w:p>
        </w:tc>
        <w:tc>
          <w:tcPr>
            <w:tcW w:w="1460" w:type="dxa"/>
            <w:vAlign w:val="bottom"/>
            <w:tcBorders>
              <w:right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36"/>
        </w:trPr>
        <w:tc>
          <w:tcPr>
            <w:tcW w:w="5980" w:type="dxa"/>
            <w:vAlign w:val="bottom"/>
            <w:tcBorders>
              <w:left w:val="single" w:sz="8" w:color="auto"/>
              <w:bottom w:val="single" w:sz="8" w:color="auto"/>
              <w:right w:val="single" w:sz="8" w:color="auto"/>
            </w:tcBorders>
          </w:tcPr>
          <w:p>
            <w:pPr>
              <w:ind w:left="100"/>
              <w:spacing w:after="0" w:line="232" w:lineRule="exact"/>
              <w:rPr>
                <w:sz w:val="20"/>
                <w:szCs w:val="20"/>
                <w:color w:val="auto"/>
              </w:rPr>
            </w:pPr>
            <w:r>
              <w:rPr>
                <w:rFonts w:ascii="Arial" w:cs="Arial" w:eastAsia="Arial" w:hAnsi="Arial"/>
                <w:sz w:val="16"/>
                <w:szCs w:val="16"/>
                <w:color w:val="auto"/>
              </w:rPr>
              <w:t xml:space="preserve">Digital sales </w:t>
            </w:r>
            <w:r>
              <w:rPr>
                <w:rFonts w:ascii="Arial" w:cs="Arial" w:eastAsia="Arial" w:hAnsi="Arial"/>
                <w:sz w:val="26"/>
                <w:szCs w:val="26"/>
                <w:color w:val="auto"/>
                <w:vertAlign w:val="superscript"/>
              </w:rPr>
              <w:t>(7)</w:t>
            </w:r>
          </w:p>
        </w:tc>
        <w:tc>
          <w:tcPr>
            <w:tcW w:w="1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BCP</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58%</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61%</w:t>
            </w:r>
          </w:p>
        </w:tc>
      </w:tr>
    </w:tbl>
    <w:p>
      <w:pPr>
        <w:spacing w:after="0" w:line="33" w:lineRule="exact"/>
        <w:rPr>
          <w:sz w:val="20"/>
          <w:szCs w:val="20"/>
          <w:color w:val="auto"/>
        </w:rPr>
      </w:pPr>
    </w:p>
    <w:p>
      <w:pPr>
        <w:ind w:left="182" w:hanging="182"/>
        <w:spacing w:after="0"/>
        <w:tabs>
          <w:tab w:leader="none" w:pos="182" w:val="left"/>
        </w:tabs>
        <w:numPr>
          <w:ilvl w:val="0"/>
          <w:numId w:val="8"/>
        </w:numPr>
        <w:rPr>
          <w:rFonts w:ascii="Arial" w:cs="Arial" w:eastAsia="Arial" w:hAnsi="Arial"/>
          <w:sz w:val="11"/>
          <w:szCs w:val="11"/>
          <w:color w:val="auto"/>
        </w:rPr>
      </w:pPr>
      <w:r>
        <w:rPr>
          <w:rFonts w:ascii="Arial" w:cs="Arial" w:eastAsia="Arial" w:hAnsi="Arial"/>
          <w:sz w:val="11"/>
          <w:szCs w:val="11"/>
          <w:color w:val="auto"/>
        </w:rPr>
        <w:t>Figures for December 2022, September 2023, and December 2023</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8"/>
        </w:numPr>
        <w:rPr>
          <w:rFonts w:ascii="Arial" w:cs="Arial" w:eastAsia="Arial" w:hAnsi="Arial"/>
          <w:sz w:val="11"/>
          <w:szCs w:val="11"/>
          <w:color w:val="auto"/>
        </w:rPr>
      </w:pPr>
      <w:r>
        <w:rPr>
          <w:rFonts w:ascii="Arial" w:cs="Arial" w:eastAsia="Arial" w:hAnsi="Arial"/>
          <w:sz w:val="11"/>
          <w:szCs w:val="11"/>
          <w:color w:val="auto"/>
        </w:rPr>
        <w:t>Monetary Transactions conducted through Retail Banking, Internet Banking, Yape and Telecredito/Total Retail Monetary Transactions in Retail Banking.</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8"/>
        </w:numPr>
        <w:rPr>
          <w:rFonts w:ascii="Arial" w:cs="Arial" w:eastAsia="Arial" w:hAnsi="Arial"/>
          <w:sz w:val="11"/>
          <w:szCs w:val="11"/>
          <w:color w:val="auto"/>
        </w:rPr>
      </w:pPr>
      <w:r>
        <w:rPr>
          <w:rFonts w:ascii="Arial" w:cs="Arial" w:eastAsia="Arial" w:hAnsi="Arial"/>
          <w:sz w:val="11"/>
          <w:szCs w:val="11"/>
          <w:color w:val="auto"/>
        </w:rPr>
        <w:t>Disbursements generated through leads/Total disbursements.</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8"/>
        </w:numPr>
        <w:rPr>
          <w:rFonts w:ascii="Arial" w:cs="Arial" w:eastAsia="Arial" w:hAnsi="Arial"/>
          <w:sz w:val="11"/>
          <w:szCs w:val="11"/>
          <w:color w:val="auto"/>
        </w:rPr>
      </w:pPr>
      <w:r>
        <w:rPr>
          <w:rFonts w:ascii="Arial" w:cs="Arial" w:eastAsia="Arial" w:hAnsi="Arial"/>
          <w:sz w:val="11"/>
          <w:szCs w:val="11"/>
          <w:color w:val="auto"/>
        </w:rPr>
        <w:t>Disbursements conducted through alternative channels/Total disbursements.</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8"/>
        </w:numPr>
        <w:rPr>
          <w:rFonts w:ascii="Arial" w:cs="Arial" w:eastAsia="Arial" w:hAnsi="Arial"/>
          <w:sz w:val="11"/>
          <w:szCs w:val="11"/>
          <w:color w:val="auto"/>
        </w:rPr>
      </w:pPr>
      <w:r>
        <w:rPr>
          <w:rFonts w:ascii="Arial" w:cs="Arial" w:eastAsia="Arial" w:hAnsi="Arial"/>
          <w:sz w:val="11"/>
          <w:szCs w:val="11"/>
          <w:color w:val="auto"/>
        </w:rPr>
        <w:t>Number of loans disbursed/ Total relationship managers</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8"/>
        </w:numPr>
        <w:rPr>
          <w:rFonts w:ascii="Arial" w:cs="Arial" w:eastAsia="Arial" w:hAnsi="Arial"/>
          <w:sz w:val="11"/>
          <w:szCs w:val="11"/>
          <w:color w:val="auto"/>
        </w:rPr>
      </w:pPr>
      <w:r>
        <w:rPr>
          <w:rFonts w:ascii="Arial" w:cs="Arial" w:eastAsia="Arial" w:hAnsi="Arial"/>
          <w:sz w:val="11"/>
          <w:szCs w:val="11"/>
          <w:color w:val="auto"/>
        </w:rPr>
        <w:t>Amount transacted through Mobile Banking, Internet Banking, Yape y POS/ Total amount transacted through Retail Banking Minorista.</w:t>
      </w:r>
    </w:p>
    <w:p>
      <w:pPr>
        <w:spacing w:after="0" w:line="56" w:lineRule="exact"/>
        <w:rPr>
          <w:rFonts w:ascii="Arial" w:cs="Arial" w:eastAsia="Arial" w:hAnsi="Arial"/>
          <w:sz w:val="11"/>
          <w:szCs w:val="11"/>
          <w:color w:val="auto"/>
        </w:rPr>
      </w:pPr>
    </w:p>
    <w:p>
      <w:pPr>
        <w:ind w:left="182" w:hanging="182"/>
        <w:spacing w:after="0"/>
        <w:tabs>
          <w:tab w:leader="none" w:pos="182" w:val="left"/>
        </w:tabs>
        <w:numPr>
          <w:ilvl w:val="0"/>
          <w:numId w:val="8"/>
        </w:numPr>
        <w:rPr>
          <w:rFonts w:ascii="Arial" w:cs="Arial" w:eastAsia="Arial" w:hAnsi="Arial"/>
          <w:sz w:val="11"/>
          <w:szCs w:val="11"/>
          <w:color w:val="auto"/>
        </w:rPr>
      </w:pPr>
      <w:r>
        <w:rPr>
          <w:rFonts w:ascii="Arial" w:cs="Arial" w:eastAsia="Arial" w:hAnsi="Arial"/>
          <w:sz w:val="11"/>
          <w:szCs w:val="11"/>
          <w:color w:val="auto"/>
        </w:rPr>
        <w:t>Units sold by Retail Banking through digital channels/ Total number of units sold by Retail Banking.</w:t>
      </w:r>
    </w:p>
    <w:p>
      <w:pPr>
        <w:spacing w:after="0" w:line="185"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313" w:right="319" w:bottom="1440" w:gutter="0" w:footer="0" w:header="0"/>
        </w:sectPr>
      </w:pPr>
    </w:p>
    <w:bookmarkStart w:id="16" w:name="page17"/>
    <w:bookmarkEnd w:id="16"/>
    <w:p>
      <w:pPr>
        <w:ind w:left="2720"/>
        <w:spacing w:after="0"/>
        <w:tabs>
          <w:tab w:leader="none" w:pos="29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Credicorp’s Strategy Update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Disruptive Initiatives: Yape</w:t>
      </w:r>
    </w:p>
    <w:p>
      <w:pPr>
        <w:spacing w:after="0" w:line="182"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The year 2023 has been a great one for Yape, which is well on track to reaching breakeven in 2024. At the end of 2023, thanks to the new functionalities that have been added to the application, Yape hit the 14.2-million user mark and 10.7 of this pool (75%) engage in transactions at least once a month (MAU). In 4Q23, 1.027 million transactions were conducted, which represents a growth of 29% versus the figure in 3Q23 and 133% compared to the print in 4Q22. This year, 2,918 million transactions were recorded, which represents a growth of 143% over the figure posted in 2022. In the aforementioned context, Yape achieved a TPV of S/137,830 million soles for 2023, which reflects a growth of 108% with regard to 2022. At the end of December, Yape reported an average of 35 transactions per month per MAU, which represents an improvement of 22% with regard to the figure in September and 72% compared to the print at the end of December 2022.</w:t>
      </w:r>
    </w:p>
    <w:p>
      <w:pPr>
        <w:spacing w:after="0" w:line="148"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different functionalities launched in 2022 have allowed 7.9 million users to engage in transactions that generate income for Yape (73% of active users), where the monthly revenue per active yapero stood at S/3.9. These new functionalities have improved the client experience, which was reflected in an NPS of 80 points at the end of the quarter; this represents a 4-point improvement over the figure reported in September and is 9 points above the print at the end of December 2022.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4Q23, the drivers of monetization that stood out for each of Yape’s ambitions were: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 the main payment venue in the country:</w:t>
      </w:r>
    </w:p>
    <w:p>
      <w:pPr>
        <w:spacing w:after="0" w:line="13" w:lineRule="exact"/>
        <w:rPr>
          <w:sz w:val="20"/>
          <w:szCs w:val="20"/>
          <w:color w:val="auto"/>
        </w:rPr>
      </w:pPr>
    </w:p>
    <w:p>
      <w:pPr>
        <w:ind w:left="580" w:right="20" w:hanging="290"/>
        <w:spacing w:after="0" w:line="238"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Mobile top-ups: </w:t>
      </w:r>
      <w:r>
        <w:rPr>
          <w:rFonts w:ascii="Arial" w:cs="Arial" w:eastAsia="Arial" w:hAnsi="Arial"/>
          <w:sz w:val="16"/>
          <w:szCs w:val="16"/>
          <w:color w:val="auto"/>
        </w:rPr>
        <w:t>In 4Q23, 4.6 million Yape users made more than 50.7 million top-ups, which represents growth of 20.6% QoQ, 93.3% YoY and</w:t>
      </w:r>
      <w:r>
        <w:rPr>
          <w:rFonts w:ascii="Arial" w:cs="Arial" w:eastAsia="Arial" w:hAnsi="Arial"/>
          <w:sz w:val="16"/>
          <w:szCs w:val="16"/>
          <w:b w:val="1"/>
          <w:bCs w:val="1"/>
          <w:color w:val="auto"/>
        </w:rPr>
        <w:t xml:space="preserve"> </w:t>
      </w:r>
      <w:r>
        <w:rPr>
          <w:rFonts w:ascii="Arial" w:cs="Arial" w:eastAsia="Arial" w:hAnsi="Arial"/>
          <w:sz w:val="16"/>
          <w:szCs w:val="16"/>
          <w:color w:val="auto"/>
        </w:rPr>
        <w:t>500% with regard to 2022.</w:t>
      </w:r>
    </w:p>
    <w:p>
      <w:pPr>
        <w:jc w:val="both"/>
        <w:ind w:left="580" w:right="20" w:hanging="290"/>
        <w:spacing w:after="0" w:line="238"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Payment services</w:t>
      </w:r>
      <w:r>
        <w:rPr>
          <w:rFonts w:ascii="Arial" w:cs="Arial" w:eastAsia="Arial" w:hAnsi="Arial"/>
          <w:sz w:val="16"/>
          <w:szCs w:val="16"/>
          <w:color w:val="auto"/>
        </w:rPr>
        <w:t>: In 4Q23, Yaperos made 18.1 million service payments through Yape, which represents growth of 70% versus the print in 3Q23</w:t>
      </w:r>
      <w:r>
        <w:rPr>
          <w:rFonts w:ascii="Arial" w:cs="Arial" w:eastAsia="Arial" w:hAnsi="Arial"/>
          <w:sz w:val="16"/>
          <w:szCs w:val="16"/>
          <w:b w:val="1"/>
          <w:bCs w:val="1"/>
          <w:color w:val="auto"/>
        </w:rPr>
        <w:t xml:space="preserve"> </w:t>
      </w:r>
      <w:r>
        <w:rPr>
          <w:rFonts w:ascii="Arial" w:cs="Arial" w:eastAsia="Arial" w:hAnsi="Arial"/>
          <w:sz w:val="16"/>
          <w:szCs w:val="16"/>
          <w:color w:val="auto"/>
        </w:rPr>
        <w:t>and is 2.5 times above the number of transactions reported in 2Q23 and 28 times that posted in 1Q23- the quarter when this functionality was launched.</w:t>
      </w:r>
    </w:p>
    <w:p>
      <w:pPr>
        <w:spacing w:after="0" w:line="1" w:lineRule="exact"/>
        <w:rPr>
          <w:rFonts w:ascii="Arial" w:cs="Arial" w:eastAsia="Arial" w:hAnsi="Arial"/>
          <w:sz w:val="16"/>
          <w:szCs w:val="16"/>
          <w:color w:val="auto"/>
        </w:rPr>
      </w:pPr>
    </w:p>
    <w:p>
      <w:pPr>
        <w:ind w:left="580" w:right="20" w:hanging="290"/>
        <w:spacing w:after="0" w:line="258"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FX transactions</w:t>
      </w:r>
      <w:r>
        <w:rPr>
          <w:rFonts w:ascii="Arial" w:cs="Arial" w:eastAsia="Arial" w:hAnsi="Arial"/>
          <w:sz w:val="16"/>
          <w:szCs w:val="16"/>
          <w:color w:val="auto"/>
        </w:rPr>
        <w:t>: In September 2023, Yape launched a new Exchange-rate functionality. In 4Q23, more than 139 thousand transactions were</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 present in the day-to-day of all Yaperos:</w:t>
      </w:r>
    </w:p>
    <w:p>
      <w:pPr>
        <w:spacing w:after="0" w:line="13" w:lineRule="exact"/>
        <w:rPr>
          <w:sz w:val="20"/>
          <w:szCs w:val="20"/>
          <w:color w:val="auto"/>
        </w:rPr>
      </w:pPr>
    </w:p>
    <w:p>
      <w:pPr>
        <w:jc w:val="both"/>
        <w:ind w:left="580" w:hanging="290"/>
        <w:spacing w:after="0" w:line="238"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Yape Promos</w:t>
      </w:r>
      <w:r>
        <w:rPr>
          <w:rFonts w:ascii="Arial" w:cs="Arial" w:eastAsia="Arial" w:hAnsi="Arial"/>
          <w:sz w:val="16"/>
          <w:szCs w:val="16"/>
          <w:color w:val="auto"/>
        </w:rPr>
        <w:t>: In 4Q23, 2.6 million transactions were conducted through Yape Promos, which represents growth of 20% over the figure reported for</w:t>
      </w:r>
      <w:r>
        <w:rPr>
          <w:rFonts w:ascii="Arial" w:cs="Arial" w:eastAsia="Arial" w:hAnsi="Arial"/>
          <w:sz w:val="16"/>
          <w:szCs w:val="16"/>
          <w:b w:val="1"/>
          <w:bCs w:val="1"/>
          <w:color w:val="auto"/>
        </w:rPr>
        <w:t xml:space="preserve"> </w:t>
      </w:r>
      <w:r>
        <w:rPr>
          <w:rFonts w:ascii="Arial" w:cs="Arial" w:eastAsia="Arial" w:hAnsi="Arial"/>
          <w:sz w:val="16"/>
          <w:szCs w:val="16"/>
          <w:color w:val="auto"/>
        </w:rPr>
        <w:t>3Q23 and is 89 times above the print in 4Q22. This transaction level translates into a GMV of S/40.9 million (+6% QoQ and 68.7 times the YoY figure) in 4Q23 and 114.9 million for the year.</w:t>
      </w:r>
    </w:p>
    <w:p>
      <w:pPr>
        <w:spacing w:after="0" w:line="1" w:lineRule="exact"/>
        <w:rPr>
          <w:rFonts w:ascii="Arial" w:cs="Arial" w:eastAsia="Arial" w:hAnsi="Arial"/>
          <w:sz w:val="16"/>
          <w:szCs w:val="16"/>
          <w:color w:val="auto"/>
        </w:rPr>
      </w:pPr>
    </w:p>
    <w:p>
      <w:pPr>
        <w:ind w:left="580" w:right="20" w:hanging="290"/>
        <w:spacing w:after="0" w:line="258"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Store</w:t>
      </w:r>
      <w:r>
        <w:rPr>
          <w:rFonts w:ascii="Arial" w:cs="Arial" w:eastAsia="Arial" w:hAnsi="Arial"/>
          <w:sz w:val="16"/>
          <w:szCs w:val="16"/>
          <w:color w:val="auto"/>
        </w:rPr>
        <w:t>: In October, Yape launched its Marketplace, where Yaperos can purchase appliances and technology devices. In 4Q23, more than 24</w:t>
      </w:r>
      <w:r>
        <w:rPr>
          <w:rFonts w:ascii="Arial" w:cs="Arial" w:eastAsia="Arial" w:hAnsi="Arial"/>
          <w:sz w:val="16"/>
          <w:szCs w:val="16"/>
          <w:b w:val="1"/>
          <w:bCs w:val="1"/>
          <w:color w:val="auto"/>
        </w:rPr>
        <w:t xml:space="preserve"> </w:t>
      </w:r>
      <w:r>
        <w:rPr>
          <w:rFonts w:ascii="Arial" w:cs="Arial" w:eastAsia="Arial" w:hAnsi="Arial"/>
          <w:sz w:val="16"/>
          <w:szCs w:val="16"/>
          <w:color w:val="auto"/>
        </w:rPr>
        <w:t>thousand transactions were reported.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Resolve Yaperos’ financial needs:</w:t>
      </w:r>
    </w:p>
    <w:p>
      <w:pPr>
        <w:spacing w:after="0" w:line="13" w:lineRule="exact"/>
        <w:rPr>
          <w:sz w:val="20"/>
          <w:szCs w:val="20"/>
          <w:color w:val="auto"/>
        </w:rPr>
      </w:pPr>
    </w:p>
    <w:p>
      <w:pPr>
        <w:jc w:val="both"/>
        <w:ind w:left="580" w:right="20" w:hanging="290"/>
        <w:spacing w:after="0" w:line="248"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quarter, more than 285.5 thousand single installment loans were disbursed (+30 QoQ and +170% YoY) for a total of S/65.3 million. This represents an increase of 29.5% versus the disbursement level in 3Q23 and is 2.2 higher than 4Q23’s figure. In 4Q23, 5 thousand single installment loan was disbursed for a total of 5.5 million.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17" w:name="page18"/>
    <w:bookmarkEnd w:id="17"/>
    <w:p>
      <w:pPr>
        <w:ind w:left="2720"/>
        <w:spacing w:after="0"/>
        <w:tabs>
          <w:tab w:leader="none" w:pos="29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Credicorp’s Strategy Update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 KPIs of Yape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540" w:type="dxa"/>
            <w:vAlign w:val="bottom"/>
            <w:tcBorders>
              <w:top w:val="single" w:sz="8" w:color="auto"/>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6"/>
                <w:szCs w:val="16"/>
                <w:b w:val="1"/>
                <w:bCs w:val="1"/>
                <w:i w:val="1"/>
                <w:iCs w:val="1"/>
                <w:color w:val="auto"/>
              </w:rPr>
              <w:t>Disruptive Initiatives: Yape</w:t>
            </w:r>
          </w:p>
        </w:tc>
        <w:tc>
          <w:tcPr>
            <w:tcW w:w="460" w:type="dxa"/>
            <w:vAlign w:val="bottom"/>
            <w:tcBorders>
              <w:top w:val="single" w:sz="8" w:color="auto"/>
              <w:bottom w:val="single" w:sz="8" w:color="auto"/>
            </w:tcBorders>
            <w:shd w:val="clear" w:color="auto" w:fill="2AD2C9"/>
          </w:tcPr>
          <w:p>
            <w:pPr>
              <w:spacing w:after="0"/>
              <w:rPr>
                <w:sz w:val="21"/>
                <w:szCs w:val="21"/>
                <w:color w:val="auto"/>
              </w:rPr>
            </w:pPr>
          </w:p>
        </w:tc>
        <w:tc>
          <w:tcPr>
            <w:tcW w:w="1100" w:type="dxa"/>
            <w:vAlign w:val="bottom"/>
            <w:tcBorders>
              <w:top w:val="single" w:sz="8" w:color="auto"/>
              <w:bottom w:val="single" w:sz="8" w:color="auto"/>
            </w:tcBorders>
            <w:shd w:val="clear" w:color="auto" w:fill="2AD2C9"/>
          </w:tcPr>
          <w:p>
            <w:pPr>
              <w:jc w:val="center"/>
              <w:ind w:right="379"/>
              <w:spacing w:after="0"/>
              <w:rPr>
                <w:sz w:val="20"/>
                <w:szCs w:val="20"/>
                <w:color w:val="auto"/>
              </w:rPr>
            </w:pPr>
            <w:r>
              <w:rPr>
                <w:rFonts w:ascii="Arial" w:cs="Arial" w:eastAsia="Arial" w:hAnsi="Arial"/>
                <w:sz w:val="16"/>
                <w:szCs w:val="16"/>
                <w:b w:val="1"/>
                <w:bCs w:val="1"/>
                <w:i w:val="1"/>
                <w:iCs w:val="1"/>
                <w:color w:val="auto"/>
              </w:rPr>
              <w:t>4Q22</w:t>
            </w:r>
          </w:p>
        </w:tc>
        <w:tc>
          <w:tcPr>
            <w:tcW w:w="15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i w:val="1"/>
                <w:iCs w:val="1"/>
                <w:color w:val="auto"/>
              </w:rPr>
              <w:t>3Q23</w:t>
            </w:r>
          </w:p>
        </w:tc>
        <w:tc>
          <w:tcPr>
            <w:tcW w:w="160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i w:val="1"/>
                <w:iCs w:val="1"/>
                <w:color w:val="auto"/>
              </w:rPr>
              <w:t>4Q23</w:t>
            </w:r>
          </w:p>
        </w:tc>
      </w:tr>
      <w:tr>
        <w:trPr>
          <w:trHeight w:val="223"/>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Users</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24"/>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Users (millions)</w:t>
            </w:r>
          </w:p>
        </w:tc>
        <w:tc>
          <w:tcPr>
            <w:tcW w:w="460" w:type="dxa"/>
            <w:vAlign w:val="bottom"/>
          </w:tcPr>
          <w:p>
            <w:pPr>
              <w:spacing w:after="0"/>
              <w:rPr>
                <w:sz w:val="19"/>
                <w:szCs w:val="19"/>
                <w:color w:val="auto"/>
              </w:rPr>
            </w:pPr>
          </w:p>
        </w:tc>
        <w:tc>
          <w:tcPr>
            <w:tcW w:w="1100" w:type="dxa"/>
            <w:vAlign w:val="bottom"/>
          </w:tcPr>
          <w:p>
            <w:pPr>
              <w:jc w:val="center"/>
              <w:ind w:right="399"/>
              <w:spacing w:after="0"/>
              <w:rPr>
                <w:sz w:val="20"/>
                <w:szCs w:val="20"/>
                <w:color w:val="auto"/>
              </w:rPr>
            </w:pPr>
            <w:r>
              <w:rPr>
                <w:rFonts w:ascii="Arial" w:cs="Arial" w:eastAsia="Arial" w:hAnsi="Arial"/>
                <w:sz w:val="16"/>
                <w:szCs w:val="16"/>
                <w:color w:val="auto"/>
                <w:w w:val="96"/>
              </w:rPr>
              <w:t>11.9</w:t>
            </w:r>
          </w:p>
        </w:tc>
        <w:tc>
          <w:tcPr>
            <w:tcW w:w="1560" w:type="dxa"/>
            <w:vAlign w:val="bottom"/>
          </w:tcPr>
          <w:p>
            <w:pPr>
              <w:jc w:val="center"/>
              <w:spacing w:after="0"/>
              <w:rPr>
                <w:sz w:val="20"/>
                <w:szCs w:val="20"/>
                <w:color w:val="auto"/>
              </w:rPr>
            </w:pPr>
            <w:r>
              <w:rPr>
                <w:rFonts w:ascii="Arial" w:cs="Arial" w:eastAsia="Arial" w:hAnsi="Arial"/>
                <w:sz w:val="16"/>
                <w:szCs w:val="16"/>
                <w:color w:val="auto"/>
              </w:rPr>
              <w:t>13.4</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14.2</w:t>
            </w:r>
          </w:p>
        </w:tc>
      </w:tr>
      <w:tr>
        <w:trPr>
          <w:trHeight w:val="248"/>
        </w:trPr>
        <w:tc>
          <w:tcPr>
            <w:tcW w:w="6540" w:type="dxa"/>
            <w:vAlign w:val="bottom"/>
            <w:tcBorders>
              <w:left w:val="single" w:sz="8" w:color="auto"/>
              <w:right w:val="single" w:sz="8" w:color="auto"/>
            </w:tcBorders>
          </w:tcPr>
          <w:p>
            <w:pPr>
              <w:ind w:left="100"/>
              <w:spacing w:after="0" w:line="248" w:lineRule="exact"/>
              <w:rPr>
                <w:sz w:val="20"/>
                <w:szCs w:val="20"/>
                <w:color w:val="auto"/>
              </w:rPr>
            </w:pPr>
            <w:r>
              <w:rPr>
                <w:rFonts w:ascii="Arial" w:cs="Arial" w:eastAsia="Arial" w:hAnsi="Arial"/>
                <w:sz w:val="16"/>
                <w:szCs w:val="16"/>
                <w:color w:val="auto"/>
              </w:rPr>
              <w:t xml:space="preserve">Monthly Active Users (MAU) (millions) </w:t>
            </w:r>
            <w:r>
              <w:rPr>
                <w:rFonts w:ascii="Arial" w:cs="Arial" w:eastAsia="Arial" w:hAnsi="Arial"/>
                <w:sz w:val="27"/>
                <w:szCs w:val="27"/>
                <w:color w:val="auto"/>
                <w:vertAlign w:val="superscript"/>
              </w:rPr>
              <w:t>(1)</w:t>
            </w:r>
          </w:p>
        </w:tc>
        <w:tc>
          <w:tcPr>
            <w:tcW w:w="460" w:type="dxa"/>
            <w:vAlign w:val="bottom"/>
          </w:tcPr>
          <w:p>
            <w:pPr>
              <w:spacing w:after="0"/>
              <w:rPr>
                <w:sz w:val="21"/>
                <w:szCs w:val="21"/>
                <w:color w:val="auto"/>
              </w:rPr>
            </w:pPr>
          </w:p>
        </w:tc>
        <w:tc>
          <w:tcPr>
            <w:tcW w:w="1100" w:type="dxa"/>
            <w:vAlign w:val="bottom"/>
          </w:tcPr>
          <w:p>
            <w:pPr>
              <w:jc w:val="center"/>
              <w:ind w:right="399"/>
              <w:spacing w:after="0"/>
              <w:rPr>
                <w:sz w:val="20"/>
                <w:szCs w:val="20"/>
                <w:color w:val="auto"/>
              </w:rPr>
            </w:pPr>
            <w:r>
              <w:rPr>
                <w:rFonts w:ascii="Arial" w:cs="Arial" w:eastAsia="Arial" w:hAnsi="Arial"/>
                <w:sz w:val="16"/>
                <w:szCs w:val="16"/>
                <w:color w:val="auto"/>
                <w:w w:val="98"/>
              </w:rPr>
              <w:t>7.9</w:t>
            </w:r>
          </w:p>
        </w:tc>
        <w:tc>
          <w:tcPr>
            <w:tcW w:w="1560" w:type="dxa"/>
            <w:vAlign w:val="bottom"/>
          </w:tcPr>
          <w:p>
            <w:pPr>
              <w:jc w:val="center"/>
              <w:spacing w:after="0"/>
              <w:rPr>
                <w:sz w:val="20"/>
                <w:szCs w:val="20"/>
                <w:color w:val="auto"/>
              </w:rPr>
            </w:pPr>
            <w:r>
              <w:rPr>
                <w:rFonts w:ascii="Arial" w:cs="Arial" w:eastAsia="Arial" w:hAnsi="Arial"/>
                <w:sz w:val="16"/>
                <w:szCs w:val="16"/>
                <w:color w:val="auto"/>
              </w:rPr>
              <w:t>9.8</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10.7</w:t>
            </w:r>
          </w:p>
        </w:tc>
      </w:tr>
      <w:tr>
        <w:trPr>
          <w:trHeight w:val="220"/>
        </w:trPr>
        <w:tc>
          <w:tcPr>
            <w:tcW w:w="6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Fee Income Generating MAU (millions)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color w:val="auto"/>
                <w:w w:val="98"/>
              </w:rPr>
              <w:t>3.4</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7.9</w:t>
            </w:r>
          </w:p>
        </w:tc>
      </w:tr>
      <w:tr>
        <w:trPr>
          <w:trHeight w:val="227"/>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Engagement</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24"/>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 Monthly Transactions (millions)</w:t>
            </w:r>
          </w:p>
        </w:tc>
        <w:tc>
          <w:tcPr>
            <w:tcW w:w="460" w:type="dxa"/>
            <w:vAlign w:val="bottom"/>
          </w:tcPr>
          <w:p>
            <w:pPr>
              <w:spacing w:after="0"/>
              <w:rPr>
                <w:sz w:val="19"/>
                <w:szCs w:val="19"/>
                <w:color w:val="auto"/>
              </w:rPr>
            </w:pPr>
          </w:p>
        </w:tc>
        <w:tc>
          <w:tcPr>
            <w:tcW w:w="1100" w:type="dxa"/>
            <w:vAlign w:val="bottom"/>
          </w:tcPr>
          <w:p>
            <w:pPr>
              <w:jc w:val="center"/>
              <w:ind w:right="399"/>
              <w:spacing w:after="0"/>
              <w:rPr>
                <w:sz w:val="20"/>
                <w:szCs w:val="20"/>
                <w:color w:val="auto"/>
              </w:rPr>
            </w:pPr>
            <w:r>
              <w:rPr>
                <w:rFonts w:ascii="Arial" w:cs="Arial" w:eastAsia="Arial" w:hAnsi="Arial"/>
                <w:sz w:val="16"/>
                <w:szCs w:val="16"/>
                <w:color w:val="auto"/>
              </w:rPr>
              <w:t>162.5</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285.8</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378.3</w:t>
            </w:r>
          </w:p>
        </w:tc>
      </w:tr>
      <w:tr>
        <w:trPr>
          <w:trHeight w:val="241"/>
        </w:trPr>
        <w:tc>
          <w:tcPr>
            <w:tcW w:w="6540" w:type="dxa"/>
            <w:vAlign w:val="bottom"/>
            <w:tcBorders>
              <w:left w:val="single" w:sz="8" w:color="auto"/>
              <w:bottom w:val="single" w:sz="8" w:color="auto"/>
              <w:right w:val="single" w:sz="8" w:color="auto"/>
            </w:tcBorders>
          </w:tcPr>
          <w:p>
            <w:pPr>
              <w:ind w:left="100"/>
              <w:spacing w:after="0" w:line="240" w:lineRule="exact"/>
              <w:rPr>
                <w:sz w:val="20"/>
                <w:szCs w:val="20"/>
                <w:color w:val="auto"/>
              </w:rPr>
            </w:pPr>
            <w:r>
              <w:rPr>
                <w:rFonts w:ascii="Arial" w:cs="Arial" w:eastAsia="Arial" w:hAnsi="Arial"/>
                <w:sz w:val="16"/>
                <w:szCs w:val="16"/>
                <w:color w:val="auto"/>
              </w:rPr>
              <w:t xml:space="preserve">TPV </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(S/, millions)</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color w:val="auto"/>
              </w:rPr>
              <w:t>66.2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137.8</w:t>
            </w:r>
          </w:p>
        </w:tc>
      </w:tr>
      <w:tr>
        <w:trPr>
          <w:trHeight w:val="223"/>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Experience</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42"/>
        </w:trPr>
        <w:tc>
          <w:tcPr>
            <w:tcW w:w="6540" w:type="dxa"/>
            <w:vAlign w:val="bottom"/>
            <w:tcBorders>
              <w:left w:val="single" w:sz="8" w:color="auto"/>
              <w:right w:val="single" w:sz="8" w:color="auto"/>
            </w:tcBorders>
          </w:tcPr>
          <w:p>
            <w:pPr>
              <w:ind w:left="100"/>
              <w:spacing w:after="0" w:line="242" w:lineRule="exact"/>
              <w:rPr>
                <w:sz w:val="20"/>
                <w:szCs w:val="20"/>
                <w:color w:val="auto"/>
              </w:rPr>
            </w:pPr>
            <w:r>
              <w:rPr>
                <w:rFonts w:ascii="Arial" w:cs="Arial" w:eastAsia="Arial" w:hAnsi="Arial"/>
                <w:sz w:val="16"/>
                <w:szCs w:val="16"/>
                <w:color w:val="auto"/>
              </w:rPr>
              <w:t xml:space="preserve">NPS </w:t>
            </w:r>
            <w:r>
              <w:rPr>
                <w:rFonts w:ascii="Arial" w:cs="Arial" w:eastAsia="Arial" w:hAnsi="Arial"/>
                <w:sz w:val="27"/>
                <w:szCs w:val="27"/>
                <w:color w:val="auto"/>
                <w:vertAlign w:val="superscript"/>
              </w:rPr>
              <w:t>(2)</w:t>
            </w:r>
          </w:p>
        </w:tc>
        <w:tc>
          <w:tcPr>
            <w:tcW w:w="460" w:type="dxa"/>
            <w:vAlign w:val="bottom"/>
          </w:tcPr>
          <w:p>
            <w:pPr>
              <w:spacing w:after="0"/>
              <w:rPr>
                <w:sz w:val="21"/>
                <w:szCs w:val="21"/>
                <w:color w:val="auto"/>
              </w:rPr>
            </w:pPr>
          </w:p>
        </w:tc>
        <w:tc>
          <w:tcPr>
            <w:tcW w:w="1100" w:type="dxa"/>
            <w:vAlign w:val="bottom"/>
          </w:tcPr>
          <w:p>
            <w:pPr>
              <w:jc w:val="center"/>
              <w:ind w:right="399"/>
              <w:spacing w:after="0"/>
              <w:rPr>
                <w:sz w:val="20"/>
                <w:szCs w:val="20"/>
                <w:color w:val="auto"/>
              </w:rPr>
            </w:pPr>
            <w:r>
              <w:rPr>
                <w:rFonts w:ascii="Arial" w:cs="Arial" w:eastAsia="Arial" w:hAnsi="Arial"/>
                <w:sz w:val="16"/>
                <w:szCs w:val="16"/>
                <w:color w:val="auto"/>
              </w:rPr>
              <w:t>71</w:t>
            </w:r>
          </w:p>
        </w:tc>
        <w:tc>
          <w:tcPr>
            <w:tcW w:w="1560" w:type="dxa"/>
            <w:vAlign w:val="bottom"/>
          </w:tcPr>
          <w:p>
            <w:pPr>
              <w:jc w:val="center"/>
              <w:spacing w:after="0"/>
              <w:rPr>
                <w:sz w:val="20"/>
                <w:szCs w:val="20"/>
                <w:color w:val="auto"/>
              </w:rPr>
            </w:pPr>
            <w:r>
              <w:rPr>
                <w:rFonts w:ascii="Arial" w:cs="Arial" w:eastAsia="Arial" w:hAnsi="Arial"/>
                <w:sz w:val="16"/>
                <w:szCs w:val="16"/>
                <w:color w:val="auto"/>
              </w:rPr>
              <w:t>76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80</w:t>
            </w:r>
          </w:p>
        </w:tc>
      </w:tr>
      <w:tr>
        <w:trPr>
          <w:trHeight w:val="221"/>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Metric per Monthly Active User (MAU)</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24"/>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Monthly Transactions / MAU</w:t>
            </w:r>
          </w:p>
        </w:tc>
        <w:tc>
          <w:tcPr>
            <w:tcW w:w="460" w:type="dxa"/>
            <w:vAlign w:val="bottom"/>
          </w:tcPr>
          <w:p>
            <w:pPr>
              <w:spacing w:after="0"/>
              <w:rPr>
                <w:sz w:val="19"/>
                <w:szCs w:val="19"/>
                <w:color w:val="auto"/>
              </w:rPr>
            </w:pPr>
          </w:p>
        </w:tc>
        <w:tc>
          <w:tcPr>
            <w:tcW w:w="1100" w:type="dxa"/>
            <w:vAlign w:val="bottom"/>
          </w:tcPr>
          <w:p>
            <w:pPr>
              <w:jc w:val="center"/>
              <w:ind w:right="399"/>
              <w:spacing w:after="0"/>
              <w:rPr>
                <w:sz w:val="20"/>
                <w:szCs w:val="20"/>
                <w:color w:val="auto"/>
              </w:rPr>
            </w:pPr>
            <w:r>
              <w:rPr>
                <w:rFonts w:ascii="Arial" w:cs="Arial" w:eastAsia="Arial" w:hAnsi="Arial"/>
                <w:sz w:val="16"/>
                <w:szCs w:val="16"/>
                <w:color w:val="auto"/>
              </w:rPr>
              <w:t>21</w:t>
            </w:r>
          </w:p>
        </w:tc>
        <w:tc>
          <w:tcPr>
            <w:tcW w:w="1560" w:type="dxa"/>
            <w:vAlign w:val="bottom"/>
          </w:tcPr>
          <w:p>
            <w:pPr>
              <w:jc w:val="center"/>
              <w:spacing w:after="0"/>
              <w:rPr>
                <w:sz w:val="20"/>
                <w:szCs w:val="20"/>
                <w:color w:val="auto"/>
              </w:rPr>
            </w:pPr>
            <w:r>
              <w:rPr>
                <w:rFonts w:ascii="Arial" w:cs="Arial" w:eastAsia="Arial" w:hAnsi="Arial"/>
                <w:sz w:val="16"/>
                <w:szCs w:val="16"/>
                <w:color w:val="auto"/>
              </w:rPr>
              <w:t>29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35</w:t>
            </w:r>
          </w:p>
        </w:tc>
      </w:tr>
      <w:tr>
        <w:trPr>
          <w:trHeight w:val="232"/>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Monthly Revenues / MAU</w:t>
            </w:r>
          </w:p>
        </w:tc>
        <w:tc>
          <w:tcPr>
            <w:tcW w:w="460" w:type="dxa"/>
            <w:vAlign w:val="bottom"/>
          </w:tcPr>
          <w:p>
            <w:pPr>
              <w:spacing w:after="0"/>
              <w:rPr>
                <w:sz w:val="20"/>
                <w:szCs w:val="20"/>
                <w:color w:val="auto"/>
              </w:rPr>
            </w:pPr>
          </w:p>
        </w:tc>
        <w:tc>
          <w:tcPr>
            <w:tcW w:w="1100" w:type="dxa"/>
            <w:vAlign w:val="bottom"/>
          </w:tcPr>
          <w:p>
            <w:pPr>
              <w:jc w:val="center"/>
              <w:ind w:right="399"/>
              <w:spacing w:after="0"/>
              <w:rPr>
                <w:sz w:val="20"/>
                <w:szCs w:val="20"/>
                <w:color w:val="auto"/>
              </w:rPr>
            </w:pPr>
            <w:r>
              <w:rPr>
                <w:rFonts w:ascii="Arial" w:cs="Arial" w:eastAsia="Arial" w:hAnsi="Arial"/>
                <w:sz w:val="16"/>
                <w:szCs w:val="16"/>
                <w:color w:val="auto"/>
                <w:w w:val="98"/>
              </w:rPr>
              <w:t>1.8</w:t>
            </w:r>
          </w:p>
        </w:tc>
        <w:tc>
          <w:tcPr>
            <w:tcW w:w="1560" w:type="dxa"/>
            <w:vAlign w:val="bottom"/>
          </w:tcPr>
          <w:p>
            <w:pPr>
              <w:jc w:val="center"/>
              <w:spacing w:after="0"/>
              <w:rPr>
                <w:sz w:val="20"/>
                <w:szCs w:val="20"/>
                <w:color w:val="auto"/>
              </w:rPr>
            </w:pPr>
            <w:r>
              <w:rPr>
                <w:rFonts w:ascii="Arial" w:cs="Arial" w:eastAsia="Arial" w:hAnsi="Arial"/>
                <w:sz w:val="16"/>
                <w:szCs w:val="16"/>
                <w:color w:val="auto"/>
              </w:rPr>
              <w:t>2.9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3.9</w:t>
            </w:r>
          </w:p>
        </w:tc>
      </w:tr>
      <w:tr>
        <w:trPr>
          <w:trHeight w:val="236"/>
        </w:trPr>
        <w:tc>
          <w:tcPr>
            <w:tcW w:w="6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Monthly Cash Cost / MAU</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color w:val="auto"/>
                <w:w w:val="98"/>
              </w:rPr>
              <w:t>6.8</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5.1</w:t>
            </w:r>
          </w:p>
        </w:tc>
      </w:tr>
      <w:tr>
        <w:trPr>
          <w:trHeight w:val="227"/>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Monetization Drivers</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32"/>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Payments</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24"/>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i w:val="1"/>
                <w:iCs w:val="1"/>
                <w:color w:val="auto"/>
              </w:rPr>
              <w:t># Mobile Top-Ups transactions (millions)</w:t>
            </w:r>
          </w:p>
        </w:tc>
        <w:tc>
          <w:tcPr>
            <w:tcW w:w="460" w:type="dxa"/>
            <w:vAlign w:val="bottom"/>
          </w:tcPr>
          <w:p>
            <w:pPr>
              <w:spacing w:after="0"/>
              <w:rPr>
                <w:sz w:val="19"/>
                <w:szCs w:val="19"/>
                <w:color w:val="auto"/>
              </w:rPr>
            </w:pPr>
          </w:p>
        </w:tc>
        <w:tc>
          <w:tcPr>
            <w:tcW w:w="1100" w:type="dxa"/>
            <w:vAlign w:val="bottom"/>
          </w:tcPr>
          <w:p>
            <w:pPr>
              <w:jc w:val="center"/>
              <w:ind w:right="379"/>
              <w:spacing w:after="0"/>
              <w:rPr>
                <w:sz w:val="20"/>
                <w:szCs w:val="20"/>
                <w:color w:val="auto"/>
              </w:rPr>
            </w:pPr>
            <w:r>
              <w:rPr>
                <w:rFonts w:ascii="Arial" w:cs="Arial" w:eastAsia="Arial" w:hAnsi="Arial"/>
                <w:sz w:val="16"/>
                <w:szCs w:val="16"/>
                <w:color w:val="auto"/>
              </w:rPr>
              <w:t>26.2</w:t>
            </w:r>
          </w:p>
        </w:tc>
        <w:tc>
          <w:tcPr>
            <w:tcW w:w="1560" w:type="dxa"/>
            <w:vAlign w:val="bottom"/>
          </w:tcPr>
          <w:p>
            <w:pPr>
              <w:jc w:val="center"/>
              <w:spacing w:after="0"/>
              <w:rPr>
                <w:sz w:val="20"/>
                <w:szCs w:val="20"/>
                <w:color w:val="auto"/>
              </w:rPr>
            </w:pPr>
            <w:r>
              <w:rPr>
                <w:rFonts w:ascii="Arial" w:cs="Arial" w:eastAsia="Arial" w:hAnsi="Arial"/>
                <w:sz w:val="16"/>
                <w:szCs w:val="16"/>
                <w:color w:val="auto"/>
              </w:rPr>
              <w:t>42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50.7</w:t>
            </w:r>
          </w:p>
        </w:tc>
      </w:tr>
      <w:tr>
        <w:trPr>
          <w:trHeight w:val="232"/>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i w:val="1"/>
                <w:iCs w:val="1"/>
                <w:color w:val="auto"/>
              </w:rPr>
              <w:t># Bill Payments transactions (millions)</w:t>
            </w:r>
          </w:p>
        </w:tc>
        <w:tc>
          <w:tcPr>
            <w:tcW w:w="460" w:type="dxa"/>
            <w:vAlign w:val="bottom"/>
          </w:tcPr>
          <w:p>
            <w:pPr>
              <w:spacing w:after="0"/>
              <w:rPr>
                <w:sz w:val="20"/>
                <w:szCs w:val="20"/>
                <w:color w:val="auto"/>
              </w:rPr>
            </w:pPr>
          </w:p>
        </w:tc>
        <w:tc>
          <w:tcPr>
            <w:tcW w:w="1100" w:type="dxa"/>
            <w:vAlign w:val="bottom"/>
          </w:tcPr>
          <w:p>
            <w:pPr>
              <w:jc w:val="center"/>
              <w:ind w:right="399"/>
              <w:spacing w:after="0"/>
              <w:rPr>
                <w:sz w:val="20"/>
                <w:szCs w:val="20"/>
                <w:color w:val="auto"/>
              </w:rPr>
            </w:pPr>
            <w:r>
              <w:rPr>
                <w:rFonts w:ascii="Arial" w:cs="Arial" w:eastAsia="Arial" w:hAnsi="Arial"/>
                <w:sz w:val="16"/>
                <w:szCs w:val="16"/>
                <w:color w:val="auto"/>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10.6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18.1</w:t>
            </w:r>
          </w:p>
        </w:tc>
      </w:tr>
      <w:tr>
        <w:trPr>
          <w:trHeight w:val="240"/>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Yape Promos</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24"/>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GMV (4) (S/, millions)</w:t>
            </w:r>
          </w:p>
        </w:tc>
        <w:tc>
          <w:tcPr>
            <w:tcW w:w="460" w:type="dxa"/>
            <w:vAlign w:val="bottom"/>
          </w:tcPr>
          <w:p>
            <w:pPr>
              <w:spacing w:after="0"/>
              <w:rPr>
                <w:sz w:val="19"/>
                <w:szCs w:val="19"/>
                <w:color w:val="auto"/>
              </w:rPr>
            </w:pPr>
          </w:p>
        </w:tc>
        <w:tc>
          <w:tcPr>
            <w:tcW w:w="1100" w:type="dxa"/>
            <w:vAlign w:val="bottom"/>
          </w:tcPr>
          <w:p>
            <w:pPr>
              <w:jc w:val="center"/>
              <w:ind w:right="399"/>
              <w:spacing w:after="0"/>
              <w:rPr>
                <w:sz w:val="20"/>
                <w:szCs w:val="20"/>
                <w:color w:val="auto"/>
              </w:rPr>
            </w:pPr>
            <w:r>
              <w:rPr>
                <w:rFonts w:ascii="Arial" w:cs="Arial" w:eastAsia="Arial" w:hAnsi="Arial"/>
                <w:sz w:val="16"/>
                <w:szCs w:val="16"/>
                <w:color w:val="auto"/>
                <w:w w:val="98"/>
              </w:rPr>
              <w:t>5.2</w:t>
            </w:r>
          </w:p>
        </w:tc>
        <w:tc>
          <w:tcPr>
            <w:tcW w:w="1560" w:type="dxa"/>
            <w:vAlign w:val="bottom"/>
          </w:tcPr>
          <w:p>
            <w:pPr>
              <w:jc w:val="center"/>
              <w:spacing w:after="0"/>
              <w:rPr>
                <w:sz w:val="20"/>
                <w:szCs w:val="20"/>
                <w:color w:val="auto"/>
              </w:rPr>
            </w:pPr>
            <w:r>
              <w:rPr>
                <w:rFonts w:ascii="Arial" w:cs="Arial" w:eastAsia="Arial" w:hAnsi="Arial"/>
                <w:sz w:val="16"/>
                <w:szCs w:val="16"/>
                <w:color w:val="auto"/>
              </w:rPr>
              <w:t>38.6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40.9</w:t>
            </w:r>
          </w:p>
        </w:tc>
      </w:tr>
      <w:tr>
        <w:trPr>
          <w:trHeight w:val="240"/>
        </w:trPr>
        <w:tc>
          <w:tcPr>
            <w:tcW w:w="6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Microloans</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28"/>
        </w:trPr>
        <w:tc>
          <w:tcPr>
            <w:tcW w:w="6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i w:val="1"/>
                <w:iCs w:val="1"/>
                <w:color w:val="auto"/>
              </w:rPr>
              <w:t># Disbursements (thousands)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color w:val="auto"/>
              </w:rPr>
              <w:t>105.7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219.8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290.5</w:t>
            </w:r>
          </w:p>
        </w:tc>
      </w:tr>
      <w:tr>
        <w:trPr>
          <w:trHeight w:val="103"/>
        </w:trPr>
        <w:tc>
          <w:tcPr>
            <w:tcW w:w="7000" w:type="dxa"/>
            <w:vAlign w:val="bottom"/>
            <w:gridSpan w:val="2"/>
          </w:tcPr>
          <w:p>
            <w:pPr>
              <w:spacing w:after="0" w:line="103" w:lineRule="exact"/>
              <w:rPr>
                <w:sz w:val="20"/>
                <w:szCs w:val="20"/>
                <w:color w:val="auto"/>
              </w:rPr>
            </w:pPr>
            <w:r>
              <w:rPr>
                <w:rFonts w:ascii="Arial" w:cs="Arial" w:eastAsia="Arial" w:hAnsi="Arial"/>
                <w:sz w:val="11"/>
                <w:szCs w:val="11"/>
                <w:color w:val="auto"/>
              </w:rPr>
              <w:t>(1) Yape users that have made at least one transaction over the last month.</w:t>
            </w:r>
          </w:p>
        </w:tc>
        <w:tc>
          <w:tcPr>
            <w:tcW w:w="1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122"/>
        </w:trPr>
        <w:tc>
          <w:tcPr>
            <w:tcW w:w="7000" w:type="dxa"/>
            <w:vAlign w:val="bottom"/>
            <w:gridSpan w:val="2"/>
          </w:tcPr>
          <w:p>
            <w:pPr>
              <w:spacing w:after="0" w:line="122" w:lineRule="exact"/>
              <w:rPr>
                <w:sz w:val="20"/>
                <w:szCs w:val="20"/>
                <w:color w:val="auto"/>
              </w:rPr>
            </w:pPr>
            <w:r>
              <w:rPr>
                <w:rFonts w:ascii="Arial" w:cs="Arial" w:eastAsia="Arial" w:hAnsi="Arial"/>
                <w:sz w:val="11"/>
                <w:szCs w:val="11"/>
                <w:color w:val="auto"/>
              </w:rPr>
              <w:t>(2) Net Promoting Score</w:t>
            </w:r>
          </w:p>
        </w:tc>
        <w:tc>
          <w:tcPr>
            <w:tcW w:w="1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22"/>
        </w:trPr>
        <w:tc>
          <w:tcPr>
            <w:tcW w:w="7000" w:type="dxa"/>
            <w:vAlign w:val="bottom"/>
            <w:gridSpan w:val="2"/>
          </w:tcPr>
          <w:p>
            <w:pPr>
              <w:spacing w:after="0" w:line="122" w:lineRule="exact"/>
              <w:rPr>
                <w:sz w:val="20"/>
                <w:szCs w:val="20"/>
                <w:color w:val="auto"/>
              </w:rPr>
            </w:pPr>
            <w:r>
              <w:rPr>
                <w:rFonts w:ascii="Arial" w:cs="Arial" w:eastAsia="Arial" w:hAnsi="Arial"/>
                <w:sz w:val="11"/>
                <w:szCs w:val="11"/>
                <w:color w:val="auto"/>
              </w:rPr>
              <w:t>(3) Total Payment Volume</w:t>
            </w:r>
          </w:p>
        </w:tc>
        <w:tc>
          <w:tcPr>
            <w:tcW w:w="1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49"/>
        </w:trPr>
        <w:tc>
          <w:tcPr>
            <w:tcW w:w="7000" w:type="dxa"/>
            <w:vAlign w:val="bottom"/>
            <w:gridSpan w:val="2"/>
          </w:tcPr>
          <w:p>
            <w:pPr>
              <w:spacing w:after="0"/>
              <w:rPr>
                <w:sz w:val="20"/>
                <w:szCs w:val="20"/>
                <w:color w:val="auto"/>
              </w:rPr>
            </w:pPr>
            <w:r>
              <w:rPr>
                <w:rFonts w:ascii="Arial" w:cs="Arial" w:eastAsia="Arial" w:hAnsi="Arial"/>
                <w:sz w:val="11"/>
                <w:szCs w:val="11"/>
                <w:color w:val="auto"/>
              </w:rPr>
              <w:t>(4) Gross Merchant Volume</w:t>
            </w:r>
          </w:p>
        </w:tc>
        <w:tc>
          <w:tcPr>
            <w:tcW w:w="1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386"/>
        </w:trPr>
        <w:tc>
          <w:tcPr>
            <w:tcW w:w="7000" w:type="dxa"/>
            <w:vAlign w:val="bottom"/>
            <w:gridSpan w:val="2"/>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43"/>
        </w:trPr>
        <w:tc>
          <w:tcPr>
            <w:tcW w:w="6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18" w:name="page19"/>
    <w:bookmarkEnd w:id="18"/>
    <w:p>
      <w:pPr>
        <w:ind w:left="2722"/>
        <w:spacing w:after="0"/>
        <w:tabs>
          <w:tab w:leader="none" w:pos="292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2023</w:t>
      </w:r>
    </w:p>
    <w:p>
      <w:pPr>
        <w:spacing w:after="0" w:line="342"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FFFFFF"/>
        </w:rPr>
        <w:t>Credicorp’s Strategy Update</w:t>
      </w:r>
    </w:p>
    <w:p>
      <w:pPr>
        <w:spacing w:after="0" w:line="27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Integrating Sustainability in Our Businesses</w:t>
      </w:r>
    </w:p>
    <w:p>
      <w:pPr>
        <w:spacing w:after="0" w:line="15" w:lineRule="exact"/>
        <w:rPr>
          <w:sz w:val="20"/>
          <w:szCs w:val="20"/>
          <w:color w:val="auto"/>
        </w:rPr>
      </w:pPr>
    </w:p>
    <w:p>
      <w:pPr>
        <w:ind w:left="2" w:right="20"/>
        <w:spacing w:after="0" w:line="258" w:lineRule="auto"/>
        <w:rPr>
          <w:sz w:val="20"/>
          <w:szCs w:val="20"/>
          <w:color w:val="auto"/>
        </w:rPr>
      </w:pPr>
      <w:r>
        <w:rPr>
          <w:rFonts w:ascii="Arial" w:cs="Arial" w:eastAsia="Arial" w:hAnsi="Arial"/>
          <w:sz w:val="16"/>
          <w:szCs w:val="16"/>
          <w:color w:val="auto"/>
        </w:rPr>
        <w:t>For more information on our sustainability strategy, program and initiatives, please review: “</w:t>
      </w:r>
      <w:r>
        <w:rPr>
          <w:rFonts w:ascii="Arial" w:cs="Arial" w:eastAsia="Arial" w:hAnsi="Arial"/>
          <w:sz w:val="16"/>
          <w:szCs w:val="16"/>
          <w:u w:val="single" w:color="auto"/>
          <w:color w:val="0562C1"/>
        </w:rPr>
        <w:t>Sustainability Strategy 2020-25”</w:t>
      </w:r>
      <w:r>
        <w:rPr>
          <w:rFonts w:ascii="Arial" w:cs="Arial" w:eastAsia="Arial" w:hAnsi="Arial"/>
          <w:sz w:val="16"/>
          <w:szCs w:val="16"/>
          <w:color w:val="auto"/>
        </w:rPr>
        <w:t xml:space="preserve"> and “</w:t>
      </w:r>
      <w:r>
        <w:rPr>
          <w:rFonts w:ascii="Arial" w:cs="Arial" w:eastAsia="Arial" w:hAnsi="Arial"/>
          <w:sz w:val="16"/>
          <w:szCs w:val="16"/>
          <w:u w:val="single" w:color="auto"/>
          <w:color w:val="0562C1"/>
        </w:rPr>
        <w:t>Sustainability and Annual</w:t>
      </w:r>
      <w:r>
        <w:rPr>
          <w:rFonts w:ascii="Arial" w:cs="Arial" w:eastAsia="Arial" w:hAnsi="Arial"/>
          <w:sz w:val="16"/>
          <w:szCs w:val="16"/>
          <w:color w:val="auto"/>
        </w:rPr>
        <w:t xml:space="preserve"> </w:t>
      </w:r>
      <w:r>
        <w:rPr>
          <w:rFonts w:ascii="Arial" w:cs="Arial" w:eastAsia="Arial" w:hAnsi="Arial"/>
          <w:sz w:val="16"/>
          <w:szCs w:val="16"/>
          <w:u w:val="single" w:color="auto"/>
          <w:color w:val="0562C1"/>
        </w:rPr>
        <w:t>Report 2022</w:t>
      </w:r>
      <w:r>
        <w:rPr>
          <w:rFonts w:ascii="Arial" w:cs="Arial" w:eastAsia="Arial" w:hAnsi="Arial"/>
          <w:sz w:val="16"/>
          <w:szCs w:val="16"/>
          <w:color w:val="000000"/>
        </w:rPr>
        <w:t>”. The following stand out among the milestones hit in the framework of the Sustainability Program in the 4Q23:</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Governance Front – Aligning our corporate governance to best practice and international standards</w:t>
      </w:r>
    </w:p>
    <w:p>
      <w:pPr>
        <w:spacing w:after="0" w:line="15" w:lineRule="exact"/>
        <w:rPr>
          <w:sz w:val="20"/>
          <w:szCs w:val="20"/>
          <w:color w:val="auto"/>
        </w:rPr>
      </w:pPr>
    </w:p>
    <w:p>
      <w:pPr>
        <w:ind w:left="582" w:right="20" w:hanging="290"/>
        <w:spacing w:after="0" w:line="258" w:lineRule="auto"/>
        <w:tabs>
          <w:tab w:leader="none" w:pos="582"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Board Composition: </w:t>
      </w:r>
      <w:r>
        <w:rPr>
          <w:rFonts w:ascii="Arial" w:cs="Arial" w:eastAsia="Arial" w:hAnsi="Arial"/>
          <w:sz w:val="16"/>
          <w:szCs w:val="16"/>
          <w:color w:val="auto"/>
        </w:rPr>
        <w:t>An external assessment of the board and its committees was conducted, and we already have an action plan based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recommendations of the analysis.</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Environmental Front – Driving environmental sustainability from the financial sector and ESG Risk Management</w:t>
      </w:r>
    </w:p>
    <w:p>
      <w:pPr>
        <w:spacing w:after="0" w:line="15" w:lineRule="exact"/>
        <w:rPr>
          <w:sz w:val="20"/>
          <w:szCs w:val="20"/>
          <w:color w:val="auto"/>
        </w:rPr>
      </w:pPr>
    </w:p>
    <w:p>
      <w:pPr>
        <w:jc w:val="both"/>
        <w:ind w:left="582" w:right="20" w:hanging="290"/>
        <w:spacing w:after="0" w:line="238"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Credicorp publishes its first TCFD report: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562C1"/>
        </w:rPr>
        <w:t>TCFD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(Task force on Climate-Related Financial Disclosures) describes the measures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to June 2023 under our environmental strategy and addresses issues related to climate change in the ambits of corporate governance, business strategy, operations, risks, metrics at both the corporate level and at subsidiaries.</w:t>
      </w:r>
    </w:p>
    <w:p>
      <w:pPr>
        <w:spacing w:after="0" w:line="1" w:lineRule="exact"/>
        <w:rPr>
          <w:rFonts w:ascii="Arial" w:cs="Arial" w:eastAsia="Arial" w:hAnsi="Arial"/>
          <w:sz w:val="16"/>
          <w:szCs w:val="16"/>
          <w:color w:val="auto"/>
        </w:rPr>
      </w:pPr>
    </w:p>
    <w:p>
      <w:pPr>
        <w:jc w:val="both"/>
        <w:ind w:left="582" w:right="20" w:hanging="290"/>
        <w:spacing w:after="0" w:line="238"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Business Opportunities</w:t>
      </w:r>
      <w:r>
        <w:rPr>
          <w:rFonts w:ascii="Arial" w:cs="Arial" w:eastAsia="Arial" w:hAnsi="Arial"/>
          <w:sz w:val="16"/>
          <w:szCs w:val="16"/>
          <w:color w:val="auto"/>
        </w:rPr>
        <w:t>: At the end of 4Q23, BCP approved 59 green transactions for US$ 585.8MM, which represents almost double the figure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at the end of the 3Q23 (32 transactions for US$ 309.9MM). YTD, 43 transactions were conducted for S/8.6MM for Sustainable Car Loans and 83 Green Mortgage Loan transactions were completed for S/50MM.</w:t>
      </w:r>
    </w:p>
    <w:p>
      <w:pPr>
        <w:spacing w:after="0" w:line="1" w:lineRule="exact"/>
        <w:rPr>
          <w:rFonts w:ascii="Arial" w:cs="Arial" w:eastAsia="Arial" w:hAnsi="Arial"/>
          <w:sz w:val="16"/>
          <w:szCs w:val="16"/>
          <w:color w:val="auto"/>
        </w:rPr>
      </w:pPr>
    </w:p>
    <w:p>
      <w:pPr>
        <w:jc w:val="both"/>
        <w:ind w:left="582" w:right="20" w:hanging="290"/>
        <w:spacing w:after="0" w:line="238"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Carbon Footprint Measurement: </w:t>
      </w:r>
      <w:r>
        <w:rPr>
          <w:rFonts w:ascii="Arial" w:cs="Arial" w:eastAsia="Arial" w:hAnsi="Arial"/>
          <w:sz w:val="16"/>
          <w:szCs w:val="16"/>
          <w:color w:val="auto"/>
        </w:rPr>
        <w:t>At BCP, after having built capacities in 3Q23, we developed a map of our initiatives to reduce our Carbon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Footprint. Additionally, we reviewed the mitigation activities that have been implemented and those that are under exploration. Data was compiled on the footprints of prioritized sectors of the Wholesale Banking portfolio.</w:t>
      </w:r>
    </w:p>
    <w:p>
      <w:pPr>
        <w:spacing w:after="0" w:line="1" w:lineRule="exact"/>
        <w:rPr>
          <w:rFonts w:ascii="Arial" w:cs="Arial" w:eastAsia="Arial" w:hAnsi="Arial"/>
          <w:sz w:val="16"/>
          <w:szCs w:val="16"/>
          <w:color w:val="auto"/>
        </w:rPr>
      </w:pPr>
    </w:p>
    <w:p>
      <w:pPr>
        <w:jc w:val="both"/>
        <w:ind w:left="582" w:right="20" w:hanging="290"/>
        <w:spacing w:after="0" w:line="248"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Risks: </w:t>
      </w:r>
      <w:r>
        <w:rPr>
          <w:rFonts w:ascii="Arial" w:cs="Arial" w:eastAsia="Arial" w:hAnsi="Arial"/>
          <w:sz w:val="16"/>
          <w:szCs w:val="16"/>
          <w:color w:val="auto"/>
        </w:rPr>
        <w:t>Within the platform for the ESG Risk Enabler, BCP defined the appetite indicators that will be applied to assessments of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Portfolios and Financing. ESG risk training for the Financing portfolio was conducted as part of an on-going effort to strengthen the capacities of the Wholesale Banking teams.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Social Front – Expanding financial inclusion and educating about finance and entrepreneurship</w:t>
      </w:r>
    </w:p>
    <w:p>
      <w:pPr>
        <w:spacing w:after="0" w:line="15" w:lineRule="exact"/>
        <w:rPr>
          <w:sz w:val="20"/>
          <w:szCs w:val="20"/>
          <w:color w:val="auto"/>
        </w:rPr>
      </w:pPr>
    </w:p>
    <w:p>
      <w:pPr>
        <w:ind w:left="582" w:right="20" w:hanging="290"/>
        <w:spacing w:after="0" w:line="238" w:lineRule="auto"/>
        <w:tabs>
          <w:tab w:leader="none" w:pos="582"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Inclusion</w:t>
      </w:r>
      <w:r>
        <w:rPr>
          <w:rFonts w:ascii="Arial" w:cs="Arial" w:eastAsia="Arial" w:hAnsi="Arial"/>
          <w:sz w:val="16"/>
          <w:szCs w:val="16"/>
          <w:color w:val="auto"/>
        </w:rPr>
        <w:t>: The “Agente Móvil” Chaski has reached 50 rural areas and 10 urban locations in the departments of Arequipa, Cuzco,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Moquegua.</w:t>
      </w:r>
    </w:p>
    <w:p>
      <w:pPr>
        <w:jc w:val="both"/>
        <w:ind w:left="582" w:hanging="290"/>
        <w:spacing w:after="0" w:line="241" w:lineRule="auto"/>
        <w:tabs>
          <w:tab w:leader="none" w:pos="582"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Education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BCP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continued to drive improvements in financial behavior (preventing Overindebtedness/Overdraws on Credit Cards/Late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payments and Promoting Savings) and trained 214 thousand clients through its Education Initiatives for Business. Through its “Mujeres Poderosas” program, </w:t>
      </w:r>
      <w:r>
        <w:rPr>
          <w:rFonts w:ascii="Arial" w:cs="Arial" w:eastAsia="Arial" w:hAnsi="Arial"/>
          <w:sz w:val="16"/>
          <w:szCs w:val="16"/>
          <w:b w:val="1"/>
          <w:bCs w:val="1"/>
          <w:color w:val="auto"/>
        </w:rPr>
        <w:t>Mibanco Perú</w:t>
      </w:r>
      <w:r>
        <w:rPr>
          <w:rFonts w:ascii="Arial" w:cs="Arial" w:eastAsia="Arial" w:hAnsi="Arial"/>
          <w:sz w:val="16"/>
          <w:szCs w:val="16"/>
          <w:color w:val="auto"/>
        </w:rPr>
        <w:t xml:space="preserve"> trained more than 13 thousand representatives from approximately one thousand social organizations at the national level. </w:t>
      </w:r>
      <w:r>
        <w:rPr>
          <w:rFonts w:ascii="Arial" w:cs="Arial" w:eastAsia="Arial" w:hAnsi="Arial"/>
          <w:sz w:val="16"/>
          <w:szCs w:val="16"/>
          <w:b w:val="1"/>
          <w:bCs w:val="1"/>
          <w:color w:val="auto"/>
        </w:rPr>
        <w:t xml:space="preserve">Prima AFP </w:t>
      </w:r>
      <w:r>
        <w:rPr>
          <w:rFonts w:ascii="Arial" w:cs="Arial" w:eastAsia="Arial" w:hAnsi="Arial"/>
          <w:sz w:val="16"/>
          <w:szCs w:val="16"/>
          <w:color w:val="auto"/>
        </w:rPr>
        <w:t>relaunched its educational web page “Ahorrando a Fondo,” and had reached more than 4 million people by year-end via approximately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485 thousand sessions. </w:t>
      </w:r>
      <w:r>
        <w:rPr>
          <w:rFonts w:ascii="Arial" w:cs="Arial" w:eastAsia="Arial" w:hAnsi="Arial"/>
          <w:sz w:val="16"/>
          <w:szCs w:val="16"/>
          <w:b w:val="1"/>
          <w:bCs w:val="1"/>
          <w:color w:val="auto"/>
        </w:rPr>
        <w:t>Pacifico</w:t>
      </w:r>
      <w:r>
        <w:rPr>
          <w:rFonts w:ascii="Arial" w:cs="Arial" w:eastAsia="Arial" w:hAnsi="Arial"/>
          <w:sz w:val="16"/>
          <w:szCs w:val="16"/>
          <w:color w:val="auto"/>
        </w:rPr>
        <w:t>, in turn, provided training to public employees from Disaster Risk management and Brigades in the regions of Libertad and Piura, which are at higher risk under El Nino scenarios. The company rolled out communications campaigns and strengthened capacities to manage humanitarian efforts.</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progress made on other initiatives in these and other platforms on the social front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5655" cy="190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655" cy="1904365"/>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51"/>
        </w:trPr>
        <w:tc>
          <w:tcPr>
            <w:tcW w:w="5080" w:type="dxa"/>
            <w:vAlign w:val="bottom"/>
            <w:tcBorders>
              <w:top w:val="single" w:sz="8" w:color="auto"/>
              <w:bottom w:val="single" w:sz="8" w:color="auto"/>
              <w:right w:val="single" w:sz="8" w:color="auto"/>
            </w:tcBorders>
            <w:shd w:val="clear" w:color="auto" w:fill="33CCCC"/>
          </w:tcPr>
          <w:p>
            <w:pPr>
              <w:ind w:left="160"/>
              <w:spacing w:after="0" w:line="151" w:lineRule="exact"/>
              <w:rPr>
                <w:sz w:val="20"/>
                <w:szCs w:val="20"/>
                <w:color w:val="auto"/>
              </w:rPr>
            </w:pPr>
            <w:r>
              <w:rPr>
                <w:rFonts w:ascii="Calibri" w:cs="Calibri" w:eastAsia="Calibri" w:hAnsi="Calibri"/>
                <w:sz w:val="13"/>
                <w:szCs w:val="13"/>
                <w:b w:val="1"/>
                <w:bCs w:val="1"/>
                <w:i w:val="1"/>
                <w:iCs w:val="1"/>
                <w:color w:val="auto"/>
              </w:rPr>
              <w:t>Progress on Initatves</w:t>
            </w:r>
          </w:p>
        </w:tc>
        <w:tc>
          <w:tcPr>
            <w:tcW w:w="1240" w:type="dxa"/>
            <w:vAlign w:val="bottom"/>
            <w:tcBorders>
              <w:top w:val="single" w:sz="8" w:color="auto"/>
              <w:bottom w:val="single" w:sz="8" w:color="auto"/>
              <w:right w:val="single" w:sz="8" w:color="auto"/>
            </w:tcBorders>
            <w:shd w:val="clear" w:color="auto" w:fill="33CCCC"/>
          </w:tcPr>
          <w:p>
            <w:pPr>
              <w:jc w:val="center"/>
              <w:spacing w:after="0" w:line="151" w:lineRule="exact"/>
              <w:rPr>
                <w:sz w:val="20"/>
                <w:szCs w:val="20"/>
                <w:color w:val="auto"/>
              </w:rPr>
            </w:pPr>
            <w:r>
              <w:rPr>
                <w:rFonts w:ascii="Calibri" w:cs="Calibri" w:eastAsia="Calibri" w:hAnsi="Calibri"/>
                <w:sz w:val="13"/>
                <w:szCs w:val="13"/>
                <w:b w:val="1"/>
                <w:bCs w:val="1"/>
                <w:i w:val="1"/>
                <w:iCs w:val="1"/>
                <w:color w:val="auto"/>
                <w:w w:val="98"/>
              </w:rPr>
              <w:t>Company</w:t>
            </w:r>
          </w:p>
        </w:tc>
        <w:tc>
          <w:tcPr>
            <w:tcW w:w="1240" w:type="dxa"/>
            <w:vAlign w:val="bottom"/>
            <w:tcBorders>
              <w:top w:val="single" w:sz="8" w:color="auto"/>
              <w:bottom w:val="single" w:sz="8" w:color="auto"/>
              <w:right w:val="single" w:sz="8" w:color="auto"/>
            </w:tcBorders>
            <w:shd w:val="clear" w:color="auto" w:fill="33CCCC"/>
          </w:tcPr>
          <w:p>
            <w:pPr>
              <w:jc w:val="center"/>
              <w:spacing w:after="0" w:line="151" w:lineRule="exact"/>
              <w:rPr>
                <w:sz w:val="20"/>
                <w:szCs w:val="20"/>
                <w:color w:val="auto"/>
              </w:rPr>
            </w:pPr>
            <w:r>
              <w:rPr>
                <w:rFonts w:ascii="Calibri" w:cs="Calibri" w:eastAsia="Calibri" w:hAnsi="Calibri"/>
                <w:sz w:val="13"/>
                <w:szCs w:val="13"/>
                <w:b w:val="1"/>
                <w:bCs w:val="1"/>
                <w:i w:val="1"/>
                <w:iCs w:val="1"/>
                <w:color w:val="auto"/>
                <w:w w:val="97"/>
              </w:rPr>
              <w:t>1Q23</w:t>
            </w:r>
          </w:p>
        </w:tc>
        <w:tc>
          <w:tcPr>
            <w:tcW w:w="1240" w:type="dxa"/>
            <w:vAlign w:val="bottom"/>
            <w:tcBorders>
              <w:top w:val="single" w:sz="8" w:color="auto"/>
              <w:bottom w:val="single" w:sz="8" w:color="auto"/>
              <w:right w:val="single" w:sz="8" w:color="auto"/>
            </w:tcBorders>
            <w:shd w:val="clear" w:color="auto" w:fill="33CCCC"/>
          </w:tcPr>
          <w:p>
            <w:pPr>
              <w:jc w:val="center"/>
              <w:spacing w:after="0" w:line="151" w:lineRule="exact"/>
              <w:rPr>
                <w:sz w:val="20"/>
                <w:szCs w:val="20"/>
                <w:color w:val="auto"/>
              </w:rPr>
            </w:pPr>
            <w:r>
              <w:rPr>
                <w:rFonts w:ascii="Calibri" w:cs="Calibri" w:eastAsia="Calibri" w:hAnsi="Calibri"/>
                <w:sz w:val="13"/>
                <w:szCs w:val="13"/>
                <w:b w:val="1"/>
                <w:bCs w:val="1"/>
                <w:i w:val="1"/>
                <w:iCs w:val="1"/>
                <w:color w:val="auto"/>
              </w:rPr>
              <w:t>2Q23</w:t>
            </w:r>
          </w:p>
        </w:tc>
        <w:tc>
          <w:tcPr>
            <w:tcW w:w="1220" w:type="dxa"/>
            <w:vAlign w:val="bottom"/>
            <w:tcBorders>
              <w:top w:val="single" w:sz="8" w:color="auto"/>
              <w:bottom w:val="single" w:sz="8" w:color="auto"/>
              <w:right w:val="single" w:sz="8" w:color="auto"/>
            </w:tcBorders>
            <w:shd w:val="clear" w:color="auto" w:fill="33CCCC"/>
          </w:tcPr>
          <w:p>
            <w:pPr>
              <w:jc w:val="center"/>
              <w:spacing w:after="0" w:line="151" w:lineRule="exact"/>
              <w:rPr>
                <w:sz w:val="20"/>
                <w:szCs w:val="20"/>
                <w:color w:val="auto"/>
              </w:rPr>
            </w:pPr>
            <w:r>
              <w:rPr>
                <w:rFonts w:ascii="Calibri" w:cs="Calibri" w:eastAsia="Calibri" w:hAnsi="Calibri"/>
                <w:sz w:val="13"/>
                <w:szCs w:val="13"/>
                <w:b w:val="1"/>
                <w:bCs w:val="1"/>
                <w:i w:val="1"/>
                <w:iCs w:val="1"/>
                <w:color w:val="auto"/>
                <w:w w:val="97"/>
              </w:rPr>
              <w:t>3Q23</w:t>
            </w:r>
          </w:p>
        </w:tc>
        <w:tc>
          <w:tcPr>
            <w:tcW w:w="1240" w:type="dxa"/>
            <w:vAlign w:val="bottom"/>
            <w:tcBorders>
              <w:top w:val="single" w:sz="8" w:color="auto"/>
              <w:bottom w:val="single" w:sz="8" w:color="auto"/>
              <w:right w:val="single" w:sz="8" w:color="auto"/>
            </w:tcBorders>
            <w:shd w:val="clear" w:color="auto" w:fill="33CCCC"/>
          </w:tcPr>
          <w:p>
            <w:pPr>
              <w:jc w:val="center"/>
              <w:spacing w:after="0" w:line="151" w:lineRule="exact"/>
              <w:rPr>
                <w:sz w:val="20"/>
                <w:szCs w:val="20"/>
                <w:color w:val="auto"/>
              </w:rPr>
            </w:pPr>
            <w:r>
              <w:rPr>
                <w:rFonts w:ascii="Calibri" w:cs="Calibri" w:eastAsia="Calibri" w:hAnsi="Calibri"/>
                <w:sz w:val="13"/>
                <w:szCs w:val="13"/>
                <w:b w:val="1"/>
                <w:bCs w:val="1"/>
                <w:i w:val="1"/>
                <w:iCs w:val="1"/>
                <w:color w:val="auto"/>
              </w:rPr>
              <w:t>4Q23</w:t>
            </w:r>
          </w:p>
        </w:tc>
      </w:tr>
      <w:tr>
        <w:trPr>
          <w:trHeight w:val="149"/>
        </w:trPr>
        <w:tc>
          <w:tcPr>
            <w:tcW w:w="5080" w:type="dxa"/>
            <w:vAlign w:val="bottom"/>
            <w:tcBorders>
              <w:bottom w:val="single" w:sz="8" w:color="auto"/>
            </w:tcBorders>
          </w:tcPr>
          <w:p>
            <w:pPr>
              <w:ind w:left="160"/>
              <w:spacing w:after="0" w:line="149" w:lineRule="exact"/>
              <w:rPr>
                <w:sz w:val="20"/>
                <w:szCs w:val="20"/>
                <w:color w:val="auto"/>
              </w:rPr>
            </w:pPr>
            <w:r>
              <w:rPr>
                <w:rFonts w:ascii="Calibri" w:cs="Calibri" w:eastAsia="Calibri" w:hAnsi="Calibri"/>
                <w:sz w:val="13"/>
                <w:szCs w:val="13"/>
                <w:b w:val="1"/>
                <w:bCs w:val="1"/>
                <w:color w:val="auto"/>
              </w:rPr>
              <w:t>Financial Inclusion</w:t>
            </w:r>
          </w:p>
        </w:tc>
        <w:tc>
          <w:tcPr>
            <w:tcW w:w="1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38"/>
        </w:trPr>
        <w:tc>
          <w:tcPr>
            <w:tcW w:w="5080" w:type="dxa"/>
            <w:vAlign w:val="bottom"/>
            <w:tcBorders>
              <w:right w:val="single" w:sz="8" w:color="auto"/>
            </w:tcBorders>
          </w:tcPr>
          <w:p>
            <w:pPr>
              <w:ind w:left="160"/>
              <w:spacing w:after="0" w:line="139" w:lineRule="exact"/>
              <w:rPr>
                <w:sz w:val="20"/>
                <w:szCs w:val="20"/>
                <w:color w:val="auto"/>
              </w:rPr>
            </w:pPr>
            <w:r>
              <w:rPr>
                <w:rFonts w:ascii="Calibri" w:cs="Calibri" w:eastAsia="Calibri" w:hAnsi="Calibri"/>
                <w:sz w:val="10"/>
                <w:szCs w:val="10"/>
                <w:color w:val="auto"/>
              </w:rPr>
              <w:t>Financially included through BCP</w:t>
            </w:r>
            <w:r>
              <w:rPr>
                <w:rFonts w:ascii="Calibri" w:cs="Calibri" w:eastAsia="Calibri" w:hAnsi="Calibri"/>
                <w:sz w:val="15"/>
                <w:szCs w:val="15"/>
                <w:color w:val="auto"/>
                <w:vertAlign w:val="superscript"/>
              </w:rPr>
              <w:t>(1)</w:t>
            </w:r>
            <w:r>
              <w:rPr>
                <w:rFonts w:ascii="Calibri" w:cs="Calibri" w:eastAsia="Calibri" w:hAnsi="Calibri"/>
                <w:sz w:val="10"/>
                <w:szCs w:val="10"/>
                <w:color w:val="auto"/>
              </w:rPr>
              <w:t> – cumulatve since 2020</w:t>
            </w:r>
          </w:p>
        </w:tc>
        <w:tc>
          <w:tcPr>
            <w:tcW w:w="124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w w:val="96"/>
              </w:rPr>
              <w:t>BCP</w:t>
            </w:r>
          </w:p>
        </w:tc>
        <w:tc>
          <w:tcPr>
            <w:tcW w:w="124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rPr>
              <w:t>2.6 million</w:t>
            </w:r>
          </w:p>
        </w:tc>
        <w:tc>
          <w:tcPr>
            <w:tcW w:w="124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rPr>
              <w:t>3.1 million</w:t>
            </w:r>
          </w:p>
        </w:tc>
        <w:tc>
          <w:tcPr>
            <w:tcW w:w="122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rPr>
              <w:t>3.6 million</w:t>
            </w:r>
          </w:p>
        </w:tc>
        <w:tc>
          <w:tcPr>
            <w:tcW w:w="124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w w:val="97"/>
              </w:rPr>
              <w:t>4.1 million</w:t>
            </w:r>
          </w:p>
        </w:tc>
      </w:tr>
      <w:tr>
        <w:trPr>
          <w:trHeight w:val="164"/>
        </w:trPr>
        <w:tc>
          <w:tcPr>
            <w:tcW w:w="5080" w:type="dxa"/>
            <w:vAlign w:val="bottom"/>
            <w:tcBorders>
              <w:bottom w:val="single" w:sz="8" w:color="auto"/>
              <w:right w:val="single" w:sz="8" w:color="auto"/>
            </w:tcBorders>
          </w:tcPr>
          <w:p>
            <w:pPr>
              <w:ind w:left="160"/>
              <w:spacing w:after="0" w:line="156" w:lineRule="exact"/>
              <w:rPr>
                <w:sz w:val="20"/>
                <w:szCs w:val="20"/>
                <w:color w:val="auto"/>
              </w:rPr>
            </w:pPr>
            <w:r>
              <w:rPr>
                <w:rFonts w:ascii="Calibri" w:cs="Calibri" w:eastAsia="Calibri" w:hAnsi="Calibri"/>
                <w:sz w:val="13"/>
                <w:szCs w:val="13"/>
                <w:color w:val="auto"/>
              </w:rPr>
              <w:t>Stock of inclusive insurance policies – YTD</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Pacífco Seguros</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2.8 million</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w w:val="97"/>
              </w:rPr>
              <w:t>2.9 million</w:t>
            </w:r>
          </w:p>
        </w:tc>
        <w:tc>
          <w:tcPr>
            <w:tcW w:w="1220" w:type="dxa"/>
            <w:vAlign w:val="bottom"/>
            <w:tcBorders>
              <w:bottom w:val="single" w:sz="8" w:color="auto"/>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3.1 million</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w w:val="97"/>
              </w:rPr>
              <w:t>3.2 million</w:t>
            </w:r>
          </w:p>
        </w:tc>
      </w:tr>
      <w:tr>
        <w:trPr>
          <w:trHeight w:val="157"/>
        </w:trPr>
        <w:tc>
          <w:tcPr>
            <w:tcW w:w="5080" w:type="dxa"/>
            <w:vAlign w:val="bottom"/>
            <w:tcBorders>
              <w:bottom w:val="single" w:sz="8" w:color="auto"/>
            </w:tcBorders>
          </w:tcPr>
          <w:p>
            <w:pPr>
              <w:ind w:left="160"/>
              <w:spacing w:after="0" w:line="156" w:lineRule="exact"/>
              <w:rPr>
                <w:sz w:val="20"/>
                <w:szCs w:val="20"/>
                <w:color w:val="auto"/>
              </w:rPr>
            </w:pPr>
            <w:r>
              <w:rPr>
                <w:rFonts w:ascii="Calibri" w:cs="Calibri" w:eastAsia="Calibri" w:hAnsi="Calibri"/>
                <w:sz w:val="13"/>
                <w:szCs w:val="13"/>
                <w:b w:val="1"/>
                <w:bCs w:val="1"/>
                <w:color w:val="auto"/>
              </w:rPr>
              <w:t>Financial Educaton</w:t>
            </w:r>
          </w:p>
        </w:tc>
        <w:tc>
          <w:tcPr>
            <w:tcW w:w="1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38"/>
        </w:trPr>
        <w:tc>
          <w:tcPr>
            <w:tcW w:w="5080" w:type="dxa"/>
            <w:vAlign w:val="bottom"/>
            <w:tcBorders>
              <w:right w:val="single" w:sz="8" w:color="auto"/>
            </w:tcBorders>
          </w:tcPr>
          <w:p>
            <w:pPr>
              <w:ind w:left="160"/>
              <w:spacing w:after="0" w:line="139" w:lineRule="exact"/>
              <w:rPr>
                <w:sz w:val="20"/>
                <w:szCs w:val="20"/>
                <w:color w:val="auto"/>
              </w:rPr>
            </w:pPr>
            <w:r>
              <w:rPr>
                <w:rFonts w:ascii="Calibri" w:cs="Calibri" w:eastAsia="Calibri" w:hAnsi="Calibri"/>
                <w:sz w:val="13"/>
                <w:szCs w:val="13"/>
                <w:color w:val="auto"/>
              </w:rPr>
              <w:t>Trained through online courses via ABC at BCP (ABC del BCP) – YTD 2023</w:t>
            </w:r>
          </w:p>
        </w:tc>
        <w:tc>
          <w:tcPr>
            <w:tcW w:w="124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w w:val="96"/>
              </w:rPr>
              <w:t>BCP</w:t>
            </w:r>
          </w:p>
        </w:tc>
        <w:tc>
          <w:tcPr>
            <w:tcW w:w="124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w w:val="98"/>
              </w:rPr>
              <w:t>117.5 thousand </w:t>
            </w:r>
          </w:p>
        </w:tc>
        <w:tc>
          <w:tcPr>
            <w:tcW w:w="124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w w:val="98"/>
              </w:rPr>
              <w:t>230.3 thousand </w:t>
            </w:r>
          </w:p>
        </w:tc>
        <w:tc>
          <w:tcPr>
            <w:tcW w:w="1220" w:type="dxa"/>
            <w:vAlign w:val="bottom"/>
            <w:tcBorders>
              <w:right w:val="single" w:sz="8" w:color="auto"/>
            </w:tcBorders>
          </w:tcPr>
          <w:p>
            <w:pPr>
              <w:ind w:left="160"/>
              <w:spacing w:after="0" w:line="139" w:lineRule="exact"/>
              <w:rPr>
                <w:sz w:val="20"/>
                <w:szCs w:val="20"/>
                <w:color w:val="auto"/>
              </w:rPr>
            </w:pPr>
            <w:r>
              <w:rPr>
                <w:rFonts w:ascii="Calibri" w:cs="Calibri" w:eastAsia="Calibri" w:hAnsi="Calibri"/>
                <w:sz w:val="13"/>
                <w:szCs w:val="13"/>
                <w:color w:val="auto"/>
              </w:rPr>
              <w:t>397.9 thousand</w:t>
            </w:r>
          </w:p>
        </w:tc>
        <w:tc>
          <w:tcPr>
            <w:tcW w:w="1240" w:type="dxa"/>
            <w:vAlign w:val="bottom"/>
            <w:tcBorders>
              <w:right w:val="single" w:sz="8" w:color="auto"/>
            </w:tcBorders>
          </w:tcPr>
          <w:p>
            <w:pPr>
              <w:jc w:val="center"/>
              <w:spacing w:after="0" w:line="139" w:lineRule="exact"/>
              <w:rPr>
                <w:sz w:val="20"/>
                <w:szCs w:val="20"/>
                <w:color w:val="auto"/>
              </w:rPr>
            </w:pPr>
            <w:r>
              <w:rPr>
                <w:rFonts w:ascii="Calibri" w:cs="Calibri" w:eastAsia="Calibri" w:hAnsi="Calibri"/>
                <w:sz w:val="13"/>
                <w:szCs w:val="13"/>
                <w:color w:val="auto"/>
                <w:w w:val="99"/>
              </w:rPr>
              <w:t>614.1 thousand</w:t>
            </w:r>
          </w:p>
        </w:tc>
      </w:tr>
      <w:tr>
        <w:trPr>
          <w:trHeight w:val="155"/>
        </w:trPr>
        <w:tc>
          <w:tcPr>
            <w:tcW w:w="5080" w:type="dxa"/>
            <w:vAlign w:val="bottom"/>
            <w:tcBorders>
              <w:right w:val="single" w:sz="8" w:color="auto"/>
            </w:tcBorders>
          </w:tcPr>
          <w:p>
            <w:pPr>
              <w:ind w:left="160"/>
              <w:spacing w:after="0" w:line="156" w:lineRule="exact"/>
              <w:rPr>
                <w:sz w:val="20"/>
                <w:szCs w:val="20"/>
                <w:color w:val="auto"/>
              </w:rPr>
            </w:pPr>
            <w:r>
              <w:rPr>
                <w:rFonts w:ascii="Calibri" w:cs="Calibri" w:eastAsia="Calibri" w:hAnsi="Calibri"/>
                <w:sz w:val="13"/>
                <w:szCs w:val="13"/>
                <w:color w:val="auto"/>
              </w:rPr>
              <w:t>Individuals trained in risk preventon via Safe Community (Comunidad Segura) – YTD 2023</w:t>
            </w:r>
          </w:p>
        </w:tc>
        <w:tc>
          <w:tcPr>
            <w:tcW w:w="124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Pacífco Seguros</w:t>
            </w:r>
          </w:p>
        </w:tc>
        <w:tc>
          <w:tcPr>
            <w:tcW w:w="124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0.3 thousand</w:t>
            </w:r>
          </w:p>
        </w:tc>
        <w:tc>
          <w:tcPr>
            <w:tcW w:w="124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24.6 thousand </w:t>
            </w:r>
          </w:p>
        </w:tc>
        <w:tc>
          <w:tcPr>
            <w:tcW w:w="122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33.2 thousand</w:t>
            </w:r>
          </w:p>
        </w:tc>
        <w:tc>
          <w:tcPr>
            <w:tcW w:w="124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38.4 thousand</w:t>
            </w:r>
          </w:p>
        </w:tc>
      </w:tr>
      <w:tr>
        <w:trPr>
          <w:trHeight w:val="158"/>
        </w:trPr>
        <w:tc>
          <w:tcPr>
            <w:tcW w:w="5080" w:type="dxa"/>
            <w:vAlign w:val="bottom"/>
            <w:tcBorders>
              <w:right w:val="single" w:sz="8" w:color="auto"/>
            </w:tcBorders>
          </w:tcPr>
          <w:p>
            <w:pPr>
              <w:ind w:left="160"/>
              <w:spacing w:after="0"/>
              <w:rPr>
                <w:sz w:val="20"/>
                <w:szCs w:val="20"/>
                <w:color w:val="auto"/>
              </w:rPr>
            </w:pPr>
            <w:r>
              <w:rPr>
                <w:rFonts w:ascii="Calibri" w:cs="Calibri" w:eastAsia="Calibri" w:hAnsi="Calibri"/>
                <w:sz w:val="13"/>
                <w:szCs w:val="13"/>
                <w:color w:val="auto"/>
              </w:rPr>
              <w:t>Young people trained through the ABC of the Pension Culture (ABC de la Cultura Previsional)</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9"/>
              </w:rPr>
              <w:t>Prima AFP</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9"/>
              </w:rPr>
              <w:t>5.6 thousand </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24.6 thousand </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59.9 thousand</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9"/>
              </w:rPr>
              <w:t>138.0 thousand</w:t>
            </w:r>
          </w:p>
        </w:tc>
      </w:tr>
      <w:tr>
        <w:trPr>
          <w:trHeight w:val="158"/>
        </w:trPr>
        <w:tc>
          <w:tcPr>
            <w:tcW w:w="5080" w:type="dxa"/>
            <w:vAlign w:val="bottom"/>
            <w:tcBorders>
              <w:right w:val="single" w:sz="8" w:color="auto"/>
            </w:tcBorders>
          </w:tcPr>
          <w:p>
            <w:pPr>
              <w:ind w:left="300"/>
              <w:spacing w:after="0"/>
              <w:rPr>
                <w:sz w:val="20"/>
                <w:szCs w:val="20"/>
                <w:color w:val="auto"/>
              </w:rPr>
            </w:pPr>
            <w:r>
              <w:rPr>
                <w:rFonts w:ascii="Calibri" w:cs="Calibri" w:eastAsia="Calibri" w:hAnsi="Calibri"/>
                <w:sz w:val="13"/>
                <w:szCs w:val="13"/>
                <w:color w:val="auto"/>
              </w:rPr>
              <w:t>– YTD 2023</w:t>
            </w:r>
          </w:p>
        </w:tc>
        <w:tc>
          <w:tcPr>
            <w:tcW w:w="12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158"/>
        </w:trPr>
        <w:tc>
          <w:tcPr>
            <w:tcW w:w="5080" w:type="dxa"/>
            <w:vAlign w:val="bottom"/>
            <w:tcBorders>
              <w:right w:val="single" w:sz="8" w:color="auto"/>
            </w:tcBorders>
          </w:tcPr>
          <w:p>
            <w:pPr>
              <w:ind w:left="160"/>
              <w:spacing w:after="0"/>
              <w:rPr>
                <w:sz w:val="20"/>
                <w:szCs w:val="20"/>
                <w:color w:val="auto"/>
              </w:rPr>
            </w:pPr>
            <w:r>
              <w:rPr>
                <w:rFonts w:ascii="Calibri" w:cs="Calibri" w:eastAsia="Calibri" w:hAnsi="Calibri"/>
                <w:sz w:val="13"/>
                <w:szCs w:val="13"/>
                <w:color w:val="auto"/>
              </w:rPr>
              <w:t>Clients trained through the Basic Program for Digital Guidance (Programa Básico de Asesoría</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Mibanco Perú</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108.0 thousand </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184.0 thousand </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9"/>
              </w:rPr>
              <w:t>227.0 thousand</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9"/>
              </w:rPr>
              <w:t>272.0 thousand</w:t>
            </w:r>
          </w:p>
        </w:tc>
      </w:tr>
      <w:tr>
        <w:trPr>
          <w:trHeight w:val="167"/>
        </w:trPr>
        <w:tc>
          <w:tcPr>
            <w:tcW w:w="5080" w:type="dxa"/>
            <w:vAlign w:val="bottom"/>
            <w:tcBorders>
              <w:bottom w:val="single" w:sz="8" w:color="auto"/>
              <w:right w:val="single" w:sz="8" w:color="auto"/>
            </w:tcBorders>
          </w:tcPr>
          <w:p>
            <w:pPr>
              <w:ind w:left="300"/>
              <w:spacing w:after="0"/>
              <w:rPr>
                <w:sz w:val="20"/>
                <w:szCs w:val="20"/>
                <w:color w:val="auto"/>
              </w:rPr>
            </w:pPr>
            <w:r>
              <w:rPr>
                <w:rFonts w:ascii="Calibri" w:cs="Calibri" w:eastAsia="Calibri" w:hAnsi="Calibri"/>
                <w:sz w:val="13"/>
                <w:szCs w:val="13"/>
                <w:color w:val="auto"/>
              </w:rPr>
              <w:t>Digital) – YTD 2023</w:t>
            </w:r>
          </w:p>
        </w:tc>
        <w:tc>
          <w:tcPr>
            <w:tcW w:w="124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157"/>
        </w:trPr>
        <w:tc>
          <w:tcPr>
            <w:tcW w:w="5080" w:type="dxa"/>
            <w:vAlign w:val="bottom"/>
            <w:tcBorders>
              <w:bottom w:val="single" w:sz="8" w:color="auto"/>
            </w:tcBorders>
          </w:tcPr>
          <w:p>
            <w:pPr>
              <w:ind w:left="160"/>
              <w:spacing w:after="0" w:line="156" w:lineRule="exact"/>
              <w:rPr>
                <w:sz w:val="20"/>
                <w:szCs w:val="20"/>
                <w:color w:val="auto"/>
              </w:rPr>
            </w:pPr>
            <w:r>
              <w:rPr>
                <w:rFonts w:ascii="Calibri" w:cs="Calibri" w:eastAsia="Calibri" w:hAnsi="Calibri"/>
                <w:sz w:val="13"/>
                <w:szCs w:val="13"/>
                <w:b w:val="1"/>
                <w:bCs w:val="1"/>
                <w:color w:val="auto"/>
              </w:rPr>
              <w:t>Opportunites and Products for Women</w:t>
            </w:r>
          </w:p>
        </w:tc>
        <w:tc>
          <w:tcPr>
            <w:tcW w:w="1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2"/>
        </w:trPr>
        <w:tc>
          <w:tcPr>
            <w:tcW w:w="5080" w:type="dxa"/>
            <w:vAlign w:val="bottom"/>
            <w:tcBorders>
              <w:bottom w:val="single" w:sz="8" w:color="auto"/>
              <w:right w:val="single" w:sz="8" w:color="auto"/>
            </w:tcBorders>
          </w:tcPr>
          <w:p>
            <w:pPr>
              <w:ind w:left="160"/>
              <w:spacing w:after="0" w:line="153" w:lineRule="exact"/>
              <w:rPr>
                <w:sz w:val="20"/>
                <w:szCs w:val="20"/>
                <w:color w:val="auto"/>
              </w:rPr>
            </w:pPr>
            <w:r>
              <w:rPr>
                <w:rFonts w:ascii="Calibri" w:cs="Calibri" w:eastAsia="Calibri" w:hAnsi="Calibri"/>
                <w:sz w:val="10"/>
                <w:szCs w:val="10"/>
                <w:color w:val="auto"/>
              </w:rPr>
              <w:t xml:space="preserve">Number of disbursements through Loans for Women </w:t>
            </w:r>
            <w:r>
              <w:rPr>
                <w:rFonts w:ascii="Calibri" w:cs="Calibri" w:eastAsia="Calibri" w:hAnsi="Calibri"/>
                <w:sz w:val="16"/>
                <w:szCs w:val="16"/>
                <w:color w:val="auto"/>
                <w:vertAlign w:val="superscript"/>
              </w:rPr>
              <w:t>(2)</w:t>
            </w:r>
          </w:p>
        </w:tc>
        <w:tc>
          <w:tcPr>
            <w:tcW w:w="1240" w:type="dxa"/>
            <w:vAlign w:val="bottom"/>
            <w:tcBorders>
              <w:bottom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Mibanco Perú</w:t>
            </w:r>
          </w:p>
        </w:tc>
        <w:tc>
          <w:tcPr>
            <w:tcW w:w="1240" w:type="dxa"/>
            <w:vAlign w:val="bottom"/>
            <w:tcBorders>
              <w:bottom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12.9 thousand</w:t>
            </w:r>
          </w:p>
        </w:tc>
        <w:tc>
          <w:tcPr>
            <w:tcW w:w="1240" w:type="dxa"/>
            <w:vAlign w:val="bottom"/>
            <w:tcBorders>
              <w:bottom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17.0 thousand</w:t>
            </w:r>
          </w:p>
        </w:tc>
        <w:tc>
          <w:tcPr>
            <w:tcW w:w="1220" w:type="dxa"/>
            <w:vAlign w:val="bottom"/>
            <w:tcBorders>
              <w:bottom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17.0 thousand</w:t>
            </w:r>
          </w:p>
        </w:tc>
        <w:tc>
          <w:tcPr>
            <w:tcW w:w="1240" w:type="dxa"/>
            <w:vAlign w:val="bottom"/>
            <w:tcBorders>
              <w:bottom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12.0 thousand</w:t>
            </w:r>
          </w:p>
        </w:tc>
      </w:tr>
      <w:tr>
        <w:trPr>
          <w:trHeight w:val="149"/>
        </w:trPr>
        <w:tc>
          <w:tcPr>
            <w:tcW w:w="5080" w:type="dxa"/>
            <w:vAlign w:val="bottom"/>
            <w:tcBorders>
              <w:bottom w:val="single" w:sz="8" w:color="auto"/>
            </w:tcBorders>
          </w:tcPr>
          <w:p>
            <w:pPr>
              <w:ind w:left="160"/>
              <w:spacing w:after="0" w:line="149" w:lineRule="exact"/>
              <w:rPr>
                <w:sz w:val="20"/>
                <w:szCs w:val="20"/>
                <w:color w:val="auto"/>
              </w:rPr>
            </w:pPr>
            <w:r>
              <w:rPr>
                <w:rFonts w:ascii="Calibri" w:cs="Calibri" w:eastAsia="Calibri" w:hAnsi="Calibri"/>
                <w:sz w:val="13"/>
                <w:szCs w:val="13"/>
                <w:b w:val="1"/>
                <w:bCs w:val="1"/>
                <w:color w:val="auto"/>
              </w:rPr>
              <w:t>Helping small businesses grow</w:t>
            </w:r>
          </w:p>
        </w:tc>
        <w:tc>
          <w:tcPr>
            <w:tcW w:w="1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51"/>
        </w:trPr>
        <w:tc>
          <w:tcPr>
            <w:tcW w:w="5080" w:type="dxa"/>
            <w:vAlign w:val="bottom"/>
            <w:tcBorders>
              <w:bottom w:val="single" w:sz="8" w:color="auto"/>
            </w:tcBorders>
          </w:tcPr>
          <w:p>
            <w:pPr>
              <w:ind w:left="160"/>
              <w:spacing w:after="0" w:line="151" w:lineRule="exact"/>
              <w:rPr>
                <w:sz w:val="20"/>
                <w:szCs w:val="20"/>
                <w:color w:val="auto"/>
              </w:rPr>
            </w:pPr>
            <w:r>
              <w:rPr>
                <w:rFonts w:ascii="Calibri" w:cs="Calibri" w:eastAsia="Calibri" w:hAnsi="Calibri"/>
                <w:sz w:val="13"/>
                <w:szCs w:val="13"/>
                <w:color w:val="auto"/>
              </w:rPr>
              <w:t>Trained via Accompanying Entrepreneurs (Contgo Emprendedor) – YTD 2023</w:t>
            </w:r>
          </w:p>
        </w:tc>
        <w:tc>
          <w:tcPr>
            <w:tcW w:w="1240" w:type="dxa"/>
            <w:vAlign w:val="bottom"/>
            <w:tcBorders>
              <w:bottom w:val="single" w:sz="8" w:color="auto"/>
            </w:tcBorders>
          </w:tcPr>
          <w:p>
            <w:pPr>
              <w:jc w:val="center"/>
              <w:spacing w:after="0" w:line="151" w:lineRule="exact"/>
              <w:rPr>
                <w:sz w:val="20"/>
                <w:szCs w:val="20"/>
                <w:color w:val="auto"/>
              </w:rPr>
            </w:pPr>
            <w:r>
              <w:rPr>
                <w:rFonts w:ascii="Calibri" w:cs="Calibri" w:eastAsia="Calibri" w:hAnsi="Calibri"/>
                <w:sz w:val="13"/>
                <w:szCs w:val="13"/>
                <w:color w:val="auto"/>
                <w:w w:val="96"/>
              </w:rPr>
              <w:t>BCP</w:t>
            </w:r>
          </w:p>
        </w:tc>
        <w:tc>
          <w:tcPr>
            <w:tcW w:w="1240" w:type="dxa"/>
            <w:vAlign w:val="bottom"/>
            <w:tcBorders>
              <w:bottom w:val="single" w:sz="8" w:color="auto"/>
            </w:tcBorders>
          </w:tcPr>
          <w:p>
            <w:pPr>
              <w:jc w:val="center"/>
              <w:spacing w:after="0" w:line="151" w:lineRule="exact"/>
              <w:rPr>
                <w:sz w:val="20"/>
                <w:szCs w:val="20"/>
                <w:color w:val="auto"/>
              </w:rPr>
            </w:pPr>
            <w:r>
              <w:rPr>
                <w:rFonts w:ascii="Calibri" w:cs="Calibri" w:eastAsia="Calibri" w:hAnsi="Calibri"/>
                <w:sz w:val="13"/>
                <w:szCs w:val="13"/>
                <w:color w:val="auto"/>
              </w:rPr>
              <w:t>13.1 thousand</w:t>
            </w:r>
          </w:p>
        </w:tc>
        <w:tc>
          <w:tcPr>
            <w:tcW w:w="1240" w:type="dxa"/>
            <w:vAlign w:val="bottom"/>
            <w:tcBorders>
              <w:bottom w:val="single" w:sz="8" w:color="auto"/>
            </w:tcBorders>
          </w:tcPr>
          <w:p>
            <w:pPr>
              <w:jc w:val="center"/>
              <w:spacing w:after="0" w:line="151" w:lineRule="exact"/>
              <w:rPr>
                <w:sz w:val="20"/>
                <w:szCs w:val="20"/>
                <w:color w:val="auto"/>
              </w:rPr>
            </w:pPr>
            <w:r>
              <w:rPr>
                <w:rFonts w:ascii="Calibri" w:cs="Calibri" w:eastAsia="Calibri" w:hAnsi="Calibri"/>
                <w:sz w:val="13"/>
                <w:szCs w:val="13"/>
                <w:color w:val="auto"/>
              </w:rPr>
              <w:t>44 thousand</w:t>
            </w:r>
          </w:p>
        </w:tc>
        <w:tc>
          <w:tcPr>
            <w:tcW w:w="1220" w:type="dxa"/>
            <w:vAlign w:val="bottom"/>
            <w:tcBorders>
              <w:bottom w:val="single" w:sz="8" w:color="auto"/>
            </w:tcBorders>
          </w:tcPr>
          <w:p>
            <w:pPr>
              <w:jc w:val="center"/>
              <w:spacing w:after="0" w:line="151" w:lineRule="exact"/>
              <w:rPr>
                <w:sz w:val="20"/>
                <w:szCs w:val="20"/>
                <w:color w:val="auto"/>
              </w:rPr>
            </w:pPr>
            <w:r>
              <w:rPr>
                <w:rFonts w:ascii="Calibri" w:cs="Calibri" w:eastAsia="Calibri" w:hAnsi="Calibri"/>
                <w:sz w:val="13"/>
                <w:szCs w:val="13"/>
                <w:color w:val="auto"/>
              </w:rPr>
              <w:t>80.7 thousand</w:t>
            </w:r>
          </w:p>
        </w:tc>
        <w:tc>
          <w:tcPr>
            <w:tcW w:w="1240" w:type="dxa"/>
            <w:vAlign w:val="bottom"/>
            <w:tcBorders>
              <w:bottom w:val="single" w:sz="8" w:color="auto"/>
            </w:tcBorders>
          </w:tcPr>
          <w:p>
            <w:pPr>
              <w:jc w:val="center"/>
              <w:spacing w:after="0" w:line="151" w:lineRule="exact"/>
              <w:rPr>
                <w:sz w:val="20"/>
                <w:szCs w:val="20"/>
                <w:color w:val="auto"/>
              </w:rPr>
            </w:pPr>
            <w:r>
              <w:rPr>
                <w:rFonts w:ascii="Calibri" w:cs="Calibri" w:eastAsia="Calibri" w:hAnsi="Calibri"/>
                <w:sz w:val="13"/>
                <w:szCs w:val="13"/>
                <w:color w:val="auto"/>
                <w:w w:val="99"/>
              </w:rPr>
              <w:t>121.0 thousand</w:t>
            </w:r>
          </w:p>
        </w:tc>
      </w:tr>
      <w:tr>
        <w:trPr>
          <w:trHeight w:val="138"/>
        </w:trPr>
        <w:tc>
          <w:tcPr>
            <w:tcW w:w="5080" w:type="dxa"/>
            <w:vAlign w:val="bottom"/>
          </w:tcPr>
          <w:p>
            <w:pPr>
              <w:ind w:left="160"/>
              <w:spacing w:after="0" w:line="139" w:lineRule="exact"/>
              <w:rPr>
                <w:sz w:val="20"/>
                <w:szCs w:val="20"/>
                <w:color w:val="auto"/>
              </w:rPr>
            </w:pPr>
            <w:r>
              <w:rPr>
                <w:rFonts w:ascii="Calibri" w:cs="Calibri" w:eastAsia="Calibri" w:hAnsi="Calibri"/>
                <w:sz w:val="13"/>
                <w:szCs w:val="13"/>
                <w:color w:val="auto"/>
              </w:rPr>
              <w:t>SME-Pymes fnancially included through loans (working capital and invoice discountng) –</w:t>
            </w:r>
          </w:p>
        </w:tc>
        <w:tc>
          <w:tcPr>
            <w:tcW w:w="1240" w:type="dxa"/>
            <w:vAlign w:val="bottom"/>
          </w:tcPr>
          <w:p>
            <w:pPr>
              <w:jc w:val="center"/>
              <w:spacing w:after="0" w:line="139" w:lineRule="exact"/>
              <w:rPr>
                <w:sz w:val="20"/>
                <w:szCs w:val="20"/>
                <w:color w:val="auto"/>
              </w:rPr>
            </w:pPr>
            <w:r>
              <w:rPr>
                <w:rFonts w:ascii="Calibri" w:cs="Calibri" w:eastAsia="Calibri" w:hAnsi="Calibri"/>
                <w:sz w:val="13"/>
                <w:szCs w:val="13"/>
                <w:color w:val="auto"/>
                <w:w w:val="96"/>
              </w:rPr>
              <w:t>BCP</w:t>
            </w:r>
          </w:p>
        </w:tc>
        <w:tc>
          <w:tcPr>
            <w:tcW w:w="1240" w:type="dxa"/>
            <w:vAlign w:val="bottom"/>
          </w:tcPr>
          <w:p>
            <w:pPr>
              <w:jc w:val="center"/>
              <w:spacing w:after="0" w:line="139" w:lineRule="exact"/>
              <w:rPr>
                <w:sz w:val="20"/>
                <w:szCs w:val="20"/>
                <w:color w:val="auto"/>
              </w:rPr>
            </w:pPr>
            <w:r>
              <w:rPr>
                <w:rFonts w:ascii="Calibri" w:cs="Calibri" w:eastAsia="Calibri" w:hAnsi="Calibri"/>
                <w:sz w:val="13"/>
                <w:szCs w:val="13"/>
                <w:color w:val="auto"/>
                <w:w w:val="99"/>
              </w:rPr>
              <w:t>7.7 thousand </w:t>
            </w:r>
          </w:p>
        </w:tc>
        <w:tc>
          <w:tcPr>
            <w:tcW w:w="1240" w:type="dxa"/>
            <w:vAlign w:val="bottom"/>
          </w:tcPr>
          <w:p>
            <w:pPr>
              <w:ind w:left="200"/>
              <w:spacing w:after="0" w:line="139" w:lineRule="exact"/>
              <w:rPr>
                <w:sz w:val="20"/>
                <w:szCs w:val="20"/>
                <w:color w:val="auto"/>
              </w:rPr>
            </w:pPr>
            <w:r>
              <w:rPr>
                <w:rFonts w:ascii="Calibri" w:cs="Calibri" w:eastAsia="Calibri" w:hAnsi="Calibri"/>
                <w:sz w:val="13"/>
                <w:szCs w:val="13"/>
                <w:color w:val="auto"/>
              </w:rPr>
              <w:t>14.5 thousand</w:t>
            </w:r>
          </w:p>
        </w:tc>
        <w:tc>
          <w:tcPr>
            <w:tcW w:w="1220" w:type="dxa"/>
            <w:vAlign w:val="bottom"/>
          </w:tcPr>
          <w:p>
            <w:pPr>
              <w:jc w:val="center"/>
              <w:spacing w:after="0" w:line="139" w:lineRule="exact"/>
              <w:rPr>
                <w:sz w:val="20"/>
                <w:szCs w:val="20"/>
                <w:color w:val="auto"/>
              </w:rPr>
            </w:pPr>
            <w:r>
              <w:rPr>
                <w:rFonts w:ascii="Calibri" w:cs="Calibri" w:eastAsia="Calibri" w:hAnsi="Calibri"/>
                <w:sz w:val="13"/>
                <w:szCs w:val="13"/>
                <w:color w:val="auto"/>
              </w:rPr>
              <w:t>23.6 thousand  </w:t>
            </w:r>
          </w:p>
        </w:tc>
        <w:tc>
          <w:tcPr>
            <w:tcW w:w="1240" w:type="dxa"/>
            <w:vAlign w:val="bottom"/>
          </w:tcPr>
          <w:p>
            <w:pPr>
              <w:jc w:val="center"/>
              <w:spacing w:after="0" w:line="139" w:lineRule="exact"/>
              <w:rPr>
                <w:sz w:val="20"/>
                <w:szCs w:val="20"/>
                <w:color w:val="auto"/>
              </w:rPr>
            </w:pPr>
            <w:r>
              <w:rPr>
                <w:rFonts w:ascii="Calibri" w:cs="Calibri" w:eastAsia="Calibri" w:hAnsi="Calibri"/>
                <w:sz w:val="10"/>
                <w:szCs w:val="10"/>
                <w:color w:val="auto"/>
              </w:rPr>
              <w:t>34.5 thousand</w:t>
            </w:r>
            <w:r>
              <w:rPr>
                <w:rFonts w:ascii="Calibri" w:cs="Calibri" w:eastAsia="Calibri" w:hAnsi="Calibri"/>
                <w:sz w:val="15"/>
                <w:szCs w:val="15"/>
                <w:color w:val="auto"/>
                <w:vertAlign w:val="superscript"/>
              </w:rPr>
              <w:t>(3)</w:t>
            </w:r>
          </w:p>
        </w:tc>
      </w:tr>
      <w:tr>
        <w:trPr>
          <w:trHeight w:val="164"/>
        </w:trPr>
        <w:tc>
          <w:tcPr>
            <w:tcW w:w="5080" w:type="dxa"/>
            <w:vAlign w:val="bottom"/>
            <w:tcBorders>
              <w:bottom w:val="single" w:sz="8" w:color="auto"/>
            </w:tcBorders>
          </w:tcPr>
          <w:p>
            <w:pPr>
              <w:ind w:left="300"/>
              <w:spacing w:after="0" w:line="156" w:lineRule="exact"/>
              <w:rPr>
                <w:sz w:val="20"/>
                <w:szCs w:val="20"/>
                <w:color w:val="auto"/>
              </w:rPr>
            </w:pPr>
            <w:r>
              <w:rPr>
                <w:rFonts w:ascii="Calibri" w:cs="Calibri" w:eastAsia="Calibri" w:hAnsi="Calibri"/>
                <w:sz w:val="13"/>
                <w:szCs w:val="13"/>
                <w:color w:val="auto"/>
              </w:rPr>
              <w:t>YTD 2023</w:t>
            </w:r>
          </w:p>
        </w:tc>
        <w:tc>
          <w:tcPr>
            <w:tcW w:w="1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55"/>
        </w:trPr>
        <w:tc>
          <w:tcPr>
            <w:tcW w:w="5080" w:type="dxa"/>
            <w:vAlign w:val="bottom"/>
          </w:tcPr>
          <w:p>
            <w:pPr>
              <w:ind w:left="160"/>
              <w:spacing w:after="0" w:line="156" w:lineRule="exact"/>
              <w:rPr>
                <w:sz w:val="20"/>
                <w:szCs w:val="20"/>
                <w:color w:val="auto"/>
              </w:rPr>
            </w:pPr>
            <w:r>
              <w:rPr>
                <w:rFonts w:ascii="Calibri" w:cs="Calibri" w:eastAsia="Calibri" w:hAnsi="Calibri"/>
                <w:sz w:val="13"/>
                <w:szCs w:val="13"/>
                <w:color w:val="auto"/>
              </w:rPr>
              <w:t>Microbusiness afliated to Yape – YTD 2023</w:t>
            </w:r>
          </w:p>
        </w:tc>
        <w:tc>
          <w:tcPr>
            <w:tcW w:w="1240" w:type="dxa"/>
            <w:vAlign w:val="bottom"/>
          </w:tcPr>
          <w:p>
            <w:pPr>
              <w:jc w:val="center"/>
              <w:spacing w:after="0" w:line="156" w:lineRule="exact"/>
              <w:rPr>
                <w:sz w:val="20"/>
                <w:szCs w:val="20"/>
                <w:color w:val="auto"/>
              </w:rPr>
            </w:pPr>
            <w:r>
              <w:rPr>
                <w:rFonts w:ascii="Calibri" w:cs="Calibri" w:eastAsia="Calibri" w:hAnsi="Calibri"/>
                <w:sz w:val="13"/>
                <w:szCs w:val="13"/>
                <w:color w:val="auto"/>
                <w:w w:val="96"/>
              </w:rPr>
              <w:t>BCP</w:t>
            </w:r>
          </w:p>
        </w:tc>
        <w:tc>
          <w:tcPr>
            <w:tcW w:w="1240" w:type="dxa"/>
            <w:vAlign w:val="bottom"/>
          </w:tcPr>
          <w:p>
            <w:pPr>
              <w:jc w:val="center"/>
              <w:spacing w:after="0" w:line="156" w:lineRule="exact"/>
              <w:rPr>
                <w:sz w:val="20"/>
                <w:szCs w:val="20"/>
                <w:color w:val="auto"/>
              </w:rPr>
            </w:pPr>
            <w:r>
              <w:rPr>
                <w:rFonts w:ascii="Calibri" w:cs="Calibri" w:eastAsia="Calibri" w:hAnsi="Calibri"/>
                <w:sz w:val="13"/>
                <w:szCs w:val="13"/>
                <w:color w:val="auto"/>
              </w:rPr>
              <w:t>1.6 thousand</w:t>
            </w:r>
          </w:p>
        </w:tc>
        <w:tc>
          <w:tcPr>
            <w:tcW w:w="1240" w:type="dxa"/>
            <w:vAlign w:val="bottom"/>
          </w:tcPr>
          <w:p>
            <w:pPr>
              <w:jc w:val="center"/>
              <w:spacing w:after="0" w:line="156" w:lineRule="exact"/>
              <w:rPr>
                <w:sz w:val="20"/>
                <w:szCs w:val="20"/>
                <w:color w:val="auto"/>
              </w:rPr>
            </w:pPr>
            <w:r>
              <w:rPr>
                <w:rFonts w:ascii="Calibri" w:cs="Calibri" w:eastAsia="Calibri" w:hAnsi="Calibri"/>
                <w:sz w:val="13"/>
                <w:szCs w:val="13"/>
                <w:color w:val="auto"/>
              </w:rPr>
              <w:t>3.9 thousand</w:t>
            </w:r>
          </w:p>
        </w:tc>
        <w:tc>
          <w:tcPr>
            <w:tcW w:w="1220" w:type="dxa"/>
            <w:vAlign w:val="bottom"/>
          </w:tcPr>
          <w:p>
            <w:pPr>
              <w:jc w:val="center"/>
              <w:spacing w:after="0" w:line="156" w:lineRule="exact"/>
              <w:rPr>
                <w:sz w:val="20"/>
                <w:szCs w:val="20"/>
                <w:color w:val="auto"/>
              </w:rPr>
            </w:pPr>
            <w:r>
              <w:rPr>
                <w:rFonts w:ascii="Calibri" w:cs="Calibri" w:eastAsia="Calibri" w:hAnsi="Calibri"/>
                <w:sz w:val="13"/>
                <w:szCs w:val="13"/>
                <w:color w:val="auto"/>
              </w:rPr>
              <w:t>13.0 thousand</w:t>
            </w:r>
          </w:p>
        </w:tc>
        <w:tc>
          <w:tcPr>
            <w:tcW w:w="1240" w:type="dxa"/>
            <w:vAlign w:val="bottom"/>
          </w:tcPr>
          <w:p>
            <w:pPr>
              <w:jc w:val="center"/>
              <w:spacing w:after="0" w:line="156" w:lineRule="exact"/>
              <w:rPr>
                <w:sz w:val="20"/>
                <w:szCs w:val="20"/>
                <w:color w:val="auto"/>
              </w:rPr>
            </w:pPr>
            <w:r>
              <w:rPr>
                <w:rFonts w:ascii="Calibri" w:cs="Calibri" w:eastAsia="Calibri" w:hAnsi="Calibri"/>
                <w:sz w:val="13"/>
                <w:szCs w:val="13"/>
                <w:color w:val="auto"/>
              </w:rPr>
              <w:t>26.9 thousand</w:t>
            </w:r>
          </w:p>
        </w:tc>
      </w:tr>
    </w:tbl>
    <w:p>
      <w:pPr>
        <w:ind w:left="2" w:right="20" w:hanging="2"/>
        <w:spacing w:after="0"/>
        <w:tabs>
          <w:tab w:leader="none" w:pos="213" w:val="left"/>
        </w:tabs>
        <w:numPr>
          <w:ilvl w:val="0"/>
          <w:numId w:val="15"/>
        </w:numPr>
        <w:rPr>
          <w:rFonts w:ascii="Arial" w:cs="Arial" w:eastAsia="Arial" w:hAnsi="Arial"/>
          <w:sz w:val="11"/>
          <w:szCs w:val="11"/>
          <w:color w:val="auto"/>
        </w:rPr>
      </w:pPr>
      <w:r>
        <w:rPr>
          <w:rFonts w:ascii="Arial" w:cs="Arial" w:eastAsia="Arial" w:hAnsi="Arial"/>
          <w:sz w:val="11"/>
          <w:szCs w:val="11"/>
          <w:color w:val="auto"/>
        </w:rPr>
        <w:t>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w:t>
      </w:r>
    </w:p>
    <w:p>
      <w:pPr>
        <w:ind w:left="162" w:hanging="162"/>
        <w:spacing w:after="0" w:line="231" w:lineRule="auto"/>
        <w:tabs>
          <w:tab w:leader="none" w:pos="162" w:val="left"/>
        </w:tabs>
        <w:numPr>
          <w:ilvl w:val="0"/>
          <w:numId w:val="15"/>
        </w:numPr>
        <w:rPr>
          <w:rFonts w:ascii="Arial" w:cs="Arial" w:eastAsia="Arial" w:hAnsi="Arial"/>
          <w:sz w:val="11"/>
          <w:szCs w:val="11"/>
          <w:color w:val="auto"/>
        </w:rPr>
      </w:pPr>
      <w:r>
        <w:rPr>
          <w:rFonts w:ascii="Arial" w:cs="Arial" w:eastAsia="Arial" w:hAnsi="Arial"/>
          <w:sz w:val="11"/>
          <w:szCs w:val="11"/>
          <w:color w:val="auto"/>
        </w:rPr>
        <w:t>Non-cumulative. Figure for the period.</w:t>
      </w:r>
    </w:p>
    <w:p>
      <w:pPr>
        <w:ind w:left="162" w:hanging="162"/>
        <w:spacing w:after="0"/>
        <w:tabs>
          <w:tab w:leader="none" w:pos="162"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Real information up to November (extrapolated through December)</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313" w:right="319" w:bottom="1440" w:gutter="0" w:footer="0" w:header="0"/>
        </w:sectPr>
      </w:pPr>
    </w:p>
    <w:bookmarkStart w:id="19" w:name="page20"/>
    <w:bookmarkEnd w:id="19"/>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400" w:lineRule="exact"/>
        <w:rPr>
          <w:sz w:val="20"/>
          <w:szCs w:val="20"/>
          <w:color w:val="auto"/>
        </w:rPr>
      </w:pPr>
    </w:p>
    <w:p>
      <w:pPr>
        <w:ind w:left="2"/>
        <w:spacing w:after="0"/>
        <w:rPr>
          <w:sz w:val="20"/>
          <w:szCs w:val="20"/>
          <w:color w:val="auto"/>
        </w:rPr>
      </w:pPr>
      <w:r>
        <w:rPr>
          <w:rFonts w:ascii="Arial" w:cs="Arial" w:eastAsia="Arial" w:hAnsi="Arial"/>
          <w:sz w:val="47"/>
          <w:szCs w:val="47"/>
          <w:b w:val="1"/>
          <w:bCs w:val="1"/>
          <w:color w:val="E93BAC"/>
        </w:rPr>
        <w:t xml:space="preserve">01 </w:t>
      </w:r>
      <w:r>
        <w:rPr>
          <w:rFonts w:ascii="Arial" w:cs="Arial" w:eastAsia="Arial" w:hAnsi="Arial"/>
          <w:sz w:val="29"/>
          <w:szCs w:val="29"/>
          <w:color w:val="E93BAB"/>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145655" cy="1401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655" cy="1401445"/>
                    </a:xfrm>
                    <a:prstGeom prst="rect">
                      <a:avLst/>
                    </a:prstGeom>
                    <a:noFill/>
                  </pic:spPr>
                </pic:pic>
              </a:graphicData>
            </a:graphic>
          </wp:anchor>
        </w:drawing>
      </w:r>
    </w:p>
    <w:p>
      <w:pPr>
        <w:spacing w:after="0" w:line="287" w:lineRule="exact"/>
        <w:rPr>
          <w:sz w:val="20"/>
          <w:szCs w:val="20"/>
          <w:color w:val="auto"/>
        </w:rPr>
      </w:pPr>
    </w:p>
    <w:p>
      <w:pPr>
        <w:jc w:val="both"/>
        <w:ind w:left="122" w:right="120"/>
        <w:spacing w:after="0" w:line="252" w:lineRule="auto"/>
        <w:rPr>
          <w:sz w:val="20"/>
          <w:szCs w:val="20"/>
          <w:color w:val="auto"/>
        </w:rPr>
      </w:pPr>
      <w:r>
        <w:rPr>
          <w:rFonts w:ascii="Arial" w:cs="Arial" w:eastAsia="Arial" w:hAnsi="Arial"/>
          <w:sz w:val="16"/>
          <w:szCs w:val="16"/>
          <w:color w:val="FFFFFF"/>
        </w:rPr>
        <w:t>QoQ, structural loans in average daily balances (ADB) ADBs increased 0.4% (neutral FX +0.7%), driven primarily by the SME-Pyme and Middle-Market Banking. This growth was partially offset by a drop in i) Corporate Banking, in a context marked by low private investment and a weak macroeconomic environment and ii) Mibanco, due to changes towards stricter credit guidelines. YoY, structural loan balances rose 0.3% (neutral FX +0.7%), due to growth in balances in Retail Banking, except for Consumer. YTD, loans in ADBs grew 4.1%, driven by loan growth across Retail banking segments.</w:t>
      </w:r>
    </w:p>
    <w:p>
      <w:pPr>
        <w:spacing w:after="0" w:line="142" w:lineRule="exact"/>
        <w:rPr>
          <w:sz w:val="20"/>
          <w:szCs w:val="20"/>
          <w:color w:val="auto"/>
        </w:rPr>
      </w:pPr>
    </w:p>
    <w:p>
      <w:pPr>
        <w:jc w:val="both"/>
        <w:ind w:left="122" w:right="120"/>
        <w:spacing w:after="0" w:line="246" w:lineRule="auto"/>
        <w:rPr>
          <w:sz w:val="20"/>
          <w:szCs w:val="20"/>
          <w:color w:val="auto"/>
        </w:rPr>
      </w:pPr>
      <w:r>
        <w:rPr>
          <w:rFonts w:ascii="Arial" w:cs="Arial" w:eastAsia="Arial" w:hAnsi="Arial"/>
          <w:sz w:val="16"/>
          <w:szCs w:val="16"/>
          <w:color w:val="FFFFFF"/>
        </w:rPr>
        <w:t>QoQ, growth in structural NPLs was driven by (i) SME-Pyme, which continued to present deterioration in old vintages; (ii) Consumer and Credit Cards, where growth in NPLs was concentrated in tranches for loans overdue more than 120 days.; and (iii) Mibanco, where delinquency was concentrated mainly among clients with high ticket loans and those who continued to be affected by social conflicts or climatic anomalies. YoY growth in NPLs was driven mainly by the same factors explained in the QoQ analysis for Individuals and SME-Pyme, and, to a lesser extent, by refinancing of debt in Wholesale Banking for clients in the commercial real estate and tourism sectors throughout 1Q23. The aforementioned dynamics led the Structural NPL ratio to rise QoQ and YoY to stand at 5.6%.</w:t>
      </w:r>
    </w:p>
    <w:p>
      <w:pPr>
        <w:spacing w:after="0" w:line="2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1.1. Loans</w:t>
      </w:r>
    </w:p>
    <w:p>
      <w:pPr>
        <w:spacing w:after="0" w:line="7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 xml:space="preserve">Structural Loans (in Average Daily Balances) </w:t>
      </w:r>
      <w:r>
        <w:rPr>
          <w:rFonts w:ascii="Arial" w:cs="Arial" w:eastAsia="Arial" w:hAnsi="Arial"/>
          <w:sz w:val="27"/>
          <w:szCs w:val="27"/>
          <w:b w:val="1"/>
          <w:bCs w:val="1"/>
          <w:color w:val="auto"/>
          <w:vertAlign w:val="superscript"/>
        </w:rPr>
        <w:t>(1)(2)(3)</w:t>
      </w:r>
    </w:p>
    <w:tbl>
      <w:tblPr>
        <w:tblLayout w:type="fixed"/>
        <w:tblInd w:w="12" w:type="dxa"/>
        <w:tblCellMar>
          <w:top w:w="0" w:type="dxa"/>
          <w:left w:w="0" w:type="dxa"/>
          <w:bottom w:w="0" w:type="dxa"/>
          <w:right w:w="0" w:type="dxa"/>
        </w:tblCellMar>
      </w:tblPr>
      <w:tr>
        <w:trPr>
          <w:trHeight w:val="147"/>
        </w:trPr>
        <w:tc>
          <w:tcPr>
            <w:tcW w:w="2060" w:type="dxa"/>
            <w:vAlign w:val="bottom"/>
            <w:tcBorders>
              <w:top w:val="single" w:sz="8" w:color="auto"/>
              <w:left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Structural Loans</w:t>
            </w:r>
          </w:p>
        </w:tc>
        <w:tc>
          <w:tcPr>
            <w:tcW w:w="600" w:type="dxa"/>
            <w:vAlign w:val="bottom"/>
            <w:tcBorders>
              <w:top w:val="single" w:sz="8" w:color="auto"/>
            </w:tcBorders>
            <w:shd w:val="clear" w:color="auto" w:fill="2AD2C9"/>
          </w:tcPr>
          <w:p>
            <w:pPr>
              <w:spacing w:after="0"/>
              <w:rPr>
                <w:sz w:val="12"/>
                <w:szCs w:val="12"/>
                <w:color w:val="auto"/>
              </w:rPr>
            </w:pPr>
          </w:p>
        </w:tc>
        <w:tc>
          <w:tcPr>
            <w:tcW w:w="60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As of</w:t>
            </w:r>
          </w:p>
        </w:tc>
        <w:tc>
          <w:tcPr>
            <w:tcW w:w="620" w:type="dxa"/>
            <w:vAlign w:val="bottom"/>
            <w:tcBorders>
              <w:top w:val="single" w:sz="8" w:color="auto"/>
              <w:right w:val="single" w:sz="8" w:color="auto"/>
            </w:tcBorders>
            <w:shd w:val="clear" w:color="auto" w:fill="2AD2C9"/>
          </w:tcPr>
          <w:p>
            <w:pPr>
              <w:spacing w:after="0"/>
              <w:rPr>
                <w:sz w:val="12"/>
                <w:szCs w:val="12"/>
                <w:color w:val="auto"/>
              </w:rPr>
            </w:pPr>
          </w:p>
        </w:tc>
        <w:tc>
          <w:tcPr>
            <w:tcW w:w="1200" w:type="dxa"/>
            <w:vAlign w:val="bottom"/>
            <w:tcBorders>
              <w:top w:val="single" w:sz="8" w:color="auto"/>
              <w:right w:val="single" w:sz="8" w:color="auto"/>
            </w:tcBorders>
            <w:gridSpan w:val="2"/>
            <w:shd w:val="clear" w:color="auto" w:fill="2AD2C9"/>
          </w:tcPr>
          <w:p>
            <w:pPr>
              <w:ind w:left="460"/>
              <w:spacing w:after="0"/>
              <w:rPr>
                <w:sz w:val="20"/>
                <w:szCs w:val="20"/>
                <w:color w:val="auto"/>
              </w:rPr>
            </w:pPr>
            <w:r>
              <w:rPr>
                <w:rFonts w:ascii="Arial" w:cs="Arial" w:eastAsia="Arial" w:hAnsi="Arial"/>
                <w:sz w:val="11"/>
                <w:szCs w:val="11"/>
                <w:b w:val="1"/>
                <w:bCs w:val="1"/>
                <w:color w:val="FFFFFF"/>
              </w:rPr>
              <w:t>Year</w:t>
            </w:r>
          </w:p>
        </w:tc>
        <w:tc>
          <w:tcPr>
            <w:tcW w:w="380" w:type="dxa"/>
            <w:vAlign w:val="bottom"/>
            <w:tcBorders>
              <w:top w:val="single" w:sz="8" w:color="auto"/>
            </w:tcBorders>
            <w:shd w:val="clear" w:color="auto" w:fill="2AD2C9"/>
          </w:tcPr>
          <w:p>
            <w:pPr>
              <w:spacing w:after="0"/>
              <w:rPr>
                <w:sz w:val="12"/>
                <w:szCs w:val="12"/>
                <w:color w:val="auto"/>
              </w:rPr>
            </w:pPr>
          </w:p>
        </w:tc>
        <w:tc>
          <w:tcPr>
            <w:tcW w:w="1260" w:type="dxa"/>
            <w:vAlign w:val="bottom"/>
            <w:tcBorders>
              <w:top w:val="single" w:sz="8" w:color="auto"/>
              <w:right w:val="single" w:sz="8" w:color="auto"/>
            </w:tcBorders>
            <w:gridSpan w:val="3"/>
            <w:shd w:val="clear" w:color="auto" w:fill="2AD2C9"/>
          </w:tcPr>
          <w:p>
            <w:pPr>
              <w:jc w:val="center"/>
              <w:ind w:right="363"/>
              <w:spacing w:after="0"/>
              <w:rPr>
                <w:sz w:val="20"/>
                <w:szCs w:val="20"/>
                <w:color w:val="auto"/>
              </w:rPr>
            </w:pPr>
            <w:r>
              <w:rPr>
                <w:rFonts w:ascii="Arial" w:cs="Arial" w:eastAsia="Arial" w:hAnsi="Arial"/>
                <w:sz w:val="11"/>
                <w:szCs w:val="11"/>
                <w:b w:val="1"/>
                <w:bCs w:val="1"/>
                <w:color w:val="FFFFFF"/>
              </w:rPr>
              <w:t>Volume Change</w:t>
            </w:r>
          </w:p>
        </w:tc>
        <w:tc>
          <w:tcPr>
            <w:tcW w:w="460" w:type="dxa"/>
            <w:vAlign w:val="bottom"/>
            <w:tcBorders>
              <w:top w:val="single" w:sz="8" w:color="auto"/>
            </w:tcBorders>
            <w:shd w:val="clear" w:color="auto" w:fill="2AD2C9"/>
          </w:tcPr>
          <w:p>
            <w:pPr>
              <w:spacing w:after="0"/>
              <w:rPr>
                <w:sz w:val="12"/>
                <w:szCs w:val="12"/>
                <w:color w:val="auto"/>
              </w:rPr>
            </w:pPr>
          </w:p>
        </w:tc>
        <w:tc>
          <w:tcPr>
            <w:tcW w:w="68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 Change</w:t>
            </w:r>
          </w:p>
        </w:tc>
        <w:tc>
          <w:tcPr>
            <w:tcW w:w="520" w:type="dxa"/>
            <w:vAlign w:val="bottom"/>
            <w:tcBorders>
              <w:top w:val="single" w:sz="8" w:color="auto"/>
              <w:right w:val="single" w:sz="8" w:color="auto"/>
            </w:tcBorders>
            <w:shd w:val="clear" w:color="auto" w:fill="2AD2C9"/>
          </w:tcPr>
          <w:p>
            <w:pPr>
              <w:spacing w:after="0"/>
              <w:rPr>
                <w:sz w:val="12"/>
                <w:szCs w:val="12"/>
                <w:color w:val="auto"/>
              </w:rPr>
            </w:pPr>
          </w:p>
        </w:tc>
        <w:tc>
          <w:tcPr>
            <w:tcW w:w="540" w:type="dxa"/>
            <w:vAlign w:val="bottom"/>
            <w:tcBorders>
              <w:top w:val="single" w:sz="8" w:color="auto"/>
            </w:tcBorders>
            <w:shd w:val="clear" w:color="auto" w:fill="2AD2C9"/>
          </w:tcPr>
          <w:p>
            <w:pPr>
              <w:spacing w:after="0"/>
              <w:rPr>
                <w:sz w:val="12"/>
                <w:szCs w:val="12"/>
                <w:color w:val="auto"/>
              </w:rPr>
            </w:pPr>
          </w:p>
        </w:tc>
        <w:tc>
          <w:tcPr>
            <w:tcW w:w="1780" w:type="dxa"/>
            <w:vAlign w:val="bottom"/>
            <w:tcBorders>
              <w:top w:val="single" w:sz="8" w:color="auto"/>
            </w:tcBorders>
            <w:gridSpan w:val="3"/>
            <w:shd w:val="clear" w:color="auto" w:fill="2AD2C9"/>
          </w:tcPr>
          <w:p>
            <w:pPr>
              <w:jc w:val="center"/>
              <w:spacing w:after="0"/>
              <w:rPr>
                <w:sz w:val="20"/>
                <w:szCs w:val="20"/>
                <w:color w:val="auto"/>
              </w:rPr>
            </w:pPr>
            <w:r>
              <w:rPr>
                <w:rFonts w:ascii="Arial" w:cs="Arial" w:eastAsia="Arial" w:hAnsi="Arial"/>
                <w:sz w:val="11"/>
                <w:szCs w:val="11"/>
                <w:b w:val="1"/>
                <w:bCs w:val="1"/>
                <w:color w:val="FFFFFF"/>
              </w:rPr>
              <w:t>% Part. in total structural loans</w:t>
            </w:r>
          </w:p>
        </w:tc>
        <w:tc>
          <w:tcPr>
            <w:tcW w:w="560" w:type="dxa"/>
            <w:vAlign w:val="bottom"/>
            <w:tcBorders>
              <w:top w:val="single" w:sz="8" w:color="auto"/>
              <w:right w:val="single" w:sz="8" w:color="auto"/>
            </w:tcBorders>
            <w:shd w:val="clear" w:color="auto" w:fill="2AD2C9"/>
          </w:tcPr>
          <w:p>
            <w:pPr>
              <w:spacing w:after="0"/>
              <w:rPr>
                <w:sz w:val="12"/>
                <w:szCs w:val="12"/>
                <w:color w:val="auto"/>
              </w:rPr>
            </w:pPr>
          </w:p>
        </w:tc>
      </w:tr>
      <w:tr>
        <w:trPr>
          <w:trHeight w:val="137"/>
        </w:trPr>
        <w:tc>
          <w:tcPr>
            <w:tcW w:w="206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(S/ millions)</w:t>
            </w:r>
          </w:p>
        </w:tc>
        <w:tc>
          <w:tcPr>
            <w:tcW w:w="600" w:type="dxa"/>
            <w:vAlign w:val="bottom"/>
            <w:tcBorders>
              <w:bottom w:val="single" w:sz="8" w:color="auto"/>
            </w:tcBorders>
            <w:shd w:val="clear" w:color="auto" w:fill="2AD2C9"/>
          </w:tcPr>
          <w:p>
            <w:pPr>
              <w:ind w:left="120"/>
              <w:spacing w:after="0"/>
              <w:rPr>
                <w:sz w:val="20"/>
                <w:szCs w:val="20"/>
                <w:color w:val="auto"/>
              </w:rPr>
            </w:pPr>
            <w:r>
              <w:rPr>
                <w:rFonts w:ascii="Arial" w:cs="Arial" w:eastAsia="Arial" w:hAnsi="Arial"/>
                <w:sz w:val="11"/>
                <w:szCs w:val="11"/>
                <w:b w:val="1"/>
                <w:bCs w:val="1"/>
                <w:color w:val="FFFFFF"/>
              </w:rPr>
              <w:t>Dec 22</w:t>
            </w:r>
          </w:p>
        </w:tc>
        <w:tc>
          <w:tcPr>
            <w:tcW w:w="6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Sep 23</w:t>
            </w:r>
          </w:p>
        </w:tc>
        <w:tc>
          <w:tcPr>
            <w:tcW w:w="620" w:type="dxa"/>
            <w:vAlign w:val="bottom"/>
            <w:tcBorders>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Dec 23</w:t>
            </w:r>
          </w:p>
        </w:tc>
        <w:tc>
          <w:tcPr>
            <w:tcW w:w="5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2022</w:t>
            </w:r>
          </w:p>
        </w:tc>
        <w:tc>
          <w:tcPr>
            <w:tcW w:w="6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2023</w:t>
            </w:r>
          </w:p>
        </w:tc>
        <w:tc>
          <w:tcPr>
            <w:tcW w:w="380" w:type="dxa"/>
            <w:vAlign w:val="bottom"/>
            <w:tcBorders>
              <w:bottom w:val="single" w:sz="8" w:color="auto"/>
            </w:tcBorders>
            <w:shd w:val="clear" w:color="auto" w:fill="2AD2C9"/>
          </w:tcPr>
          <w:p>
            <w:pPr>
              <w:ind w:left="120"/>
              <w:spacing w:after="0"/>
              <w:rPr>
                <w:sz w:val="20"/>
                <w:szCs w:val="20"/>
                <w:color w:val="auto"/>
              </w:rPr>
            </w:pPr>
            <w:r>
              <w:rPr>
                <w:rFonts w:ascii="Arial" w:cs="Arial" w:eastAsia="Arial" w:hAnsi="Arial"/>
                <w:sz w:val="11"/>
                <w:szCs w:val="11"/>
                <w:b w:val="1"/>
                <w:bCs w:val="1"/>
                <w:color w:val="FFFFFF"/>
              </w:rPr>
              <w:t>QoQ</w:t>
            </w:r>
          </w:p>
        </w:tc>
        <w:tc>
          <w:tcPr>
            <w:tcW w:w="140" w:type="dxa"/>
            <w:vAlign w:val="bottom"/>
            <w:tcBorders>
              <w:bottom w:val="single" w:sz="8" w:color="auto"/>
            </w:tcBorders>
            <w:shd w:val="clear" w:color="auto" w:fill="2AD2C9"/>
          </w:tcPr>
          <w:p>
            <w:pPr>
              <w:spacing w:after="0"/>
              <w:rPr>
                <w:sz w:val="11"/>
                <w:szCs w:val="11"/>
                <w:color w:val="auto"/>
              </w:rPr>
            </w:pPr>
          </w:p>
        </w:tc>
        <w:tc>
          <w:tcPr>
            <w:tcW w:w="5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YoY</w:t>
            </w:r>
          </w:p>
        </w:tc>
        <w:tc>
          <w:tcPr>
            <w:tcW w:w="58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1"/>
                <w:szCs w:val="11"/>
                <w:b w:val="1"/>
                <w:bCs w:val="1"/>
                <w:color w:val="FFFFFF"/>
              </w:rPr>
              <w:t>FY</w:t>
            </w:r>
          </w:p>
        </w:tc>
        <w:tc>
          <w:tcPr>
            <w:tcW w:w="460" w:type="dxa"/>
            <w:vAlign w:val="bottom"/>
            <w:tcBorders>
              <w:bottom w:val="single" w:sz="8" w:color="auto"/>
            </w:tcBorders>
            <w:shd w:val="clear" w:color="auto" w:fill="2AD2C9"/>
          </w:tcPr>
          <w:p>
            <w:pPr>
              <w:ind w:left="120"/>
              <w:spacing w:after="0"/>
              <w:rPr>
                <w:sz w:val="20"/>
                <w:szCs w:val="20"/>
                <w:color w:val="auto"/>
              </w:rPr>
            </w:pPr>
            <w:r>
              <w:rPr>
                <w:rFonts w:ascii="Arial" w:cs="Arial" w:eastAsia="Arial" w:hAnsi="Arial"/>
                <w:sz w:val="11"/>
                <w:szCs w:val="11"/>
                <w:b w:val="1"/>
                <w:bCs w:val="1"/>
                <w:color w:val="FFFFFF"/>
              </w:rPr>
              <w:t>QoQ</w:t>
            </w:r>
          </w:p>
        </w:tc>
        <w:tc>
          <w:tcPr>
            <w:tcW w:w="6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3"/>
              </w:rPr>
              <w:t>YoY</w:t>
            </w:r>
          </w:p>
        </w:tc>
        <w:tc>
          <w:tcPr>
            <w:tcW w:w="520" w:type="dxa"/>
            <w:vAlign w:val="bottom"/>
            <w:tcBorders>
              <w:bottom w:val="single" w:sz="8" w:color="auto"/>
              <w:right w:val="single" w:sz="8" w:color="auto"/>
            </w:tcBorders>
            <w:shd w:val="clear" w:color="auto" w:fill="2AD2C9"/>
          </w:tcPr>
          <w:p>
            <w:pPr>
              <w:ind w:left="140"/>
              <w:spacing w:after="0"/>
              <w:rPr>
                <w:sz w:val="20"/>
                <w:szCs w:val="20"/>
                <w:color w:val="auto"/>
              </w:rPr>
            </w:pPr>
            <w:r>
              <w:rPr>
                <w:rFonts w:ascii="Arial" w:cs="Arial" w:eastAsia="Arial" w:hAnsi="Arial"/>
                <w:sz w:val="11"/>
                <w:szCs w:val="11"/>
                <w:b w:val="1"/>
                <w:bCs w:val="1"/>
                <w:color w:val="FFFFFF"/>
              </w:rPr>
              <w:t>FY</w:t>
            </w:r>
          </w:p>
        </w:tc>
        <w:tc>
          <w:tcPr>
            <w:tcW w:w="54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Dec 22</w:t>
            </w:r>
          </w:p>
        </w:tc>
        <w:tc>
          <w:tcPr>
            <w:tcW w:w="600" w:type="dxa"/>
            <w:vAlign w:val="bottom"/>
            <w:tcBorders>
              <w:bottom w:val="single" w:sz="8" w:color="auto"/>
            </w:tcBorders>
            <w:shd w:val="clear" w:color="auto" w:fill="2AD2C9"/>
          </w:tcPr>
          <w:p>
            <w:pPr>
              <w:ind w:left="120"/>
              <w:spacing w:after="0"/>
              <w:rPr>
                <w:sz w:val="20"/>
                <w:szCs w:val="20"/>
                <w:color w:val="auto"/>
              </w:rPr>
            </w:pPr>
            <w:r>
              <w:rPr>
                <w:rFonts w:ascii="Arial" w:cs="Arial" w:eastAsia="Arial" w:hAnsi="Arial"/>
                <w:sz w:val="11"/>
                <w:szCs w:val="11"/>
                <w:b w:val="1"/>
                <w:bCs w:val="1"/>
                <w:color w:val="FFFFFF"/>
              </w:rPr>
              <w:t>Sep 23</w:t>
            </w:r>
          </w:p>
        </w:tc>
        <w:tc>
          <w:tcPr>
            <w:tcW w:w="5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Dec 23</w:t>
            </w:r>
          </w:p>
        </w:tc>
        <w:tc>
          <w:tcPr>
            <w:tcW w:w="6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2022</w:t>
            </w:r>
          </w:p>
        </w:tc>
        <w:tc>
          <w:tcPr>
            <w:tcW w:w="560" w:type="dxa"/>
            <w:vAlign w:val="bottom"/>
            <w:tcBorders>
              <w:bottom w:val="single" w:sz="8" w:color="auto"/>
              <w:right w:val="single" w:sz="8" w:color="auto"/>
            </w:tcBorders>
            <w:shd w:val="clear" w:color="auto" w:fill="2AD2C9"/>
          </w:tcPr>
          <w:p>
            <w:pPr>
              <w:jc w:val="center"/>
              <w:ind w:right="3"/>
              <w:spacing w:after="0"/>
              <w:rPr>
                <w:sz w:val="20"/>
                <w:szCs w:val="20"/>
                <w:color w:val="auto"/>
              </w:rPr>
            </w:pPr>
            <w:r>
              <w:rPr>
                <w:rFonts w:ascii="Arial" w:cs="Arial" w:eastAsia="Arial" w:hAnsi="Arial"/>
                <w:sz w:val="11"/>
                <w:szCs w:val="11"/>
                <w:b w:val="1"/>
                <w:bCs w:val="1"/>
                <w:color w:val="FFFFFF"/>
              </w:rPr>
              <w:t>2023</w:t>
            </w:r>
          </w:p>
        </w:tc>
      </w:tr>
      <w:tr>
        <w:trPr>
          <w:trHeight w:val="99"/>
        </w:trPr>
        <w:tc>
          <w:tcPr>
            <w:tcW w:w="206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BCP Stand-alone</w:t>
            </w:r>
          </w:p>
        </w:tc>
        <w:tc>
          <w:tcPr>
            <w:tcW w:w="6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112,566</w:t>
            </w:r>
          </w:p>
        </w:tc>
        <w:tc>
          <w:tcPr>
            <w:tcW w:w="6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111,857</w:t>
            </w:r>
          </w:p>
        </w:tc>
        <w:tc>
          <w:tcPr>
            <w:tcW w:w="6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112,644</w:t>
            </w:r>
          </w:p>
        </w:tc>
        <w:tc>
          <w:tcPr>
            <w:tcW w:w="5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107,607</w:t>
            </w:r>
          </w:p>
        </w:tc>
        <w:tc>
          <w:tcPr>
            <w:tcW w:w="6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111,749</w:t>
            </w:r>
          </w:p>
        </w:tc>
        <w:tc>
          <w:tcPr>
            <w:tcW w:w="380" w:type="dxa"/>
            <w:vAlign w:val="bottom"/>
          </w:tcPr>
          <w:p>
            <w:pPr>
              <w:jc w:val="center"/>
              <w:ind w:left="63"/>
              <w:spacing w:after="0" w:line="99" w:lineRule="exact"/>
              <w:rPr>
                <w:sz w:val="20"/>
                <w:szCs w:val="20"/>
                <w:color w:val="auto"/>
              </w:rPr>
            </w:pPr>
            <w:r>
              <w:rPr>
                <w:rFonts w:ascii="Arial" w:cs="Arial" w:eastAsia="Arial" w:hAnsi="Arial"/>
                <w:sz w:val="11"/>
                <w:szCs w:val="11"/>
                <w:b w:val="1"/>
                <w:bCs w:val="1"/>
                <w:color w:val="auto"/>
                <w:w w:val="97"/>
              </w:rPr>
              <w:t>787</w:t>
            </w:r>
          </w:p>
        </w:tc>
        <w:tc>
          <w:tcPr>
            <w:tcW w:w="680" w:type="dxa"/>
            <w:vAlign w:val="bottom"/>
            <w:gridSpan w:val="2"/>
          </w:tcPr>
          <w:p>
            <w:pPr>
              <w:jc w:val="center"/>
              <w:ind w:left="83"/>
              <w:spacing w:after="0" w:line="99" w:lineRule="exact"/>
              <w:rPr>
                <w:sz w:val="20"/>
                <w:szCs w:val="20"/>
                <w:color w:val="auto"/>
              </w:rPr>
            </w:pPr>
            <w:r>
              <w:rPr>
                <w:rFonts w:ascii="Arial" w:cs="Arial" w:eastAsia="Arial" w:hAnsi="Arial"/>
                <w:sz w:val="11"/>
                <w:szCs w:val="11"/>
                <w:b w:val="1"/>
                <w:bCs w:val="1"/>
                <w:color w:val="auto"/>
              </w:rPr>
              <w:t>78</w:t>
            </w:r>
          </w:p>
        </w:tc>
        <w:tc>
          <w:tcPr>
            <w:tcW w:w="58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4,141</w:t>
            </w:r>
          </w:p>
        </w:tc>
        <w:tc>
          <w:tcPr>
            <w:tcW w:w="46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0.7%</w:t>
            </w:r>
          </w:p>
        </w:tc>
        <w:tc>
          <w:tcPr>
            <w:tcW w:w="6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5"/>
              </w:rPr>
              <w:t>0.1%</w:t>
            </w:r>
          </w:p>
        </w:tc>
        <w:tc>
          <w:tcPr>
            <w:tcW w:w="520" w:type="dxa"/>
            <w:vAlign w:val="bottom"/>
            <w:tcBorders>
              <w:right w:val="single" w:sz="8" w:color="auto"/>
            </w:tcBorders>
          </w:tcPr>
          <w:p>
            <w:pPr>
              <w:jc w:val="center"/>
              <w:ind w:right="3"/>
              <w:spacing w:after="0" w:line="99" w:lineRule="exact"/>
              <w:rPr>
                <w:sz w:val="20"/>
                <w:szCs w:val="20"/>
                <w:color w:val="auto"/>
              </w:rPr>
            </w:pPr>
            <w:r>
              <w:rPr>
                <w:rFonts w:ascii="Arial" w:cs="Arial" w:eastAsia="Arial" w:hAnsi="Arial"/>
                <w:sz w:val="11"/>
                <w:szCs w:val="11"/>
                <w:b w:val="1"/>
                <w:bCs w:val="1"/>
                <w:color w:val="auto"/>
              </w:rPr>
              <w:t>3.8%</w:t>
            </w:r>
          </w:p>
        </w:tc>
        <w:tc>
          <w:tcPr>
            <w:tcW w:w="54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81.6%</w:t>
            </w:r>
          </w:p>
        </w:tc>
        <w:tc>
          <w:tcPr>
            <w:tcW w:w="6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81.2%</w:t>
            </w:r>
          </w:p>
        </w:tc>
        <w:tc>
          <w:tcPr>
            <w:tcW w:w="5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81.4%</w:t>
            </w:r>
          </w:p>
        </w:tc>
        <w:tc>
          <w:tcPr>
            <w:tcW w:w="6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81.5%</w:t>
            </w:r>
          </w:p>
        </w:tc>
        <w:tc>
          <w:tcPr>
            <w:tcW w:w="5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81.3%</w:t>
            </w:r>
          </w:p>
        </w:tc>
      </w:tr>
      <w:tr>
        <w:trPr>
          <w:trHeight w:val="122"/>
        </w:trPr>
        <w:tc>
          <w:tcPr>
            <w:tcW w:w="206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b w:val="1"/>
                <w:bCs w:val="1"/>
                <w:color w:val="auto"/>
              </w:rPr>
              <w:t>Wholesale Banking</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55,622</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52,090</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51,880</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53,735</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52,442</w:t>
            </w:r>
          </w:p>
        </w:tc>
        <w:tc>
          <w:tcPr>
            <w:tcW w:w="380" w:type="dxa"/>
            <w:vAlign w:val="bottom"/>
          </w:tcPr>
          <w:p>
            <w:pPr>
              <w:jc w:val="center"/>
              <w:ind w:left="63"/>
              <w:spacing w:after="0" w:line="122" w:lineRule="exact"/>
              <w:rPr>
                <w:sz w:val="20"/>
                <w:szCs w:val="20"/>
                <w:color w:val="auto"/>
              </w:rPr>
            </w:pPr>
            <w:r>
              <w:rPr>
                <w:rFonts w:ascii="Arial" w:cs="Arial" w:eastAsia="Arial" w:hAnsi="Arial"/>
                <w:sz w:val="11"/>
                <w:szCs w:val="11"/>
                <w:b w:val="1"/>
                <w:bCs w:val="1"/>
                <w:color w:val="auto"/>
                <w:w w:val="99"/>
              </w:rPr>
              <w:t>-210</w:t>
            </w:r>
          </w:p>
        </w:tc>
        <w:tc>
          <w:tcPr>
            <w:tcW w:w="680" w:type="dxa"/>
            <w:vAlign w:val="bottom"/>
            <w:gridSpan w:val="2"/>
          </w:tcPr>
          <w:p>
            <w:pPr>
              <w:jc w:val="center"/>
              <w:ind w:left="63"/>
              <w:spacing w:after="0" w:line="122" w:lineRule="exact"/>
              <w:rPr>
                <w:sz w:val="20"/>
                <w:szCs w:val="20"/>
                <w:color w:val="auto"/>
              </w:rPr>
            </w:pPr>
            <w:r>
              <w:rPr>
                <w:rFonts w:ascii="Arial" w:cs="Arial" w:eastAsia="Arial" w:hAnsi="Arial"/>
                <w:sz w:val="11"/>
                <w:szCs w:val="11"/>
                <w:b w:val="1"/>
                <w:bCs w:val="1"/>
                <w:color w:val="auto"/>
              </w:rPr>
              <w:t>-3,742</w:t>
            </w:r>
          </w:p>
        </w:tc>
        <w:tc>
          <w:tcPr>
            <w:tcW w:w="5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-1,293</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-0.4%</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-6.7%</w:t>
            </w:r>
          </w:p>
        </w:tc>
        <w:tc>
          <w:tcPr>
            <w:tcW w:w="520" w:type="dxa"/>
            <w:vAlign w:val="bottom"/>
            <w:tcBorders>
              <w:right w:val="single" w:sz="8" w:color="auto"/>
            </w:tcBorders>
          </w:tcPr>
          <w:p>
            <w:pPr>
              <w:jc w:val="center"/>
              <w:ind w:right="23"/>
              <w:spacing w:after="0" w:line="122" w:lineRule="exact"/>
              <w:rPr>
                <w:sz w:val="20"/>
                <w:szCs w:val="20"/>
                <w:color w:val="auto"/>
              </w:rPr>
            </w:pPr>
            <w:r>
              <w:rPr>
                <w:rFonts w:ascii="Arial" w:cs="Arial" w:eastAsia="Arial" w:hAnsi="Arial"/>
                <w:sz w:val="11"/>
                <w:szCs w:val="11"/>
                <w:b w:val="1"/>
                <w:bCs w:val="1"/>
                <w:color w:val="auto"/>
                <w:w w:val="97"/>
              </w:rPr>
              <w:t>-2.4%</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40.3%</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37.8%</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37.5%</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40.7%</w:t>
            </w:r>
          </w:p>
        </w:tc>
        <w:tc>
          <w:tcPr>
            <w:tcW w:w="5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38.2%</w:t>
            </w:r>
          </w:p>
        </w:tc>
      </w:tr>
      <w:tr>
        <w:trPr>
          <w:trHeight w:val="122"/>
        </w:trPr>
        <w:tc>
          <w:tcPr>
            <w:tcW w:w="2060" w:type="dxa"/>
            <w:vAlign w:val="bottom"/>
            <w:tcBorders>
              <w:left w:val="single" w:sz="8" w:color="auto"/>
              <w:right w:val="single" w:sz="8" w:color="auto"/>
            </w:tcBorders>
          </w:tcPr>
          <w:p>
            <w:pPr>
              <w:ind w:left="300"/>
              <w:spacing w:after="0" w:line="122" w:lineRule="exact"/>
              <w:rPr>
                <w:sz w:val="20"/>
                <w:szCs w:val="20"/>
                <w:color w:val="auto"/>
              </w:rPr>
            </w:pPr>
            <w:r>
              <w:rPr>
                <w:rFonts w:ascii="Arial" w:cs="Arial" w:eastAsia="Arial" w:hAnsi="Arial"/>
                <w:sz w:val="11"/>
                <w:szCs w:val="11"/>
                <w:color w:val="auto"/>
              </w:rPr>
              <w:t>Corporate</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33,400</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31,036</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30,472</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32,343</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31,504</w:t>
            </w:r>
          </w:p>
        </w:tc>
        <w:tc>
          <w:tcPr>
            <w:tcW w:w="380" w:type="dxa"/>
            <w:vAlign w:val="bottom"/>
            <w:shd w:val="clear" w:color="auto" w:fill="E93BAC"/>
          </w:tcPr>
          <w:p>
            <w:pPr>
              <w:jc w:val="center"/>
              <w:ind w:left="63"/>
              <w:spacing w:after="0" w:line="122" w:lineRule="exact"/>
              <w:rPr>
                <w:sz w:val="20"/>
                <w:szCs w:val="20"/>
                <w:color w:val="auto"/>
              </w:rPr>
            </w:pPr>
            <w:r>
              <w:rPr>
                <w:rFonts w:ascii="Arial" w:cs="Arial" w:eastAsia="Arial" w:hAnsi="Arial"/>
                <w:sz w:val="11"/>
                <w:szCs w:val="11"/>
                <w:color w:val="auto"/>
                <w:w w:val="99"/>
              </w:rPr>
              <w:t>-563</w:t>
            </w:r>
          </w:p>
        </w:tc>
        <w:tc>
          <w:tcPr>
            <w:tcW w:w="680" w:type="dxa"/>
            <w:vAlign w:val="bottom"/>
            <w:gridSpan w:val="2"/>
            <w:shd w:val="clear" w:color="auto" w:fill="E93BAC"/>
          </w:tcPr>
          <w:p>
            <w:pPr>
              <w:jc w:val="center"/>
              <w:ind w:left="63"/>
              <w:spacing w:after="0" w:line="122" w:lineRule="exact"/>
              <w:rPr>
                <w:sz w:val="20"/>
                <w:szCs w:val="20"/>
                <w:color w:val="auto"/>
              </w:rPr>
            </w:pPr>
            <w:r>
              <w:rPr>
                <w:rFonts w:ascii="Arial" w:cs="Arial" w:eastAsia="Arial" w:hAnsi="Arial"/>
                <w:sz w:val="11"/>
                <w:szCs w:val="11"/>
                <w:color w:val="auto"/>
              </w:rPr>
              <w:t>-2,927</w:t>
            </w:r>
          </w:p>
        </w:tc>
        <w:tc>
          <w:tcPr>
            <w:tcW w:w="580" w:type="dxa"/>
            <w:vAlign w:val="bottom"/>
            <w:tcBorders>
              <w:right w:val="single" w:sz="8" w:color="auto"/>
            </w:tcBorders>
            <w:shd w:val="clear" w:color="auto" w:fill="E93BAC"/>
          </w:tcPr>
          <w:p>
            <w:pPr>
              <w:jc w:val="center"/>
              <w:spacing w:after="0" w:line="122" w:lineRule="exact"/>
              <w:rPr>
                <w:sz w:val="20"/>
                <w:szCs w:val="20"/>
                <w:color w:val="auto"/>
              </w:rPr>
            </w:pPr>
            <w:r>
              <w:rPr>
                <w:rFonts w:ascii="Arial" w:cs="Arial" w:eastAsia="Arial" w:hAnsi="Arial"/>
                <w:sz w:val="11"/>
                <w:szCs w:val="11"/>
                <w:color w:val="auto"/>
              </w:rPr>
              <w:t>-839</w:t>
            </w:r>
          </w:p>
        </w:tc>
        <w:tc>
          <w:tcPr>
            <w:tcW w:w="460" w:type="dxa"/>
            <w:vAlign w:val="bottom"/>
          </w:tcPr>
          <w:p>
            <w:pPr>
              <w:jc w:val="center"/>
              <w:spacing w:after="0" w:line="122" w:lineRule="exact"/>
              <w:rPr>
                <w:sz w:val="20"/>
                <w:szCs w:val="20"/>
                <w:color w:val="auto"/>
              </w:rPr>
            </w:pPr>
            <w:r>
              <w:rPr>
                <w:rFonts w:ascii="Arial" w:cs="Arial" w:eastAsia="Arial" w:hAnsi="Arial"/>
                <w:sz w:val="11"/>
                <w:szCs w:val="11"/>
                <w:color w:val="auto"/>
              </w:rPr>
              <w:t>-1.8%</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7"/>
              </w:rPr>
              <w:t>-8.8%</w:t>
            </w:r>
          </w:p>
        </w:tc>
        <w:tc>
          <w:tcPr>
            <w:tcW w:w="520" w:type="dxa"/>
            <w:vAlign w:val="bottom"/>
            <w:tcBorders>
              <w:right w:val="single" w:sz="8" w:color="auto"/>
            </w:tcBorders>
          </w:tcPr>
          <w:p>
            <w:pPr>
              <w:jc w:val="center"/>
              <w:ind w:right="23"/>
              <w:spacing w:after="0" w:line="122" w:lineRule="exact"/>
              <w:rPr>
                <w:sz w:val="20"/>
                <w:szCs w:val="20"/>
                <w:color w:val="auto"/>
              </w:rPr>
            </w:pPr>
            <w:r>
              <w:rPr>
                <w:rFonts w:ascii="Arial" w:cs="Arial" w:eastAsia="Arial" w:hAnsi="Arial"/>
                <w:sz w:val="11"/>
                <w:szCs w:val="11"/>
                <w:color w:val="auto"/>
                <w:w w:val="97"/>
              </w:rPr>
              <w:t>-2.6%</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24.2%</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22.5%</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22.0%</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24.5%</w:t>
            </w:r>
          </w:p>
        </w:tc>
        <w:tc>
          <w:tcPr>
            <w:tcW w:w="5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22.9%</w:t>
            </w:r>
          </w:p>
        </w:tc>
      </w:tr>
      <w:tr>
        <w:trPr>
          <w:trHeight w:val="137"/>
        </w:trPr>
        <w:tc>
          <w:tcPr>
            <w:tcW w:w="2060" w:type="dxa"/>
            <w:vAlign w:val="bottom"/>
            <w:tcBorders>
              <w:left w:val="single" w:sz="8" w:color="auto"/>
              <w:right w:val="single" w:sz="8" w:color="auto"/>
            </w:tcBorders>
          </w:tcPr>
          <w:p>
            <w:pPr>
              <w:ind w:left="300"/>
              <w:spacing w:after="0" w:line="122" w:lineRule="exact"/>
              <w:rPr>
                <w:sz w:val="20"/>
                <w:szCs w:val="20"/>
                <w:color w:val="auto"/>
              </w:rPr>
            </w:pPr>
            <w:r>
              <w:rPr>
                <w:rFonts w:ascii="Arial" w:cs="Arial" w:eastAsia="Arial" w:hAnsi="Arial"/>
                <w:sz w:val="11"/>
                <w:szCs w:val="11"/>
                <w:color w:val="auto"/>
              </w:rPr>
              <w:t>Middle - Market</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22,222</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21,055</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21,407</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21,392</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20,938</w:t>
            </w:r>
          </w:p>
        </w:tc>
        <w:tc>
          <w:tcPr>
            <w:tcW w:w="380" w:type="dxa"/>
            <w:vAlign w:val="bottom"/>
            <w:shd w:val="clear" w:color="auto" w:fill="00D274"/>
          </w:tcPr>
          <w:p>
            <w:pPr>
              <w:jc w:val="center"/>
              <w:ind w:left="63"/>
              <w:spacing w:after="0" w:line="122" w:lineRule="exact"/>
              <w:rPr>
                <w:sz w:val="20"/>
                <w:szCs w:val="20"/>
                <w:color w:val="auto"/>
              </w:rPr>
            </w:pPr>
            <w:r>
              <w:rPr>
                <w:rFonts w:ascii="Arial" w:cs="Arial" w:eastAsia="Arial" w:hAnsi="Arial"/>
                <w:sz w:val="11"/>
                <w:szCs w:val="11"/>
                <w:color w:val="auto"/>
                <w:w w:val="97"/>
              </w:rPr>
              <w:t>353</w:t>
            </w:r>
          </w:p>
        </w:tc>
        <w:tc>
          <w:tcPr>
            <w:tcW w:w="140" w:type="dxa"/>
            <w:vAlign w:val="bottom"/>
            <w:shd w:val="clear" w:color="auto" w:fill="00D274"/>
          </w:tcPr>
          <w:p>
            <w:pPr>
              <w:spacing w:after="0"/>
              <w:rPr>
                <w:sz w:val="11"/>
                <w:szCs w:val="11"/>
                <w:color w:val="auto"/>
              </w:rPr>
            </w:pPr>
          </w:p>
        </w:tc>
        <w:tc>
          <w:tcPr>
            <w:tcW w:w="54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w w:val="99"/>
              </w:rPr>
              <w:t>-814</w:t>
            </w:r>
          </w:p>
        </w:tc>
        <w:tc>
          <w:tcPr>
            <w:tcW w:w="580" w:type="dxa"/>
            <w:vAlign w:val="bottom"/>
            <w:tcBorders>
              <w:right w:val="single" w:sz="8" w:color="auto"/>
            </w:tcBorders>
            <w:shd w:val="clear" w:color="auto" w:fill="E93BAC"/>
          </w:tcPr>
          <w:p>
            <w:pPr>
              <w:jc w:val="center"/>
              <w:spacing w:after="0" w:line="122" w:lineRule="exact"/>
              <w:rPr>
                <w:sz w:val="20"/>
                <w:szCs w:val="20"/>
                <w:color w:val="auto"/>
              </w:rPr>
            </w:pPr>
            <w:r>
              <w:rPr>
                <w:rFonts w:ascii="Arial" w:cs="Arial" w:eastAsia="Arial" w:hAnsi="Arial"/>
                <w:sz w:val="11"/>
                <w:szCs w:val="11"/>
                <w:color w:val="auto"/>
              </w:rPr>
              <w:t>-454</w:t>
            </w:r>
          </w:p>
        </w:tc>
        <w:tc>
          <w:tcPr>
            <w:tcW w:w="460" w:type="dxa"/>
            <w:vAlign w:val="bottom"/>
          </w:tcPr>
          <w:p>
            <w:pPr>
              <w:jc w:val="center"/>
              <w:spacing w:after="0" w:line="122" w:lineRule="exact"/>
              <w:rPr>
                <w:sz w:val="20"/>
                <w:szCs w:val="20"/>
                <w:color w:val="auto"/>
              </w:rPr>
            </w:pPr>
            <w:r>
              <w:rPr>
                <w:rFonts w:ascii="Arial" w:cs="Arial" w:eastAsia="Arial" w:hAnsi="Arial"/>
                <w:sz w:val="11"/>
                <w:szCs w:val="11"/>
                <w:color w:val="auto"/>
              </w:rPr>
              <w:t>1.7%</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7"/>
              </w:rPr>
              <w:t>-3.7%</w:t>
            </w:r>
          </w:p>
        </w:tc>
        <w:tc>
          <w:tcPr>
            <w:tcW w:w="520" w:type="dxa"/>
            <w:vAlign w:val="bottom"/>
            <w:tcBorders>
              <w:right w:val="single" w:sz="8" w:color="auto"/>
            </w:tcBorders>
          </w:tcPr>
          <w:p>
            <w:pPr>
              <w:jc w:val="center"/>
              <w:ind w:right="23"/>
              <w:spacing w:after="0" w:line="122" w:lineRule="exact"/>
              <w:rPr>
                <w:sz w:val="20"/>
                <w:szCs w:val="20"/>
                <w:color w:val="auto"/>
              </w:rPr>
            </w:pPr>
            <w:r>
              <w:rPr>
                <w:rFonts w:ascii="Arial" w:cs="Arial" w:eastAsia="Arial" w:hAnsi="Arial"/>
                <w:sz w:val="11"/>
                <w:szCs w:val="11"/>
                <w:color w:val="auto"/>
                <w:w w:val="97"/>
              </w:rPr>
              <w:t>-2.1%</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16.1%</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15.3%</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15.5%</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16.2%</w:t>
            </w:r>
          </w:p>
        </w:tc>
        <w:tc>
          <w:tcPr>
            <w:tcW w:w="5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15.2%</w:t>
            </w:r>
          </w:p>
        </w:tc>
      </w:tr>
      <w:tr>
        <w:trPr>
          <w:trHeight w:val="107"/>
        </w:trPr>
        <w:tc>
          <w:tcPr>
            <w:tcW w:w="2060" w:type="dxa"/>
            <w:vAlign w:val="bottom"/>
            <w:tcBorders>
              <w:left w:val="single" w:sz="8" w:color="auto"/>
              <w:right w:val="single" w:sz="8" w:color="auto"/>
            </w:tcBorders>
          </w:tcPr>
          <w:p>
            <w:pPr>
              <w:ind w:left="180"/>
              <w:spacing w:after="0" w:line="107" w:lineRule="exact"/>
              <w:rPr>
                <w:sz w:val="20"/>
                <w:szCs w:val="20"/>
                <w:color w:val="auto"/>
              </w:rPr>
            </w:pPr>
            <w:r>
              <w:rPr>
                <w:rFonts w:ascii="Arial" w:cs="Arial" w:eastAsia="Arial" w:hAnsi="Arial"/>
                <w:sz w:val="11"/>
                <w:szCs w:val="11"/>
                <w:b w:val="1"/>
                <w:bCs w:val="1"/>
                <w:color w:val="auto"/>
              </w:rPr>
              <w:t>Retail Banking</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56,944</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59,767</w:t>
            </w:r>
          </w:p>
        </w:tc>
        <w:tc>
          <w:tcPr>
            <w:tcW w:w="6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rPr>
              <w:t>60,764</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53,872</w:t>
            </w:r>
          </w:p>
        </w:tc>
        <w:tc>
          <w:tcPr>
            <w:tcW w:w="6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rPr>
              <w:t>59,307</w:t>
            </w:r>
          </w:p>
        </w:tc>
        <w:tc>
          <w:tcPr>
            <w:tcW w:w="380" w:type="dxa"/>
            <w:vAlign w:val="bottom"/>
          </w:tcPr>
          <w:p>
            <w:pPr>
              <w:jc w:val="center"/>
              <w:ind w:left="63"/>
              <w:spacing w:after="0" w:line="107" w:lineRule="exact"/>
              <w:rPr>
                <w:sz w:val="20"/>
                <w:szCs w:val="20"/>
                <w:color w:val="auto"/>
              </w:rPr>
            </w:pPr>
            <w:r>
              <w:rPr>
                <w:rFonts w:ascii="Arial" w:cs="Arial" w:eastAsia="Arial" w:hAnsi="Arial"/>
                <w:sz w:val="11"/>
                <w:szCs w:val="11"/>
                <w:b w:val="1"/>
                <w:bCs w:val="1"/>
                <w:color w:val="auto"/>
                <w:w w:val="97"/>
              </w:rPr>
              <w:t>997</w:t>
            </w:r>
          </w:p>
        </w:tc>
        <w:tc>
          <w:tcPr>
            <w:tcW w:w="140" w:type="dxa"/>
            <w:vAlign w:val="bottom"/>
          </w:tcPr>
          <w:p>
            <w:pPr>
              <w:spacing w:after="0"/>
              <w:rPr>
                <w:sz w:val="9"/>
                <w:szCs w:val="9"/>
                <w:color w:val="auto"/>
              </w:rPr>
            </w:pP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3,820</w:t>
            </w:r>
          </w:p>
        </w:tc>
        <w:tc>
          <w:tcPr>
            <w:tcW w:w="5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rPr>
              <w:t>5,434</w:t>
            </w:r>
          </w:p>
        </w:tc>
        <w:tc>
          <w:tcPr>
            <w:tcW w:w="4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1.7%</w:t>
            </w:r>
          </w:p>
        </w:tc>
        <w:tc>
          <w:tcPr>
            <w:tcW w:w="6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5"/>
              </w:rPr>
              <w:t>6.7%</w:t>
            </w:r>
          </w:p>
        </w:tc>
        <w:tc>
          <w:tcPr>
            <w:tcW w:w="520" w:type="dxa"/>
            <w:vAlign w:val="bottom"/>
            <w:tcBorders>
              <w:right w:val="single" w:sz="8" w:color="auto"/>
            </w:tcBorders>
          </w:tcPr>
          <w:p>
            <w:pPr>
              <w:jc w:val="center"/>
              <w:ind w:right="23"/>
              <w:spacing w:after="0" w:line="107" w:lineRule="exact"/>
              <w:rPr>
                <w:sz w:val="20"/>
                <w:szCs w:val="20"/>
                <w:color w:val="auto"/>
              </w:rPr>
            </w:pPr>
            <w:r>
              <w:rPr>
                <w:rFonts w:ascii="Arial" w:cs="Arial" w:eastAsia="Arial" w:hAnsi="Arial"/>
                <w:sz w:val="11"/>
                <w:szCs w:val="11"/>
                <w:b w:val="1"/>
                <w:bCs w:val="1"/>
                <w:color w:val="auto"/>
              </w:rPr>
              <w:t>10.1%</w:t>
            </w: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41.3%</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43.4%</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43.9%</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40.8%</w:t>
            </w:r>
          </w:p>
        </w:tc>
        <w:tc>
          <w:tcPr>
            <w:tcW w:w="5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rPr>
              <w:t>43.1%</w:t>
            </w:r>
          </w:p>
        </w:tc>
      </w:tr>
      <w:tr>
        <w:trPr>
          <w:trHeight w:val="122"/>
        </w:trPr>
        <w:tc>
          <w:tcPr>
            <w:tcW w:w="2060" w:type="dxa"/>
            <w:vAlign w:val="bottom"/>
            <w:tcBorders>
              <w:left w:val="single" w:sz="8" w:color="auto"/>
              <w:right w:val="single" w:sz="8" w:color="auto"/>
            </w:tcBorders>
          </w:tcPr>
          <w:p>
            <w:pPr>
              <w:ind w:left="300"/>
              <w:spacing w:after="0" w:line="122" w:lineRule="exact"/>
              <w:rPr>
                <w:sz w:val="20"/>
                <w:szCs w:val="20"/>
                <w:color w:val="auto"/>
              </w:rPr>
            </w:pPr>
            <w:r>
              <w:rPr>
                <w:rFonts w:ascii="Arial" w:cs="Arial" w:eastAsia="Arial" w:hAnsi="Arial"/>
                <w:sz w:val="11"/>
                <w:szCs w:val="11"/>
                <w:color w:val="auto"/>
              </w:rPr>
              <w:t>SME - Business</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5,827</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6,172</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6,245</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5,323</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6,022</w:t>
            </w:r>
          </w:p>
        </w:tc>
        <w:tc>
          <w:tcPr>
            <w:tcW w:w="380" w:type="dxa"/>
            <w:vAlign w:val="bottom"/>
          </w:tcPr>
          <w:p>
            <w:pPr>
              <w:jc w:val="center"/>
              <w:ind w:left="63"/>
              <w:spacing w:after="0" w:line="122" w:lineRule="exact"/>
              <w:rPr>
                <w:sz w:val="20"/>
                <w:szCs w:val="20"/>
                <w:color w:val="auto"/>
              </w:rPr>
            </w:pPr>
            <w:r>
              <w:rPr>
                <w:rFonts w:ascii="Arial" w:cs="Arial" w:eastAsia="Arial" w:hAnsi="Arial"/>
                <w:sz w:val="11"/>
                <w:szCs w:val="11"/>
                <w:color w:val="auto"/>
              </w:rPr>
              <w:t>73</w:t>
            </w:r>
          </w:p>
        </w:tc>
        <w:tc>
          <w:tcPr>
            <w:tcW w:w="140" w:type="dxa"/>
            <w:vAlign w:val="bottom"/>
          </w:tcPr>
          <w:p>
            <w:pPr>
              <w:spacing w:after="0"/>
              <w:rPr>
                <w:sz w:val="10"/>
                <w:szCs w:val="10"/>
                <w:color w:val="auto"/>
              </w:rPr>
            </w:pP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w w:val="97"/>
              </w:rPr>
              <w:t>418</w:t>
            </w:r>
          </w:p>
        </w:tc>
        <w:tc>
          <w:tcPr>
            <w:tcW w:w="580" w:type="dxa"/>
            <w:vAlign w:val="bottom"/>
            <w:tcBorders>
              <w:right w:val="single" w:sz="8" w:color="auto"/>
            </w:tcBorders>
            <w:shd w:val="clear" w:color="auto" w:fill="00D274"/>
          </w:tcPr>
          <w:p>
            <w:pPr>
              <w:jc w:val="center"/>
              <w:spacing w:after="0" w:line="122" w:lineRule="exact"/>
              <w:rPr>
                <w:sz w:val="20"/>
                <w:szCs w:val="20"/>
                <w:color w:val="auto"/>
              </w:rPr>
            </w:pPr>
            <w:r>
              <w:rPr>
                <w:rFonts w:ascii="Arial" w:cs="Arial" w:eastAsia="Arial" w:hAnsi="Arial"/>
                <w:sz w:val="11"/>
                <w:szCs w:val="11"/>
                <w:color w:val="auto"/>
              </w:rPr>
              <w:t>699</w:t>
            </w:r>
          </w:p>
        </w:tc>
        <w:tc>
          <w:tcPr>
            <w:tcW w:w="460" w:type="dxa"/>
            <w:vAlign w:val="bottom"/>
          </w:tcPr>
          <w:p>
            <w:pPr>
              <w:jc w:val="center"/>
              <w:spacing w:after="0" w:line="122" w:lineRule="exact"/>
              <w:rPr>
                <w:sz w:val="20"/>
                <w:szCs w:val="20"/>
                <w:color w:val="auto"/>
              </w:rPr>
            </w:pPr>
            <w:r>
              <w:rPr>
                <w:rFonts w:ascii="Arial" w:cs="Arial" w:eastAsia="Arial" w:hAnsi="Arial"/>
                <w:sz w:val="11"/>
                <w:szCs w:val="11"/>
                <w:color w:val="auto"/>
              </w:rPr>
              <w:t>1.2%</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5"/>
              </w:rPr>
              <w:t>7.2%</w:t>
            </w:r>
          </w:p>
        </w:tc>
        <w:tc>
          <w:tcPr>
            <w:tcW w:w="520" w:type="dxa"/>
            <w:vAlign w:val="bottom"/>
            <w:tcBorders>
              <w:right w:val="single" w:sz="8" w:color="auto"/>
            </w:tcBorders>
          </w:tcPr>
          <w:p>
            <w:pPr>
              <w:jc w:val="center"/>
              <w:ind w:right="23"/>
              <w:spacing w:after="0" w:line="122" w:lineRule="exact"/>
              <w:rPr>
                <w:sz w:val="20"/>
                <w:szCs w:val="20"/>
                <w:color w:val="auto"/>
              </w:rPr>
            </w:pPr>
            <w:r>
              <w:rPr>
                <w:rFonts w:ascii="Arial" w:cs="Arial" w:eastAsia="Arial" w:hAnsi="Arial"/>
                <w:sz w:val="11"/>
                <w:szCs w:val="11"/>
                <w:color w:val="auto"/>
              </w:rPr>
              <w:t>13.1%</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95"/>
              </w:rPr>
              <w:t>4.2%</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4.5%</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4.5%</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4.0%</w:t>
            </w:r>
          </w:p>
        </w:tc>
        <w:tc>
          <w:tcPr>
            <w:tcW w:w="56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color w:val="auto"/>
              </w:rPr>
              <w:t>4.4%</w:t>
            </w:r>
          </w:p>
        </w:tc>
      </w:tr>
      <w:tr>
        <w:trPr>
          <w:trHeight w:val="122"/>
        </w:trPr>
        <w:tc>
          <w:tcPr>
            <w:tcW w:w="2060" w:type="dxa"/>
            <w:vAlign w:val="bottom"/>
            <w:tcBorders>
              <w:left w:val="single" w:sz="8" w:color="auto"/>
              <w:right w:val="single" w:sz="8" w:color="auto"/>
            </w:tcBorders>
          </w:tcPr>
          <w:p>
            <w:pPr>
              <w:ind w:left="300"/>
              <w:spacing w:after="0" w:line="122" w:lineRule="exact"/>
              <w:rPr>
                <w:sz w:val="20"/>
                <w:szCs w:val="20"/>
                <w:color w:val="auto"/>
              </w:rPr>
            </w:pPr>
            <w:r>
              <w:rPr>
                <w:rFonts w:ascii="Arial" w:cs="Arial" w:eastAsia="Arial" w:hAnsi="Arial"/>
                <w:sz w:val="11"/>
                <w:szCs w:val="11"/>
                <w:color w:val="auto"/>
              </w:rPr>
              <w:t>SME - Pyme</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13,180</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14,380</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14,902</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12,466</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14,178</w:t>
            </w:r>
          </w:p>
        </w:tc>
        <w:tc>
          <w:tcPr>
            <w:tcW w:w="380" w:type="dxa"/>
            <w:vAlign w:val="bottom"/>
            <w:shd w:val="clear" w:color="auto" w:fill="00D274"/>
          </w:tcPr>
          <w:p>
            <w:pPr>
              <w:jc w:val="center"/>
              <w:ind w:left="63"/>
              <w:spacing w:after="0" w:line="122" w:lineRule="exact"/>
              <w:rPr>
                <w:sz w:val="20"/>
                <w:szCs w:val="20"/>
                <w:color w:val="auto"/>
              </w:rPr>
            </w:pPr>
            <w:r>
              <w:rPr>
                <w:rFonts w:ascii="Arial" w:cs="Arial" w:eastAsia="Arial" w:hAnsi="Arial"/>
                <w:sz w:val="11"/>
                <w:szCs w:val="11"/>
                <w:color w:val="auto"/>
                <w:w w:val="97"/>
              </w:rPr>
              <w:t>523</w:t>
            </w:r>
          </w:p>
        </w:tc>
        <w:tc>
          <w:tcPr>
            <w:tcW w:w="140" w:type="dxa"/>
            <w:vAlign w:val="bottom"/>
            <w:shd w:val="clear" w:color="auto" w:fill="00D274"/>
          </w:tcPr>
          <w:p>
            <w:pPr>
              <w:spacing w:after="0"/>
              <w:rPr>
                <w:sz w:val="10"/>
                <w:szCs w:val="10"/>
                <w:color w:val="auto"/>
              </w:rPr>
            </w:pP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1,722</w:t>
            </w:r>
          </w:p>
        </w:tc>
        <w:tc>
          <w:tcPr>
            <w:tcW w:w="580" w:type="dxa"/>
            <w:vAlign w:val="bottom"/>
            <w:tcBorders>
              <w:right w:val="single" w:sz="8" w:color="auto"/>
            </w:tcBorders>
            <w:shd w:val="clear" w:color="auto" w:fill="00D274"/>
          </w:tcPr>
          <w:p>
            <w:pPr>
              <w:jc w:val="center"/>
              <w:spacing w:after="0" w:line="122" w:lineRule="exact"/>
              <w:rPr>
                <w:sz w:val="20"/>
                <w:szCs w:val="20"/>
                <w:color w:val="auto"/>
              </w:rPr>
            </w:pPr>
            <w:r>
              <w:rPr>
                <w:rFonts w:ascii="Arial" w:cs="Arial" w:eastAsia="Arial" w:hAnsi="Arial"/>
                <w:sz w:val="11"/>
                <w:szCs w:val="11"/>
                <w:color w:val="auto"/>
              </w:rPr>
              <w:t>1,712</w:t>
            </w:r>
          </w:p>
        </w:tc>
        <w:tc>
          <w:tcPr>
            <w:tcW w:w="460" w:type="dxa"/>
            <w:vAlign w:val="bottom"/>
          </w:tcPr>
          <w:p>
            <w:pPr>
              <w:jc w:val="center"/>
              <w:spacing w:after="0" w:line="122" w:lineRule="exact"/>
              <w:rPr>
                <w:sz w:val="20"/>
                <w:szCs w:val="20"/>
                <w:color w:val="auto"/>
              </w:rPr>
            </w:pPr>
            <w:r>
              <w:rPr>
                <w:rFonts w:ascii="Arial" w:cs="Arial" w:eastAsia="Arial" w:hAnsi="Arial"/>
                <w:sz w:val="11"/>
                <w:szCs w:val="11"/>
                <w:color w:val="auto"/>
              </w:rPr>
              <w:t>3.6%</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13.1%</w:t>
            </w:r>
          </w:p>
        </w:tc>
        <w:tc>
          <w:tcPr>
            <w:tcW w:w="520" w:type="dxa"/>
            <w:vAlign w:val="bottom"/>
            <w:tcBorders>
              <w:right w:val="single" w:sz="8" w:color="auto"/>
            </w:tcBorders>
          </w:tcPr>
          <w:p>
            <w:pPr>
              <w:jc w:val="center"/>
              <w:ind w:right="23"/>
              <w:spacing w:after="0" w:line="122" w:lineRule="exact"/>
              <w:rPr>
                <w:sz w:val="20"/>
                <w:szCs w:val="20"/>
                <w:color w:val="auto"/>
              </w:rPr>
            </w:pPr>
            <w:r>
              <w:rPr>
                <w:rFonts w:ascii="Arial" w:cs="Arial" w:eastAsia="Arial" w:hAnsi="Arial"/>
                <w:sz w:val="11"/>
                <w:szCs w:val="11"/>
                <w:color w:val="auto"/>
              </w:rPr>
              <w:t>13.7%</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95"/>
              </w:rPr>
              <w:t>9.6%</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10.4%</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10.8%</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9.4%</w:t>
            </w:r>
          </w:p>
        </w:tc>
        <w:tc>
          <w:tcPr>
            <w:tcW w:w="5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10.3%</w:t>
            </w:r>
          </w:p>
        </w:tc>
      </w:tr>
      <w:tr>
        <w:trPr>
          <w:trHeight w:val="137"/>
        </w:trPr>
        <w:tc>
          <w:tcPr>
            <w:tcW w:w="2060" w:type="dxa"/>
            <w:vAlign w:val="bottom"/>
            <w:tcBorders>
              <w:left w:val="single" w:sz="8" w:color="auto"/>
              <w:right w:val="single" w:sz="8" w:color="auto"/>
            </w:tcBorders>
          </w:tcPr>
          <w:p>
            <w:pPr>
              <w:ind w:left="300"/>
              <w:spacing w:after="0" w:line="122" w:lineRule="exact"/>
              <w:rPr>
                <w:sz w:val="20"/>
                <w:szCs w:val="20"/>
                <w:color w:val="auto"/>
              </w:rPr>
            </w:pPr>
            <w:r>
              <w:rPr>
                <w:rFonts w:ascii="Arial" w:cs="Arial" w:eastAsia="Arial" w:hAnsi="Arial"/>
                <w:sz w:val="11"/>
                <w:szCs w:val="11"/>
                <w:color w:val="auto"/>
              </w:rPr>
              <w:t>Mortgage</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20,073</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20,712</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21,061</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19,484</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20,626</w:t>
            </w:r>
          </w:p>
        </w:tc>
        <w:tc>
          <w:tcPr>
            <w:tcW w:w="380" w:type="dxa"/>
            <w:vAlign w:val="bottom"/>
            <w:shd w:val="clear" w:color="auto" w:fill="00D274"/>
          </w:tcPr>
          <w:p>
            <w:pPr>
              <w:jc w:val="center"/>
              <w:ind w:left="63"/>
              <w:spacing w:after="0" w:line="122" w:lineRule="exact"/>
              <w:rPr>
                <w:sz w:val="20"/>
                <w:szCs w:val="20"/>
                <w:color w:val="auto"/>
              </w:rPr>
            </w:pPr>
            <w:r>
              <w:rPr>
                <w:rFonts w:ascii="Arial" w:cs="Arial" w:eastAsia="Arial" w:hAnsi="Arial"/>
                <w:sz w:val="11"/>
                <w:szCs w:val="11"/>
                <w:color w:val="auto"/>
                <w:w w:val="97"/>
              </w:rPr>
              <w:t>349</w:t>
            </w:r>
          </w:p>
        </w:tc>
        <w:tc>
          <w:tcPr>
            <w:tcW w:w="140" w:type="dxa"/>
            <w:vAlign w:val="bottom"/>
            <w:shd w:val="clear" w:color="auto" w:fill="00D274"/>
          </w:tcPr>
          <w:p>
            <w:pPr>
              <w:spacing w:after="0"/>
              <w:rPr>
                <w:sz w:val="11"/>
                <w:szCs w:val="11"/>
                <w:color w:val="auto"/>
              </w:rPr>
            </w:pP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w w:val="97"/>
              </w:rPr>
              <w:t>989</w:t>
            </w:r>
          </w:p>
        </w:tc>
        <w:tc>
          <w:tcPr>
            <w:tcW w:w="580" w:type="dxa"/>
            <w:vAlign w:val="bottom"/>
            <w:tcBorders>
              <w:right w:val="single" w:sz="8" w:color="auto"/>
            </w:tcBorders>
            <w:shd w:val="clear" w:color="auto" w:fill="00D274"/>
          </w:tcPr>
          <w:p>
            <w:pPr>
              <w:jc w:val="center"/>
              <w:spacing w:after="0" w:line="122" w:lineRule="exact"/>
              <w:rPr>
                <w:sz w:val="20"/>
                <w:szCs w:val="20"/>
                <w:color w:val="auto"/>
              </w:rPr>
            </w:pPr>
            <w:r>
              <w:rPr>
                <w:rFonts w:ascii="Arial" w:cs="Arial" w:eastAsia="Arial" w:hAnsi="Arial"/>
                <w:sz w:val="11"/>
                <w:szCs w:val="11"/>
                <w:color w:val="auto"/>
              </w:rPr>
              <w:t>1,142</w:t>
            </w:r>
          </w:p>
        </w:tc>
        <w:tc>
          <w:tcPr>
            <w:tcW w:w="460" w:type="dxa"/>
            <w:vAlign w:val="bottom"/>
          </w:tcPr>
          <w:p>
            <w:pPr>
              <w:jc w:val="center"/>
              <w:spacing w:after="0" w:line="122" w:lineRule="exact"/>
              <w:rPr>
                <w:sz w:val="20"/>
                <w:szCs w:val="20"/>
                <w:color w:val="auto"/>
              </w:rPr>
            </w:pPr>
            <w:r>
              <w:rPr>
                <w:rFonts w:ascii="Arial" w:cs="Arial" w:eastAsia="Arial" w:hAnsi="Arial"/>
                <w:sz w:val="11"/>
                <w:szCs w:val="11"/>
                <w:color w:val="auto"/>
              </w:rPr>
              <w:t>1.7%</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5"/>
              </w:rPr>
              <w:t>4.9%</w:t>
            </w:r>
          </w:p>
        </w:tc>
        <w:tc>
          <w:tcPr>
            <w:tcW w:w="52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color w:val="auto"/>
              </w:rPr>
              <w:t>5.9%</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14.6%</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15.0%</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15.2%</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14.8%</w:t>
            </w:r>
          </w:p>
        </w:tc>
        <w:tc>
          <w:tcPr>
            <w:tcW w:w="5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15.0%</w:t>
            </w:r>
          </w:p>
        </w:tc>
      </w:tr>
      <w:tr>
        <w:trPr>
          <w:trHeight w:val="107"/>
        </w:trPr>
        <w:tc>
          <w:tcPr>
            <w:tcW w:w="2060" w:type="dxa"/>
            <w:vAlign w:val="bottom"/>
            <w:tcBorders>
              <w:left w:val="single" w:sz="8" w:color="auto"/>
              <w:right w:val="single" w:sz="8" w:color="auto"/>
            </w:tcBorders>
          </w:tcPr>
          <w:p>
            <w:pPr>
              <w:ind w:left="300"/>
              <w:spacing w:after="0" w:line="107" w:lineRule="exact"/>
              <w:rPr>
                <w:sz w:val="20"/>
                <w:szCs w:val="20"/>
                <w:color w:val="auto"/>
              </w:rPr>
            </w:pPr>
            <w:r>
              <w:rPr>
                <w:rFonts w:ascii="Arial" w:cs="Arial" w:eastAsia="Arial" w:hAnsi="Arial"/>
                <w:sz w:val="11"/>
                <w:szCs w:val="11"/>
                <w:color w:val="auto"/>
              </w:rPr>
              <w:t>Consumer</w:t>
            </w:r>
          </w:p>
        </w:tc>
        <w:tc>
          <w:tcPr>
            <w:tcW w:w="600" w:type="dxa"/>
            <w:vAlign w:val="bottom"/>
          </w:tcPr>
          <w:p>
            <w:pPr>
              <w:jc w:val="center"/>
              <w:spacing w:after="0" w:line="107" w:lineRule="exact"/>
              <w:rPr>
                <w:sz w:val="20"/>
                <w:szCs w:val="20"/>
                <w:color w:val="auto"/>
              </w:rPr>
            </w:pPr>
            <w:r>
              <w:rPr>
                <w:rFonts w:ascii="Arial" w:cs="Arial" w:eastAsia="Arial" w:hAnsi="Arial"/>
                <w:sz w:val="11"/>
                <w:szCs w:val="11"/>
                <w:color w:val="auto"/>
              </w:rPr>
              <w:t>12,738</w:t>
            </w:r>
          </w:p>
        </w:tc>
        <w:tc>
          <w:tcPr>
            <w:tcW w:w="600" w:type="dxa"/>
            <w:vAlign w:val="bottom"/>
          </w:tcPr>
          <w:p>
            <w:pPr>
              <w:jc w:val="center"/>
              <w:spacing w:after="0" w:line="107" w:lineRule="exact"/>
              <w:rPr>
                <w:sz w:val="20"/>
                <w:szCs w:val="20"/>
                <w:color w:val="auto"/>
              </w:rPr>
            </w:pPr>
            <w:r>
              <w:rPr>
                <w:rFonts w:ascii="Arial" w:cs="Arial" w:eastAsia="Arial" w:hAnsi="Arial"/>
                <w:sz w:val="11"/>
                <w:szCs w:val="11"/>
                <w:color w:val="auto"/>
              </w:rPr>
              <w:t>12,654</w:t>
            </w:r>
          </w:p>
        </w:tc>
        <w:tc>
          <w:tcPr>
            <w:tcW w:w="6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rPr>
              <w:t>12,604</w:t>
            </w:r>
          </w:p>
        </w:tc>
        <w:tc>
          <w:tcPr>
            <w:tcW w:w="580" w:type="dxa"/>
            <w:vAlign w:val="bottom"/>
          </w:tcPr>
          <w:p>
            <w:pPr>
              <w:jc w:val="center"/>
              <w:spacing w:after="0" w:line="107" w:lineRule="exact"/>
              <w:rPr>
                <w:sz w:val="20"/>
                <w:szCs w:val="20"/>
                <w:color w:val="auto"/>
              </w:rPr>
            </w:pPr>
            <w:r>
              <w:rPr>
                <w:rFonts w:ascii="Arial" w:cs="Arial" w:eastAsia="Arial" w:hAnsi="Arial"/>
                <w:sz w:val="11"/>
                <w:szCs w:val="11"/>
                <w:color w:val="auto"/>
              </w:rPr>
              <w:t>12,000</w:t>
            </w:r>
          </w:p>
        </w:tc>
        <w:tc>
          <w:tcPr>
            <w:tcW w:w="6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rPr>
              <w:t>12,753</w:t>
            </w:r>
          </w:p>
        </w:tc>
        <w:tc>
          <w:tcPr>
            <w:tcW w:w="380" w:type="dxa"/>
            <w:vAlign w:val="bottom"/>
          </w:tcPr>
          <w:p>
            <w:pPr>
              <w:jc w:val="center"/>
              <w:ind w:left="63"/>
              <w:spacing w:after="0" w:line="107" w:lineRule="exact"/>
              <w:rPr>
                <w:sz w:val="20"/>
                <w:szCs w:val="20"/>
                <w:color w:val="auto"/>
              </w:rPr>
            </w:pPr>
            <w:r>
              <w:rPr>
                <w:rFonts w:ascii="Arial" w:cs="Arial" w:eastAsia="Arial" w:hAnsi="Arial"/>
                <w:sz w:val="11"/>
                <w:szCs w:val="11"/>
                <w:color w:val="auto"/>
              </w:rPr>
              <w:t>-50</w:t>
            </w:r>
          </w:p>
        </w:tc>
        <w:tc>
          <w:tcPr>
            <w:tcW w:w="140" w:type="dxa"/>
            <w:vAlign w:val="bottom"/>
          </w:tcPr>
          <w:p>
            <w:pPr>
              <w:spacing w:after="0"/>
              <w:rPr>
                <w:sz w:val="9"/>
                <w:szCs w:val="9"/>
                <w:color w:val="auto"/>
              </w:rPr>
            </w:pPr>
          </w:p>
        </w:tc>
        <w:tc>
          <w:tcPr>
            <w:tcW w:w="540" w:type="dxa"/>
            <w:vAlign w:val="bottom"/>
          </w:tcPr>
          <w:p>
            <w:pPr>
              <w:jc w:val="center"/>
              <w:spacing w:after="0" w:line="107" w:lineRule="exact"/>
              <w:rPr>
                <w:sz w:val="20"/>
                <w:szCs w:val="20"/>
                <w:color w:val="auto"/>
              </w:rPr>
            </w:pPr>
            <w:r>
              <w:rPr>
                <w:rFonts w:ascii="Arial" w:cs="Arial" w:eastAsia="Arial" w:hAnsi="Arial"/>
                <w:sz w:val="11"/>
                <w:szCs w:val="11"/>
                <w:color w:val="auto"/>
                <w:w w:val="99"/>
              </w:rPr>
              <w:t>-134</w:t>
            </w:r>
          </w:p>
        </w:tc>
        <w:tc>
          <w:tcPr>
            <w:tcW w:w="580" w:type="dxa"/>
            <w:vAlign w:val="bottom"/>
            <w:tcBorders>
              <w:right w:val="single" w:sz="8" w:color="auto"/>
            </w:tcBorders>
            <w:shd w:val="clear" w:color="auto" w:fill="00D274"/>
          </w:tcPr>
          <w:p>
            <w:pPr>
              <w:jc w:val="center"/>
              <w:spacing w:after="0" w:line="107" w:lineRule="exact"/>
              <w:rPr>
                <w:sz w:val="20"/>
                <w:szCs w:val="20"/>
                <w:color w:val="auto"/>
              </w:rPr>
            </w:pPr>
            <w:r>
              <w:rPr>
                <w:rFonts w:ascii="Arial" w:cs="Arial" w:eastAsia="Arial" w:hAnsi="Arial"/>
                <w:sz w:val="11"/>
                <w:szCs w:val="11"/>
                <w:color w:val="auto"/>
              </w:rPr>
              <w:t>753</w:t>
            </w:r>
          </w:p>
        </w:tc>
        <w:tc>
          <w:tcPr>
            <w:tcW w:w="460" w:type="dxa"/>
            <w:vAlign w:val="bottom"/>
          </w:tcPr>
          <w:p>
            <w:pPr>
              <w:jc w:val="center"/>
              <w:spacing w:after="0" w:line="107" w:lineRule="exact"/>
              <w:rPr>
                <w:sz w:val="20"/>
                <w:szCs w:val="20"/>
                <w:color w:val="auto"/>
              </w:rPr>
            </w:pPr>
            <w:r>
              <w:rPr>
                <w:rFonts w:ascii="Arial" w:cs="Arial" w:eastAsia="Arial" w:hAnsi="Arial"/>
                <w:sz w:val="11"/>
                <w:szCs w:val="11"/>
                <w:color w:val="auto"/>
              </w:rPr>
              <w:t>-0.4%</w:t>
            </w:r>
          </w:p>
        </w:tc>
        <w:tc>
          <w:tcPr>
            <w:tcW w:w="680" w:type="dxa"/>
            <w:vAlign w:val="bottom"/>
          </w:tcPr>
          <w:p>
            <w:pPr>
              <w:jc w:val="center"/>
              <w:spacing w:after="0" w:line="107" w:lineRule="exact"/>
              <w:rPr>
                <w:sz w:val="20"/>
                <w:szCs w:val="20"/>
                <w:color w:val="auto"/>
              </w:rPr>
            </w:pPr>
            <w:r>
              <w:rPr>
                <w:rFonts w:ascii="Arial" w:cs="Arial" w:eastAsia="Arial" w:hAnsi="Arial"/>
                <w:sz w:val="11"/>
                <w:szCs w:val="11"/>
                <w:color w:val="auto"/>
                <w:w w:val="97"/>
              </w:rPr>
              <w:t>-1.0%</w:t>
            </w:r>
          </w:p>
        </w:tc>
        <w:tc>
          <w:tcPr>
            <w:tcW w:w="520" w:type="dxa"/>
            <w:vAlign w:val="bottom"/>
            <w:tcBorders>
              <w:right w:val="single" w:sz="8" w:color="auto"/>
            </w:tcBorders>
          </w:tcPr>
          <w:p>
            <w:pPr>
              <w:jc w:val="center"/>
              <w:ind w:right="3"/>
              <w:spacing w:after="0" w:line="107" w:lineRule="exact"/>
              <w:rPr>
                <w:sz w:val="20"/>
                <w:szCs w:val="20"/>
                <w:color w:val="auto"/>
              </w:rPr>
            </w:pPr>
            <w:r>
              <w:rPr>
                <w:rFonts w:ascii="Arial" w:cs="Arial" w:eastAsia="Arial" w:hAnsi="Arial"/>
                <w:sz w:val="11"/>
                <w:szCs w:val="11"/>
                <w:color w:val="auto"/>
              </w:rPr>
              <w:t>6.3%</w:t>
            </w:r>
          </w:p>
        </w:tc>
        <w:tc>
          <w:tcPr>
            <w:tcW w:w="540" w:type="dxa"/>
            <w:vAlign w:val="bottom"/>
          </w:tcPr>
          <w:p>
            <w:pPr>
              <w:jc w:val="center"/>
              <w:spacing w:after="0" w:line="107" w:lineRule="exact"/>
              <w:rPr>
                <w:sz w:val="20"/>
                <w:szCs w:val="20"/>
                <w:color w:val="auto"/>
              </w:rPr>
            </w:pPr>
            <w:r>
              <w:rPr>
                <w:rFonts w:ascii="Arial" w:cs="Arial" w:eastAsia="Arial" w:hAnsi="Arial"/>
                <w:sz w:val="11"/>
                <w:szCs w:val="11"/>
                <w:color w:val="auto"/>
                <w:w w:val="95"/>
              </w:rPr>
              <w:t>9.2%</w:t>
            </w:r>
          </w:p>
        </w:tc>
        <w:tc>
          <w:tcPr>
            <w:tcW w:w="600" w:type="dxa"/>
            <w:vAlign w:val="bottom"/>
          </w:tcPr>
          <w:p>
            <w:pPr>
              <w:jc w:val="center"/>
              <w:spacing w:after="0" w:line="107" w:lineRule="exact"/>
              <w:rPr>
                <w:sz w:val="20"/>
                <w:szCs w:val="20"/>
                <w:color w:val="auto"/>
              </w:rPr>
            </w:pPr>
            <w:r>
              <w:rPr>
                <w:rFonts w:ascii="Arial" w:cs="Arial" w:eastAsia="Arial" w:hAnsi="Arial"/>
                <w:sz w:val="11"/>
                <w:szCs w:val="11"/>
                <w:color w:val="auto"/>
              </w:rPr>
              <w:t>9.2%</w:t>
            </w:r>
          </w:p>
        </w:tc>
        <w:tc>
          <w:tcPr>
            <w:tcW w:w="580" w:type="dxa"/>
            <w:vAlign w:val="bottom"/>
          </w:tcPr>
          <w:p>
            <w:pPr>
              <w:jc w:val="center"/>
              <w:spacing w:after="0" w:line="107" w:lineRule="exact"/>
              <w:rPr>
                <w:sz w:val="20"/>
                <w:szCs w:val="20"/>
                <w:color w:val="auto"/>
              </w:rPr>
            </w:pPr>
            <w:r>
              <w:rPr>
                <w:rFonts w:ascii="Arial" w:cs="Arial" w:eastAsia="Arial" w:hAnsi="Arial"/>
                <w:sz w:val="11"/>
                <w:szCs w:val="11"/>
                <w:color w:val="auto"/>
              </w:rPr>
              <w:t>9.1%</w:t>
            </w:r>
          </w:p>
        </w:tc>
        <w:tc>
          <w:tcPr>
            <w:tcW w:w="600" w:type="dxa"/>
            <w:vAlign w:val="bottom"/>
          </w:tcPr>
          <w:p>
            <w:pPr>
              <w:jc w:val="center"/>
              <w:ind w:right="3"/>
              <w:spacing w:after="0" w:line="107" w:lineRule="exact"/>
              <w:rPr>
                <w:sz w:val="20"/>
                <w:szCs w:val="20"/>
                <w:color w:val="auto"/>
              </w:rPr>
            </w:pPr>
            <w:r>
              <w:rPr>
                <w:rFonts w:ascii="Arial" w:cs="Arial" w:eastAsia="Arial" w:hAnsi="Arial"/>
                <w:sz w:val="11"/>
                <w:szCs w:val="11"/>
                <w:color w:val="auto"/>
              </w:rPr>
              <w:t>9.1%</w:t>
            </w:r>
          </w:p>
        </w:tc>
        <w:tc>
          <w:tcPr>
            <w:tcW w:w="560" w:type="dxa"/>
            <w:vAlign w:val="bottom"/>
            <w:tcBorders>
              <w:right w:val="single" w:sz="8" w:color="auto"/>
            </w:tcBorders>
          </w:tcPr>
          <w:p>
            <w:pPr>
              <w:jc w:val="center"/>
              <w:ind w:right="3"/>
              <w:spacing w:after="0" w:line="107" w:lineRule="exact"/>
              <w:rPr>
                <w:sz w:val="20"/>
                <w:szCs w:val="20"/>
                <w:color w:val="auto"/>
              </w:rPr>
            </w:pPr>
            <w:r>
              <w:rPr>
                <w:rFonts w:ascii="Arial" w:cs="Arial" w:eastAsia="Arial" w:hAnsi="Arial"/>
                <w:sz w:val="11"/>
                <w:szCs w:val="11"/>
                <w:color w:val="auto"/>
              </w:rPr>
              <w:t>9.3%</w:t>
            </w:r>
          </w:p>
        </w:tc>
      </w:tr>
      <w:tr>
        <w:trPr>
          <w:trHeight w:val="137"/>
        </w:trPr>
        <w:tc>
          <w:tcPr>
            <w:tcW w:w="2060" w:type="dxa"/>
            <w:vAlign w:val="bottom"/>
            <w:tcBorders>
              <w:left w:val="single" w:sz="8" w:color="auto"/>
              <w:right w:val="single" w:sz="8" w:color="auto"/>
            </w:tcBorders>
          </w:tcPr>
          <w:p>
            <w:pPr>
              <w:ind w:left="300"/>
              <w:spacing w:after="0" w:line="122" w:lineRule="exact"/>
              <w:rPr>
                <w:sz w:val="20"/>
                <w:szCs w:val="20"/>
                <w:color w:val="auto"/>
              </w:rPr>
            </w:pPr>
            <w:r>
              <w:rPr>
                <w:rFonts w:ascii="Arial" w:cs="Arial" w:eastAsia="Arial" w:hAnsi="Arial"/>
                <w:sz w:val="11"/>
                <w:szCs w:val="11"/>
                <w:color w:val="auto"/>
              </w:rPr>
              <w:t>Credit Card</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5,126</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5,848</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5,951</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4,599</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5,728</w:t>
            </w:r>
          </w:p>
        </w:tc>
        <w:tc>
          <w:tcPr>
            <w:tcW w:w="380" w:type="dxa"/>
            <w:vAlign w:val="bottom"/>
          </w:tcPr>
          <w:p>
            <w:pPr>
              <w:jc w:val="center"/>
              <w:ind w:left="63"/>
              <w:spacing w:after="0" w:line="122" w:lineRule="exact"/>
              <w:rPr>
                <w:sz w:val="20"/>
                <w:szCs w:val="20"/>
                <w:color w:val="auto"/>
              </w:rPr>
            </w:pPr>
            <w:r>
              <w:rPr>
                <w:rFonts w:ascii="Arial" w:cs="Arial" w:eastAsia="Arial" w:hAnsi="Arial"/>
                <w:sz w:val="11"/>
                <w:szCs w:val="11"/>
                <w:color w:val="auto"/>
                <w:w w:val="97"/>
              </w:rPr>
              <w:t>102</w:t>
            </w:r>
          </w:p>
        </w:tc>
        <w:tc>
          <w:tcPr>
            <w:tcW w:w="140" w:type="dxa"/>
            <w:vAlign w:val="bottom"/>
          </w:tcPr>
          <w:p>
            <w:pPr>
              <w:spacing w:after="0"/>
              <w:rPr>
                <w:sz w:val="11"/>
                <w:szCs w:val="11"/>
                <w:color w:val="auto"/>
              </w:rPr>
            </w:pP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w w:val="97"/>
              </w:rPr>
              <w:t>825</w:t>
            </w:r>
          </w:p>
        </w:tc>
        <w:tc>
          <w:tcPr>
            <w:tcW w:w="580" w:type="dxa"/>
            <w:vAlign w:val="bottom"/>
            <w:tcBorders>
              <w:right w:val="single" w:sz="8" w:color="auto"/>
            </w:tcBorders>
            <w:shd w:val="clear" w:color="auto" w:fill="00D274"/>
          </w:tcPr>
          <w:p>
            <w:pPr>
              <w:jc w:val="center"/>
              <w:spacing w:after="0" w:line="122" w:lineRule="exact"/>
              <w:rPr>
                <w:sz w:val="20"/>
                <w:szCs w:val="20"/>
                <w:color w:val="auto"/>
              </w:rPr>
            </w:pPr>
            <w:r>
              <w:rPr>
                <w:rFonts w:ascii="Arial" w:cs="Arial" w:eastAsia="Arial" w:hAnsi="Arial"/>
                <w:sz w:val="11"/>
                <w:szCs w:val="11"/>
                <w:color w:val="auto"/>
              </w:rPr>
              <w:t>1,129</w:t>
            </w:r>
          </w:p>
        </w:tc>
        <w:tc>
          <w:tcPr>
            <w:tcW w:w="460" w:type="dxa"/>
            <w:vAlign w:val="bottom"/>
          </w:tcPr>
          <w:p>
            <w:pPr>
              <w:jc w:val="center"/>
              <w:spacing w:after="0" w:line="122" w:lineRule="exact"/>
              <w:rPr>
                <w:sz w:val="20"/>
                <w:szCs w:val="20"/>
                <w:color w:val="auto"/>
              </w:rPr>
            </w:pPr>
            <w:r>
              <w:rPr>
                <w:rFonts w:ascii="Arial" w:cs="Arial" w:eastAsia="Arial" w:hAnsi="Arial"/>
                <w:sz w:val="11"/>
                <w:szCs w:val="11"/>
                <w:color w:val="auto"/>
              </w:rPr>
              <w:t>1.7%</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16.1%</w:t>
            </w:r>
          </w:p>
        </w:tc>
        <w:tc>
          <w:tcPr>
            <w:tcW w:w="520" w:type="dxa"/>
            <w:vAlign w:val="bottom"/>
            <w:tcBorders>
              <w:right w:val="single" w:sz="8" w:color="auto"/>
            </w:tcBorders>
          </w:tcPr>
          <w:p>
            <w:pPr>
              <w:jc w:val="center"/>
              <w:ind w:right="23"/>
              <w:spacing w:after="0" w:line="122" w:lineRule="exact"/>
              <w:rPr>
                <w:sz w:val="20"/>
                <w:szCs w:val="20"/>
                <w:color w:val="auto"/>
              </w:rPr>
            </w:pPr>
            <w:r>
              <w:rPr>
                <w:rFonts w:ascii="Arial" w:cs="Arial" w:eastAsia="Arial" w:hAnsi="Arial"/>
                <w:sz w:val="11"/>
                <w:szCs w:val="11"/>
                <w:color w:val="auto"/>
              </w:rPr>
              <w:t>24.5%</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95"/>
              </w:rPr>
              <w:t>3.7%</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4.2%</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4.3%</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3.5%</w:t>
            </w:r>
          </w:p>
        </w:tc>
        <w:tc>
          <w:tcPr>
            <w:tcW w:w="56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color w:val="auto"/>
              </w:rPr>
              <w:t>4.2%</w:t>
            </w:r>
          </w:p>
        </w:tc>
      </w:tr>
      <w:tr>
        <w:trPr>
          <w:trHeight w:val="122"/>
        </w:trPr>
        <w:tc>
          <w:tcPr>
            <w:tcW w:w="2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Mibanco</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13,121</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13,642</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13,102</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12,407</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13,452</w:t>
            </w:r>
          </w:p>
        </w:tc>
        <w:tc>
          <w:tcPr>
            <w:tcW w:w="380" w:type="dxa"/>
            <w:vAlign w:val="bottom"/>
            <w:shd w:val="clear" w:color="auto" w:fill="E93BAC"/>
          </w:tcPr>
          <w:p>
            <w:pPr>
              <w:jc w:val="center"/>
              <w:ind w:left="63"/>
              <w:spacing w:after="0" w:line="107" w:lineRule="exact"/>
              <w:rPr>
                <w:sz w:val="20"/>
                <w:szCs w:val="20"/>
                <w:color w:val="auto"/>
              </w:rPr>
            </w:pPr>
            <w:r>
              <w:rPr>
                <w:rFonts w:ascii="Arial" w:cs="Arial" w:eastAsia="Arial" w:hAnsi="Arial"/>
                <w:sz w:val="11"/>
                <w:szCs w:val="11"/>
                <w:color w:val="auto"/>
                <w:w w:val="99"/>
              </w:rPr>
              <w:t>-539</w:t>
            </w:r>
          </w:p>
        </w:tc>
        <w:tc>
          <w:tcPr>
            <w:tcW w:w="140" w:type="dxa"/>
            <w:vAlign w:val="bottom"/>
            <w:shd w:val="clear" w:color="auto" w:fill="E93BAC"/>
          </w:tcPr>
          <w:p>
            <w:pPr>
              <w:spacing w:after="0"/>
              <w:rPr>
                <w:sz w:val="10"/>
                <w:szCs w:val="10"/>
                <w:color w:val="auto"/>
              </w:rPr>
            </w:pP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-19</w:t>
            </w:r>
          </w:p>
        </w:tc>
        <w:tc>
          <w:tcPr>
            <w:tcW w:w="580" w:type="dxa"/>
            <w:vAlign w:val="bottom"/>
            <w:tcBorders>
              <w:right w:val="single" w:sz="8" w:color="auto"/>
            </w:tcBorders>
            <w:shd w:val="clear" w:color="auto" w:fill="00D274"/>
          </w:tcPr>
          <w:p>
            <w:pPr>
              <w:jc w:val="center"/>
              <w:spacing w:after="0" w:line="122" w:lineRule="exact"/>
              <w:rPr>
                <w:sz w:val="20"/>
                <w:szCs w:val="20"/>
                <w:color w:val="auto"/>
              </w:rPr>
            </w:pPr>
            <w:r>
              <w:rPr>
                <w:rFonts w:ascii="Arial" w:cs="Arial" w:eastAsia="Arial" w:hAnsi="Arial"/>
                <w:sz w:val="11"/>
                <w:szCs w:val="11"/>
                <w:b w:val="1"/>
                <w:bCs w:val="1"/>
                <w:color w:val="auto"/>
              </w:rPr>
              <w:t>1,045</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-4.0%</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-0.1%</w:t>
            </w:r>
          </w:p>
        </w:tc>
        <w:tc>
          <w:tcPr>
            <w:tcW w:w="52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b w:val="1"/>
                <w:bCs w:val="1"/>
                <w:color w:val="auto"/>
              </w:rPr>
              <w:t>8.4%</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9.5%</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9.9%</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9.5%</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rPr>
              <w:t>9.4%</w:t>
            </w:r>
          </w:p>
        </w:tc>
        <w:tc>
          <w:tcPr>
            <w:tcW w:w="56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b w:val="1"/>
                <w:bCs w:val="1"/>
                <w:color w:val="auto"/>
              </w:rPr>
              <w:t>9.8%</w:t>
            </w:r>
          </w:p>
        </w:tc>
      </w:tr>
      <w:tr>
        <w:trPr>
          <w:trHeight w:val="107"/>
        </w:trPr>
        <w:tc>
          <w:tcPr>
            <w:tcW w:w="2060" w:type="dxa"/>
            <w:vAlign w:val="bottom"/>
            <w:tcBorders>
              <w:left w:val="single" w:sz="8" w:color="auto"/>
              <w:right w:val="single" w:sz="8" w:color="auto"/>
            </w:tcBorders>
          </w:tcPr>
          <w:p>
            <w:pPr>
              <w:ind w:left="100"/>
              <w:spacing w:after="0" w:line="107" w:lineRule="exact"/>
              <w:rPr>
                <w:sz w:val="20"/>
                <w:szCs w:val="20"/>
                <w:color w:val="auto"/>
              </w:rPr>
            </w:pPr>
            <w:r>
              <w:rPr>
                <w:rFonts w:ascii="Arial" w:cs="Arial" w:eastAsia="Arial" w:hAnsi="Arial"/>
                <w:sz w:val="11"/>
                <w:szCs w:val="11"/>
                <w:b w:val="1"/>
                <w:bCs w:val="1"/>
                <w:color w:val="auto"/>
              </w:rPr>
              <w:t>Mibanco Colombia</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1,174</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1,557</w:t>
            </w:r>
          </w:p>
        </w:tc>
        <w:tc>
          <w:tcPr>
            <w:tcW w:w="6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rPr>
              <w:t>1,667</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1,142</w:t>
            </w:r>
          </w:p>
        </w:tc>
        <w:tc>
          <w:tcPr>
            <w:tcW w:w="6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rPr>
              <w:t>1,454</w:t>
            </w:r>
          </w:p>
        </w:tc>
        <w:tc>
          <w:tcPr>
            <w:tcW w:w="380" w:type="dxa"/>
            <w:vAlign w:val="bottom"/>
          </w:tcPr>
          <w:p>
            <w:pPr>
              <w:jc w:val="center"/>
              <w:ind w:left="63"/>
              <w:spacing w:after="0" w:line="107" w:lineRule="exact"/>
              <w:rPr>
                <w:sz w:val="20"/>
                <w:szCs w:val="20"/>
                <w:color w:val="auto"/>
              </w:rPr>
            </w:pPr>
            <w:r>
              <w:rPr>
                <w:rFonts w:ascii="Arial" w:cs="Arial" w:eastAsia="Arial" w:hAnsi="Arial"/>
                <w:sz w:val="11"/>
                <w:szCs w:val="11"/>
                <w:b w:val="1"/>
                <w:bCs w:val="1"/>
                <w:color w:val="auto"/>
                <w:w w:val="97"/>
              </w:rPr>
              <w:t>110</w:t>
            </w:r>
          </w:p>
        </w:tc>
        <w:tc>
          <w:tcPr>
            <w:tcW w:w="140" w:type="dxa"/>
            <w:vAlign w:val="bottom"/>
          </w:tcPr>
          <w:p>
            <w:pPr>
              <w:spacing w:after="0"/>
              <w:rPr>
                <w:sz w:val="9"/>
                <w:szCs w:val="9"/>
                <w:color w:val="auto"/>
              </w:rPr>
            </w:pP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7"/>
              </w:rPr>
              <w:t>493</w:t>
            </w:r>
          </w:p>
        </w:tc>
        <w:tc>
          <w:tcPr>
            <w:tcW w:w="5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rPr>
              <w:t>312</w:t>
            </w:r>
          </w:p>
        </w:tc>
        <w:tc>
          <w:tcPr>
            <w:tcW w:w="4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7.0%</w:t>
            </w:r>
          </w:p>
        </w:tc>
        <w:tc>
          <w:tcPr>
            <w:tcW w:w="6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41.9%</w:t>
            </w:r>
          </w:p>
        </w:tc>
        <w:tc>
          <w:tcPr>
            <w:tcW w:w="520" w:type="dxa"/>
            <w:vAlign w:val="bottom"/>
            <w:tcBorders>
              <w:right w:val="single" w:sz="8" w:color="auto"/>
            </w:tcBorders>
          </w:tcPr>
          <w:p>
            <w:pPr>
              <w:jc w:val="center"/>
              <w:ind w:right="23"/>
              <w:spacing w:after="0" w:line="107" w:lineRule="exact"/>
              <w:rPr>
                <w:sz w:val="20"/>
                <w:szCs w:val="20"/>
                <w:color w:val="auto"/>
              </w:rPr>
            </w:pPr>
            <w:r>
              <w:rPr>
                <w:rFonts w:ascii="Arial" w:cs="Arial" w:eastAsia="Arial" w:hAnsi="Arial"/>
                <w:sz w:val="11"/>
                <w:szCs w:val="11"/>
                <w:b w:val="1"/>
                <w:bCs w:val="1"/>
                <w:color w:val="auto"/>
              </w:rPr>
              <w:t>27.3%</w:t>
            </w: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5"/>
              </w:rPr>
              <w:t>0.9%</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1.1%</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1.2%</w:t>
            </w:r>
          </w:p>
        </w:tc>
        <w:tc>
          <w:tcPr>
            <w:tcW w:w="600" w:type="dxa"/>
            <w:vAlign w:val="bottom"/>
          </w:tcPr>
          <w:p>
            <w:pPr>
              <w:jc w:val="center"/>
              <w:ind w:right="3"/>
              <w:spacing w:after="0" w:line="107" w:lineRule="exact"/>
              <w:rPr>
                <w:sz w:val="20"/>
                <w:szCs w:val="20"/>
                <w:color w:val="auto"/>
              </w:rPr>
            </w:pPr>
            <w:r>
              <w:rPr>
                <w:rFonts w:ascii="Arial" w:cs="Arial" w:eastAsia="Arial" w:hAnsi="Arial"/>
                <w:sz w:val="11"/>
                <w:szCs w:val="11"/>
                <w:b w:val="1"/>
                <w:bCs w:val="1"/>
                <w:color w:val="auto"/>
              </w:rPr>
              <w:t>0.9%</w:t>
            </w:r>
          </w:p>
        </w:tc>
        <w:tc>
          <w:tcPr>
            <w:tcW w:w="560" w:type="dxa"/>
            <w:vAlign w:val="bottom"/>
            <w:tcBorders>
              <w:right w:val="single" w:sz="8" w:color="auto"/>
            </w:tcBorders>
          </w:tcPr>
          <w:p>
            <w:pPr>
              <w:jc w:val="center"/>
              <w:ind w:right="3"/>
              <w:spacing w:after="0" w:line="107" w:lineRule="exact"/>
              <w:rPr>
                <w:sz w:val="20"/>
                <w:szCs w:val="20"/>
                <w:color w:val="auto"/>
              </w:rPr>
            </w:pPr>
            <w:r>
              <w:rPr>
                <w:rFonts w:ascii="Arial" w:cs="Arial" w:eastAsia="Arial" w:hAnsi="Arial"/>
                <w:sz w:val="11"/>
                <w:szCs w:val="11"/>
                <w:b w:val="1"/>
                <w:bCs w:val="1"/>
                <w:color w:val="auto"/>
              </w:rPr>
              <w:t>1.1%</w:t>
            </w:r>
          </w:p>
        </w:tc>
      </w:tr>
      <w:tr>
        <w:trPr>
          <w:trHeight w:val="122"/>
        </w:trPr>
        <w:tc>
          <w:tcPr>
            <w:tcW w:w="2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Bolivia</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9,034</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8,957</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9,186</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8,813</w:t>
            </w:r>
          </w:p>
        </w:tc>
        <w:tc>
          <w:tcPr>
            <w:tcW w:w="6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8,982</w:t>
            </w:r>
          </w:p>
        </w:tc>
        <w:tc>
          <w:tcPr>
            <w:tcW w:w="380" w:type="dxa"/>
            <w:vAlign w:val="bottom"/>
          </w:tcPr>
          <w:p>
            <w:pPr>
              <w:jc w:val="center"/>
              <w:ind w:left="63"/>
              <w:spacing w:after="0" w:line="122" w:lineRule="exact"/>
              <w:rPr>
                <w:sz w:val="20"/>
                <w:szCs w:val="20"/>
                <w:color w:val="auto"/>
              </w:rPr>
            </w:pPr>
            <w:r>
              <w:rPr>
                <w:rFonts w:ascii="Arial" w:cs="Arial" w:eastAsia="Arial" w:hAnsi="Arial"/>
                <w:sz w:val="11"/>
                <w:szCs w:val="11"/>
                <w:b w:val="1"/>
                <w:bCs w:val="1"/>
                <w:color w:val="auto"/>
                <w:w w:val="97"/>
              </w:rPr>
              <w:t>229</w:t>
            </w:r>
          </w:p>
        </w:tc>
        <w:tc>
          <w:tcPr>
            <w:tcW w:w="680" w:type="dxa"/>
            <w:vAlign w:val="bottom"/>
            <w:gridSpan w:val="2"/>
          </w:tcPr>
          <w:p>
            <w:pPr>
              <w:jc w:val="center"/>
              <w:ind w:left="83"/>
              <w:spacing w:after="0" w:line="122" w:lineRule="exact"/>
              <w:rPr>
                <w:sz w:val="20"/>
                <w:szCs w:val="20"/>
                <w:color w:val="auto"/>
              </w:rPr>
            </w:pPr>
            <w:r>
              <w:rPr>
                <w:rFonts w:ascii="Arial" w:cs="Arial" w:eastAsia="Arial" w:hAnsi="Arial"/>
                <w:sz w:val="11"/>
                <w:szCs w:val="11"/>
                <w:b w:val="1"/>
                <w:bCs w:val="1"/>
                <w:color w:val="auto"/>
                <w:w w:val="97"/>
              </w:rPr>
              <w:t>152</w:t>
            </w:r>
          </w:p>
        </w:tc>
        <w:tc>
          <w:tcPr>
            <w:tcW w:w="5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170</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2.6%</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1.7%</w:t>
            </w:r>
          </w:p>
        </w:tc>
        <w:tc>
          <w:tcPr>
            <w:tcW w:w="52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b w:val="1"/>
                <w:bCs w:val="1"/>
                <w:color w:val="auto"/>
              </w:rPr>
              <w:t>1.9%</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6.5%</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6.5%</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6.6%</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rPr>
              <w:t>6.7%</w:t>
            </w:r>
          </w:p>
        </w:tc>
        <w:tc>
          <w:tcPr>
            <w:tcW w:w="56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b w:val="1"/>
                <w:bCs w:val="1"/>
                <w:color w:val="auto"/>
              </w:rPr>
              <w:t>6.5%</w:t>
            </w:r>
          </w:p>
        </w:tc>
      </w:tr>
      <w:tr>
        <w:trPr>
          <w:trHeight w:val="137"/>
        </w:trPr>
        <w:tc>
          <w:tcPr>
            <w:tcW w:w="20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ASB</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2,039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1,733</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1,749</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2,056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1,818</w:t>
            </w:r>
          </w:p>
        </w:tc>
        <w:tc>
          <w:tcPr>
            <w:tcW w:w="380" w:type="dxa"/>
            <w:vAlign w:val="bottom"/>
            <w:tcBorders>
              <w:bottom w:val="single" w:sz="8" w:color="auto"/>
            </w:tcBorders>
          </w:tcPr>
          <w:p>
            <w:pPr>
              <w:jc w:val="center"/>
              <w:ind w:left="63"/>
              <w:spacing w:after="0"/>
              <w:rPr>
                <w:sz w:val="20"/>
                <w:szCs w:val="20"/>
                <w:color w:val="auto"/>
              </w:rPr>
            </w:pPr>
            <w:r>
              <w:rPr>
                <w:rFonts w:ascii="Arial" w:cs="Arial" w:eastAsia="Arial" w:hAnsi="Arial"/>
                <w:sz w:val="11"/>
                <w:szCs w:val="11"/>
                <w:b w:val="1"/>
                <w:bCs w:val="1"/>
                <w:color w:val="auto"/>
              </w:rPr>
              <w:t>16</w:t>
            </w:r>
          </w:p>
        </w:tc>
        <w:tc>
          <w:tcPr>
            <w:tcW w:w="68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1"/>
                <w:szCs w:val="11"/>
                <w:b w:val="1"/>
                <w:bCs w:val="1"/>
                <w:color w:val="auto"/>
                <w:w w:val="99"/>
              </w:rPr>
              <w:t>-290</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-239</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0.9%</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-14.2%</w:t>
            </w:r>
          </w:p>
        </w:tc>
        <w:tc>
          <w:tcPr>
            <w:tcW w:w="520" w:type="dxa"/>
            <w:vAlign w:val="bottom"/>
            <w:tcBorders>
              <w:bottom w:val="single" w:sz="8" w:color="auto"/>
              <w:right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-11.6%</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1.3%</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1.3%</w:t>
            </w:r>
          </w:p>
        </w:tc>
        <w:tc>
          <w:tcPr>
            <w:tcW w:w="6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1.6%</w:t>
            </w:r>
          </w:p>
        </w:tc>
        <w:tc>
          <w:tcPr>
            <w:tcW w:w="56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1.3%</w:t>
            </w:r>
          </w:p>
        </w:tc>
      </w:tr>
      <w:tr>
        <w:trPr>
          <w:trHeight w:val="114"/>
        </w:trPr>
        <w:tc>
          <w:tcPr>
            <w:tcW w:w="2060" w:type="dxa"/>
            <w:vAlign w:val="bottom"/>
            <w:tcBorders>
              <w:left w:val="single" w:sz="8" w:color="auto"/>
              <w:bottom w:val="single" w:sz="8" w:color="auto"/>
              <w:right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BAP’s total loans</w:t>
            </w:r>
          </w:p>
        </w:tc>
        <w:tc>
          <w:tcPr>
            <w:tcW w:w="6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137,934</w:t>
            </w:r>
          </w:p>
        </w:tc>
        <w:tc>
          <w:tcPr>
            <w:tcW w:w="6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137,745</w:t>
            </w:r>
          </w:p>
        </w:tc>
        <w:tc>
          <w:tcPr>
            <w:tcW w:w="6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138,348</w:t>
            </w:r>
          </w:p>
        </w:tc>
        <w:tc>
          <w:tcPr>
            <w:tcW w:w="5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132,025</w:t>
            </w:r>
          </w:p>
        </w:tc>
        <w:tc>
          <w:tcPr>
            <w:tcW w:w="6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137,454</w:t>
            </w:r>
          </w:p>
        </w:tc>
        <w:tc>
          <w:tcPr>
            <w:tcW w:w="380" w:type="dxa"/>
            <w:vAlign w:val="bottom"/>
            <w:tcBorders>
              <w:bottom w:val="single" w:sz="8" w:color="auto"/>
            </w:tcBorders>
          </w:tcPr>
          <w:p>
            <w:pPr>
              <w:jc w:val="center"/>
              <w:ind w:left="63"/>
              <w:spacing w:after="0" w:line="114" w:lineRule="exact"/>
              <w:rPr>
                <w:sz w:val="20"/>
                <w:szCs w:val="20"/>
                <w:color w:val="auto"/>
              </w:rPr>
            </w:pPr>
            <w:r>
              <w:rPr>
                <w:rFonts w:ascii="Arial" w:cs="Arial" w:eastAsia="Arial" w:hAnsi="Arial"/>
                <w:sz w:val="11"/>
                <w:szCs w:val="11"/>
                <w:b w:val="1"/>
                <w:bCs w:val="1"/>
                <w:color w:val="auto"/>
                <w:w w:val="97"/>
              </w:rPr>
              <w:t>602</w:t>
            </w:r>
          </w:p>
        </w:tc>
        <w:tc>
          <w:tcPr>
            <w:tcW w:w="680" w:type="dxa"/>
            <w:vAlign w:val="bottom"/>
            <w:tcBorders>
              <w:bottom w:val="single" w:sz="8" w:color="auto"/>
            </w:tcBorders>
            <w:gridSpan w:val="2"/>
          </w:tcPr>
          <w:p>
            <w:pPr>
              <w:jc w:val="center"/>
              <w:ind w:left="83"/>
              <w:spacing w:after="0" w:line="114" w:lineRule="exact"/>
              <w:rPr>
                <w:sz w:val="20"/>
                <w:szCs w:val="20"/>
                <w:color w:val="auto"/>
              </w:rPr>
            </w:pPr>
            <w:r>
              <w:rPr>
                <w:rFonts w:ascii="Arial" w:cs="Arial" w:eastAsia="Arial" w:hAnsi="Arial"/>
                <w:sz w:val="11"/>
                <w:szCs w:val="11"/>
                <w:b w:val="1"/>
                <w:bCs w:val="1"/>
                <w:color w:val="auto"/>
                <w:w w:val="97"/>
              </w:rPr>
              <w:t>413</w:t>
            </w:r>
          </w:p>
        </w:tc>
        <w:tc>
          <w:tcPr>
            <w:tcW w:w="58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5,429</w:t>
            </w:r>
          </w:p>
        </w:tc>
        <w:tc>
          <w:tcPr>
            <w:tcW w:w="4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0.4%</w:t>
            </w:r>
          </w:p>
        </w:tc>
        <w:tc>
          <w:tcPr>
            <w:tcW w:w="6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5"/>
              </w:rPr>
              <w:t>0.3%</w:t>
            </w:r>
          </w:p>
        </w:tc>
        <w:tc>
          <w:tcPr>
            <w:tcW w:w="520" w:type="dxa"/>
            <w:vAlign w:val="bottom"/>
            <w:tcBorders>
              <w:bottom w:val="single" w:sz="8" w:color="auto"/>
              <w:right w:val="single" w:sz="8" w:color="auto"/>
            </w:tcBorders>
          </w:tcPr>
          <w:p>
            <w:pPr>
              <w:jc w:val="center"/>
              <w:ind w:right="3"/>
              <w:spacing w:after="0" w:line="114" w:lineRule="exact"/>
              <w:rPr>
                <w:sz w:val="20"/>
                <w:szCs w:val="20"/>
                <w:color w:val="auto"/>
              </w:rPr>
            </w:pPr>
            <w:r>
              <w:rPr>
                <w:rFonts w:ascii="Arial" w:cs="Arial" w:eastAsia="Arial" w:hAnsi="Arial"/>
                <w:sz w:val="11"/>
                <w:szCs w:val="11"/>
                <w:b w:val="1"/>
                <w:bCs w:val="1"/>
                <w:color w:val="auto"/>
              </w:rPr>
              <w:t>4.1%</w:t>
            </w:r>
          </w:p>
        </w:tc>
        <w:tc>
          <w:tcPr>
            <w:tcW w:w="5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100.0%</w:t>
            </w:r>
          </w:p>
        </w:tc>
        <w:tc>
          <w:tcPr>
            <w:tcW w:w="6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100.0%</w:t>
            </w:r>
          </w:p>
        </w:tc>
        <w:tc>
          <w:tcPr>
            <w:tcW w:w="5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100.0%</w:t>
            </w:r>
          </w:p>
        </w:tc>
        <w:tc>
          <w:tcPr>
            <w:tcW w:w="6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100.0%</w:t>
            </w:r>
          </w:p>
        </w:tc>
        <w:tc>
          <w:tcPr>
            <w:tcW w:w="560" w:type="dxa"/>
            <w:vAlign w:val="bottom"/>
            <w:tcBorders>
              <w:bottom w:val="single" w:sz="8" w:color="auto"/>
              <w:right w:val="single" w:sz="8" w:color="auto"/>
            </w:tcBorders>
          </w:tcPr>
          <w:p>
            <w:pPr>
              <w:jc w:val="center"/>
              <w:ind w:right="3"/>
              <w:spacing w:after="0" w:line="114" w:lineRule="exact"/>
              <w:rPr>
                <w:sz w:val="20"/>
                <w:szCs w:val="20"/>
                <w:color w:val="auto"/>
              </w:rPr>
            </w:pPr>
            <w:r>
              <w:rPr>
                <w:rFonts w:ascii="Arial" w:cs="Arial" w:eastAsia="Arial" w:hAnsi="Arial"/>
                <w:sz w:val="11"/>
                <w:szCs w:val="11"/>
                <w:b w:val="1"/>
                <w:bCs w:val="1"/>
                <w:color w:val="auto"/>
              </w:rPr>
              <w:t>100.0%</w:t>
            </w:r>
          </w:p>
        </w:tc>
      </w:tr>
    </w:tbl>
    <w:p>
      <w:pPr>
        <w:spacing w:after="0" w:line="167" w:lineRule="exact"/>
        <w:rPr>
          <w:sz w:val="20"/>
          <w:szCs w:val="20"/>
          <w:color w:val="auto"/>
        </w:rPr>
      </w:pPr>
    </w:p>
    <w:p>
      <w:pPr>
        <w:ind w:left="2"/>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-8255</wp:posOffset>
            </wp:positionV>
            <wp:extent cx="1161415" cy="1860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61415" cy="186055"/>
                    </a:xfrm>
                    <a:prstGeom prst="rect">
                      <a:avLst/>
                    </a:prstGeom>
                    <a:noFill/>
                  </pic:spPr>
                </pic:pic>
              </a:graphicData>
            </a:graphic>
          </wp:anchor>
        </w:drawing>
      </w:r>
    </w:p>
    <w:p>
      <w:pPr>
        <w:ind w:left="162" w:hanging="162"/>
        <w:spacing w:after="0"/>
        <w:tabs>
          <w:tab w:leader="none" w:pos="162"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Includes Workout unit and other banking. For Quarter-end balance figures, please refer to “12. Annexes – 12.2 Loan Portfolio Quality”</w:t>
      </w:r>
    </w:p>
    <w:p>
      <w:pPr>
        <w:ind w:left="162" w:hanging="162"/>
        <w:spacing w:after="0" w:line="231" w:lineRule="auto"/>
        <w:tabs>
          <w:tab w:leader="none" w:pos="162" w:val="left"/>
        </w:tabs>
        <w:numPr>
          <w:ilvl w:val="0"/>
          <w:numId w:val="16"/>
        </w:numPr>
        <w:rPr>
          <w:rFonts w:ascii="Arial" w:cs="Arial" w:eastAsia="Arial" w:hAnsi="Arial"/>
          <w:sz w:val="11"/>
          <w:szCs w:val="11"/>
          <w:color w:val="auto"/>
        </w:rPr>
      </w:pPr>
      <w:r>
        <w:rPr>
          <w:rFonts w:ascii="Arial" w:cs="Arial" w:eastAsia="Arial" w:hAnsi="Arial"/>
          <w:sz w:val="11"/>
          <w:szCs w:val="11"/>
          <w:color w:val="auto"/>
        </w:rPr>
        <w:t>Structural Portfolio excludes the Loan offered through Reactiva Peru, FAE Mype, and Impulso MyPeru Government Programs (GP).</w:t>
      </w:r>
    </w:p>
    <w:p>
      <w:pPr>
        <w:ind w:left="162" w:hanging="162"/>
        <w:spacing w:after="0"/>
        <w:tabs>
          <w:tab w:leader="none" w:pos="162"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Internal Management Figures.</w:t>
      </w:r>
    </w:p>
    <w:p>
      <w:pPr>
        <w:sectPr>
          <w:pgSz w:w="11900" w:h="16838" w:orient="portrait"/>
          <w:cols w:equalWidth="0" w:num="1">
            <w:col w:w="11262"/>
          </w:cols>
          <w:pgMar w:left="318" w:top="313" w:right="319" w:bottom="1440" w:gutter="0" w:footer="0" w:header="0"/>
        </w:sectPr>
      </w:pPr>
    </w:p>
    <w:p>
      <w:pPr>
        <w:spacing w:after="0" w:line="167" w:lineRule="exact"/>
        <w:rPr>
          <w:sz w:val="20"/>
          <w:szCs w:val="20"/>
          <w:color w:val="auto"/>
        </w:rPr>
      </w:pPr>
    </w:p>
    <w:p>
      <w:pPr>
        <w:jc w:val="both"/>
        <w:ind w:left="2"/>
        <w:spacing w:after="0" w:line="258"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if we exclude the impact of a reduction in the Exchange rate</w:t>
      </w:r>
      <w:r>
        <w:rPr>
          <w:rFonts w:ascii="Arial" w:cs="Arial" w:eastAsia="Arial" w:hAnsi="Arial"/>
          <w:sz w:val="16"/>
          <w:szCs w:val="16"/>
          <w:b w:val="1"/>
          <w:bCs w:val="1"/>
          <w:color w:val="auto"/>
        </w:rPr>
        <w:t xml:space="preserve"> </w:t>
      </w:r>
      <w:r>
        <w:rPr>
          <w:rFonts w:ascii="Arial" w:cs="Arial" w:eastAsia="Arial" w:hAnsi="Arial"/>
          <w:sz w:val="16"/>
          <w:szCs w:val="16"/>
          <w:color w:val="auto"/>
        </w:rPr>
        <w:t>(USDPEN: -2.2%), structural loans increased 0.7% in average daily balances. Loans grew 0.4%, driven by:</w:t>
      </w:r>
    </w:p>
    <w:p>
      <w:pPr>
        <w:spacing w:after="0" w:line="138" w:lineRule="exact"/>
        <w:rPr>
          <w:sz w:val="20"/>
          <w:szCs w:val="20"/>
          <w:color w:val="auto"/>
        </w:rPr>
      </w:pPr>
    </w:p>
    <w:p>
      <w:pPr>
        <w:jc w:val="both"/>
        <w:ind w:left="582" w:hanging="290"/>
        <w:spacing w:after="0" w:line="243" w:lineRule="auto"/>
        <w:tabs>
          <w:tab w:leader="none" w:pos="582"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SME-Pyme</w:t>
      </w:r>
      <w:r>
        <w:rPr>
          <w:rFonts w:ascii="Arial" w:cs="Arial" w:eastAsia="Arial" w:hAnsi="Arial"/>
          <w:sz w:val="16"/>
          <w:szCs w:val="16"/>
          <w:color w:val="auto"/>
        </w:rPr>
        <w:t>, which reported sustained growth throughout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driven by an uptick at year-end in both short-term loans (working capital) with better risk profiles and by long-term loans (for fixed asset purchases).</w:t>
      </w:r>
    </w:p>
    <w:p>
      <w:pPr>
        <w:spacing w:after="0" w:line="2" w:lineRule="exact"/>
        <w:rPr>
          <w:rFonts w:ascii="Arial" w:cs="Arial" w:eastAsia="Arial" w:hAnsi="Arial"/>
          <w:sz w:val="16"/>
          <w:szCs w:val="16"/>
          <w:color w:val="auto"/>
        </w:rPr>
      </w:pPr>
    </w:p>
    <w:p>
      <w:pPr>
        <w:jc w:val="both"/>
        <w:ind w:left="582" w:hanging="290"/>
        <w:spacing w:after="0" w:line="238" w:lineRule="auto"/>
        <w:tabs>
          <w:tab w:leader="none" w:pos="582"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Middle Market Banking, </w:t>
      </w:r>
      <w:r>
        <w:rPr>
          <w:rFonts w:ascii="Arial" w:cs="Arial" w:eastAsia="Arial" w:hAnsi="Arial"/>
          <w:sz w:val="16"/>
          <w:szCs w:val="16"/>
          <w:color w:val="auto"/>
        </w:rPr>
        <w:t>where loans were up due to the growth</w:t>
      </w:r>
      <w:r>
        <w:rPr>
          <w:rFonts w:ascii="Arial" w:cs="Arial" w:eastAsia="Arial" w:hAnsi="Arial"/>
          <w:sz w:val="16"/>
          <w:szCs w:val="16"/>
          <w:b w:val="1"/>
          <w:bCs w:val="1"/>
          <w:color w:val="auto"/>
        </w:rPr>
        <w:t xml:space="preserve"> </w:t>
      </w:r>
      <w:r>
        <w:rPr>
          <w:rFonts w:ascii="Arial" w:cs="Arial" w:eastAsia="Arial" w:hAnsi="Arial"/>
          <w:sz w:val="16"/>
          <w:szCs w:val="16"/>
          <w:color w:val="auto"/>
        </w:rPr>
        <w:t>in working capital disbursements and, to a lesser extent, due to favorable results from the second fishing and agricultural campaigns.</w:t>
      </w:r>
    </w:p>
    <w:p>
      <w:pPr>
        <w:spacing w:after="0" w:line="1" w:lineRule="exact"/>
        <w:rPr>
          <w:rFonts w:ascii="Arial" w:cs="Arial" w:eastAsia="Arial" w:hAnsi="Arial"/>
          <w:sz w:val="16"/>
          <w:szCs w:val="16"/>
          <w:color w:val="auto"/>
        </w:rPr>
      </w:pPr>
    </w:p>
    <w:p>
      <w:pPr>
        <w:jc w:val="both"/>
        <w:ind w:left="582" w:hanging="290"/>
        <w:spacing w:after="0" w:line="248" w:lineRule="auto"/>
        <w:tabs>
          <w:tab w:leader="none" w:pos="582"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Mortgage, </w:t>
      </w:r>
      <w:r>
        <w:rPr>
          <w:rFonts w:ascii="Arial" w:cs="Arial" w:eastAsia="Arial" w:hAnsi="Arial"/>
          <w:sz w:val="16"/>
          <w:szCs w:val="16"/>
          <w:color w:val="auto"/>
        </w:rPr>
        <w:t>due to an uptick in the last quarter of the year, due to</w:t>
      </w:r>
      <w:r>
        <w:rPr>
          <w:rFonts w:ascii="Arial" w:cs="Arial" w:eastAsia="Arial" w:hAnsi="Arial"/>
          <w:sz w:val="16"/>
          <w:szCs w:val="16"/>
          <w:b w:val="1"/>
          <w:bCs w:val="1"/>
          <w:color w:val="auto"/>
        </w:rPr>
        <w:t xml:space="preserve"> </w:t>
      </w:r>
      <w:r>
        <w:rPr>
          <w:rFonts w:ascii="Arial" w:cs="Arial" w:eastAsia="Arial" w:hAnsi="Arial"/>
          <w:sz w:val="16"/>
          <w:szCs w:val="16"/>
          <w:color w:val="auto"/>
        </w:rPr>
        <w:t>new product offerings that are tailored to meet a broader cross-section of needs in the market.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was partially offset by a reduction in loans through:</w:t>
      </w:r>
    </w:p>
    <w:p>
      <w:pPr>
        <w:spacing w:after="0" w:line="182" w:lineRule="exact"/>
        <w:rPr>
          <w:sz w:val="20"/>
          <w:szCs w:val="20"/>
          <w:color w:val="auto"/>
        </w:rPr>
      </w:pPr>
    </w:p>
    <w:p>
      <w:pPr>
        <w:jc w:val="both"/>
        <w:ind w:left="600" w:right="20" w:hanging="298"/>
        <w:spacing w:after="0" w:line="245"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Corporate Banking</w:t>
      </w:r>
      <w:r>
        <w:rPr>
          <w:rFonts w:ascii="Arial" w:cs="Arial" w:eastAsia="Arial" w:hAnsi="Arial"/>
          <w:sz w:val="16"/>
          <w:szCs w:val="16"/>
          <w:color w:val="auto"/>
        </w:rPr>
        <w:t>, where loan disbursements fell due to a drop</w:t>
      </w:r>
      <w:r>
        <w:rPr>
          <w:rFonts w:ascii="Arial" w:cs="Arial" w:eastAsia="Arial" w:hAnsi="Arial"/>
          <w:sz w:val="16"/>
          <w:szCs w:val="16"/>
          <w:b w:val="1"/>
          <w:bCs w:val="1"/>
          <w:color w:val="auto"/>
        </w:rPr>
        <w:t xml:space="preserve"> </w:t>
      </w:r>
      <w:r>
        <w:rPr>
          <w:rFonts w:ascii="Arial" w:cs="Arial" w:eastAsia="Arial" w:hAnsi="Arial"/>
          <w:sz w:val="16"/>
          <w:szCs w:val="16"/>
          <w:color w:val="auto"/>
        </w:rPr>
        <w:t>in demand for long-term financing in a context marked by low private investment and a weak macroeconomic environment.</w:t>
      </w:r>
    </w:p>
    <w:p>
      <w:pPr>
        <w:spacing w:after="0" w:line="1" w:lineRule="exact"/>
        <w:rPr>
          <w:rFonts w:ascii="Arial" w:cs="Arial" w:eastAsia="Arial" w:hAnsi="Arial"/>
          <w:sz w:val="16"/>
          <w:szCs w:val="16"/>
          <w:color w:val="auto"/>
        </w:rPr>
      </w:pPr>
    </w:p>
    <w:p>
      <w:pPr>
        <w:ind w:left="600" w:right="20" w:hanging="298"/>
        <w:spacing w:after="0" w:line="258"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Mibanco, </w:t>
      </w:r>
      <w:r>
        <w:rPr>
          <w:rFonts w:ascii="Arial" w:cs="Arial" w:eastAsia="Arial" w:hAnsi="Arial"/>
          <w:sz w:val="16"/>
          <w:szCs w:val="16"/>
          <w:color w:val="auto"/>
        </w:rPr>
        <w:t>after credit guidelines were tightened and emphasis was</w:t>
      </w:r>
      <w:r>
        <w:rPr>
          <w:rFonts w:ascii="Arial" w:cs="Arial" w:eastAsia="Arial" w:hAnsi="Arial"/>
          <w:sz w:val="16"/>
          <w:szCs w:val="16"/>
          <w:b w:val="1"/>
          <w:bCs w:val="1"/>
          <w:color w:val="auto"/>
        </w:rPr>
        <w:t xml:space="preserve"> </w:t>
      </w:r>
      <w:r>
        <w:rPr>
          <w:rFonts w:ascii="Arial" w:cs="Arial" w:eastAsia="Arial" w:hAnsi="Arial"/>
          <w:sz w:val="16"/>
          <w:szCs w:val="16"/>
          <w:color w:val="auto"/>
        </w:rPr>
        <w:t>placed on lending to clients with better risk profiles.</w:t>
      </w:r>
    </w:p>
    <w:p>
      <w:pPr>
        <w:spacing w:after="0" w:line="13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structural loans in average daily balances grew 0.3% (+0.7 Neutral</w:t>
      </w:r>
      <w:r>
        <w:rPr>
          <w:rFonts w:ascii="Arial" w:cs="Arial" w:eastAsia="Arial" w:hAnsi="Arial"/>
          <w:sz w:val="16"/>
          <w:szCs w:val="16"/>
          <w:b w:val="1"/>
          <w:bCs w:val="1"/>
          <w:color w:val="auto"/>
        </w:rPr>
        <w:t xml:space="preserve"> </w:t>
      </w:r>
      <w:r>
        <w:rPr>
          <w:rFonts w:ascii="Arial" w:cs="Arial" w:eastAsia="Arial" w:hAnsi="Arial"/>
          <w:sz w:val="16"/>
          <w:szCs w:val="16"/>
          <w:color w:val="auto"/>
        </w:rPr>
        <w:t>FX). Expansion was mainly driven by:</w:t>
      </w:r>
    </w:p>
    <w:p>
      <w:pPr>
        <w:spacing w:after="0" w:line="121" w:lineRule="exact"/>
        <w:rPr>
          <w:sz w:val="20"/>
          <w:szCs w:val="20"/>
          <w:color w:val="auto"/>
        </w:rPr>
      </w:pPr>
    </w:p>
    <w:p>
      <w:pPr>
        <w:jc w:val="both"/>
        <w:ind w:left="600" w:right="20" w:hanging="298"/>
        <w:spacing w:after="0" w:line="246"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Retail Banking, </w:t>
      </w:r>
      <w:r>
        <w:rPr>
          <w:rFonts w:ascii="Arial" w:cs="Arial" w:eastAsia="Arial" w:hAnsi="Arial"/>
          <w:sz w:val="16"/>
          <w:szCs w:val="16"/>
          <w:color w:val="auto"/>
        </w:rPr>
        <w:t>where all segments evolved positively in</w:t>
      </w:r>
      <w:r>
        <w:rPr>
          <w:rFonts w:ascii="Arial" w:cs="Arial" w:eastAsia="Arial" w:hAnsi="Arial"/>
          <w:sz w:val="16"/>
          <w:szCs w:val="16"/>
          <w:b w:val="1"/>
          <w:bCs w:val="1"/>
          <w:color w:val="auto"/>
        </w:rPr>
        <w:t xml:space="preserve"> </w:t>
      </w:r>
      <w:r>
        <w:rPr>
          <w:rFonts w:ascii="Arial" w:cs="Arial" w:eastAsia="Arial" w:hAnsi="Arial"/>
          <w:sz w:val="16"/>
          <w:szCs w:val="16"/>
          <w:color w:val="auto"/>
        </w:rPr>
        <w:t>comparison to 4Q22 with the exception of Consumer, which registered changes to credit guidelines to improve the portfolio’s credit quality. Noteworthy growth in SME-Business in YoY terms was attributable to an uptick in working capital loans through year-end campaigns.</w:t>
      </w:r>
    </w:p>
    <w:p>
      <w:pPr>
        <w:spacing w:after="0" w:line="144" w:lineRule="exact"/>
        <w:rPr>
          <w:sz w:val="20"/>
          <w:szCs w:val="20"/>
          <w:color w:val="auto"/>
        </w:rPr>
      </w:pPr>
    </w:p>
    <w:p>
      <w:pPr>
        <w:sectPr>
          <w:pgSz w:w="11900" w:h="16838" w:orient="portrait"/>
          <w:cols w:equalWidth="0" w:num="2">
            <w:col w:w="5402" w:space="440"/>
            <w:col w:w="5420"/>
          </w:cols>
          <w:pgMar w:left="318" w:top="313" w:right="319" w:bottom="1440" w:gutter="0" w:footer="0" w:header="0"/>
          <w:type w:val="continuous"/>
        </w:sect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313" w:right="319" w:bottom="1440" w:gutter="0" w:footer="0" w:header="0"/>
          <w:type w:val="continuous"/>
        </w:sectPr>
      </w:pPr>
    </w:p>
    <w:bookmarkStart w:id="20" w:name="page21"/>
    <w:bookmarkEnd w:id="20"/>
    <w:p>
      <w:pPr>
        <w:ind w:left="2720"/>
        <w:spacing w:after="0"/>
        <w:tabs>
          <w:tab w:leader="none" w:pos="2920" w:val="left"/>
        </w:tabs>
        <w:rPr>
          <w:sz w:val="20"/>
          <w:szCs w:val="20"/>
          <w:color w:val="auto"/>
        </w:rPr>
      </w:pPr>
      <w:r>
        <w:rPr>
          <w:rFonts w:ascii="Arial" w:cs="Arial" w:eastAsia="Arial" w:hAnsi="Arial"/>
          <w:sz w:val="18"/>
          <w:szCs w:val="18"/>
          <w:color w:val="A6A6A6"/>
        </w:rPr>
        <w:t>|</w:t>
      </w:r>
      <w:r>
        <w:rPr>
          <w:sz w:val="20"/>
          <w:szCs w:val="20"/>
          <w:color w:val="auto"/>
        </w:rPr>
        <w:tab/>
      </w:r>
      <w:r>
        <w:rPr>
          <w:rFonts w:ascii="Arial" w:cs="Arial" w:eastAsia="Arial" w:hAnsi="Arial"/>
          <w:sz w:val="17"/>
          <w:szCs w:val="17"/>
          <w:b w:val="1"/>
          <w:bCs w:val="1"/>
          <w:color w:val="A6A6A6"/>
        </w:rPr>
        <w:t>Earning Release 4Q / 2023</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01. Loan Portfolio</w:t>
      </w:r>
    </w:p>
    <w:p>
      <w:pPr>
        <w:spacing w:after="0" w:line="27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aforementioned was partially offset by a reduction in loan disbursements via:</w:t>
      </w:r>
    </w:p>
    <w:p>
      <w:pPr>
        <w:spacing w:after="0" w:line="121" w:lineRule="exact"/>
        <w:rPr>
          <w:sz w:val="20"/>
          <w:szCs w:val="20"/>
          <w:color w:val="auto"/>
        </w:rPr>
      </w:pPr>
    </w:p>
    <w:p>
      <w:pPr>
        <w:jc w:val="both"/>
        <w:ind w:left="580" w:hanging="290"/>
        <w:spacing w:after="0" w:line="245"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Wholesale Banking</w:t>
      </w:r>
      <w:r>
        <w:rPr>
          <w:rFonts w:ascii="Arial" w:cs="Arial" w:eastAsia="Arial" w:hAnsi="Arial"/>
          <w:sz w:val="16"/>
          <w:szCs w:val="16"/>
          <w:color w:val="auto"/>
        </w:rPr>
        <w:t>, where lending declined due to a</w:t>
      </w:r>
      <w:r>
        <w:rPr>
          <w:rFonts w:ascii="Arial" w:cs="Arial" w:eastAsia="Arial" w:hAnsi="Arial"/>
          <w:sz w:val="16"/>
          <w:szCs w:val="16"/>
          <w:b w:val="1"/>
          <w:bCs w:val="1"/>
          <w:color w:val="auto"/>
        </w:rPr>
        <w:t xml:space="preserve"> </w:t>
      </w:r>
      <w:r>
        <w:rPr>
          <w:rFonts w:ascii="Arial" w:cs="Arial" w:eastAsia="Arial" w:hAnsi="Arial"/>
          <w:sz w:val="16"/>
          <w:szCs w:val="16"/>
          <w:color w:val="auto"/>
        </w:rPr>
        <w:t>macroeconomic context marked by low private investment and less appetite for long-term debt.</w:t>
      </w:r>
    </w:p>
    <w:p>
      <w:pPr>
        <w:spacing w:after="0" w:line="1" w:lineRule="exact"/>
        <w:rPr>
          <w:rFonts w:ascii="Arial" w:cs="Arial" w:eastAsia="Arial" w:hAnsi="Arial"/>
          <w:sz w:val="16"/>
          <w:szCs w:val="16"/>
          <w:color w:val="auto"/>
        </w:rPr>
      </w:pPr>
    </w:p>
    <w:p>
      <w:pPr>
        <w:ind w:left="580" w:hanging="290"/>
        <w:spacing w:after="0" w:line="25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Mibanco, </w:t>
      </w:r>
      <w:r>
        <w:rPr>
          <w:rFonts w:ascii="Arial" w:cs="Arial" w:eastAsia="Arial" w:hAnsi="Arial"/>
          <w:sz w:val="16"/>
          <w:szCs w:val="16"/>
          <w:color w:val="auto"/>
        </w:rPr>
        <w:t>where a drop in loans was driven by the same dynamics</w:t>
      </w:r>
      <w:r>
        <w:rPr>
          <w:rFonts w:ascii="Arial" w:cs="Arial" w:eastAsia="Arial" w:hAnsi="Arial"/>
          <w:sz w:val="16"/>
          <w:szCs w:val="16"/>
          <w:b w:val="1"/>
          <w:bCs w:val="1"/>
          <w:color w:val="auto"/>
        </w:rPr>
        <w:t xml:space="preserve"> </w:t>
      </w:r>
      <w:r>
        <w:rPr>
          <w:rFonts w:ascii="Arial" w:cs="Arial" w:eastAsia="Arial" w:hAnsi="Arial"/>
          <w:sz w:val="16"/>
          <w:szCs w:val="16"/>
          <w:color w:val="auto"/>
        </w:rPr>
        <w:t>as those seen QoQ.</w:t>
      </w:r>
    </w:p>
    <w:p>
      <w:pPr>
        <w:spacing w:after="0" w:line="137"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auto"/>
        </w:rPr>
        <w:t>Government Program Loans</w:t>
      </w:r>
    </w:p>
    <w:p>
      <w:pPr>
        <w:spacing w:after="0" w:line="182"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auto"/>
        </w:rPr>
        <w:t>(in Average Daily Balances -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3630930" cy="1881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30930" cy="1881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-256540</wp:posOffset>
            </wp:positionV>
            <wp:extent cx="7145655" cy="657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5655" cy="65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loans in average daily balances rose 4.1%. Growth was driven</w:t>
      </w:r>
      <w:r>
        <w:rPr>
          <w:rFonts w:ascii="Arial" w:cs="Arial" w:eastAsia="Arial" w:hAnsi="Arial"/>
          <w:sz w:val="16"/>
          <w:szCs w:val="16"/>
          <w:b w:val="1"/>
          <w:bCs w:val="1"/>
          <w:color w:val="auto"/>
        </w:rPr>
        <w:t xml:space="preserve"> </w:t>
      </w:r>
      <w:r>
        <w:rPr>
          <w:rFonts w:ascii="Arial" w:cs="Arial" w:eastAsia="Arial" w:hAnsi="Arial"/>
          <w:sz w:val="16"/>
          <w:szCs w:val="16"/>
          <w:color w:val="auto"/>
        </w:rPr>
        <w:t>mainly by Retail Banking and reflected the same dynamics as those in play YoY. At Mibanco, YTD loan growth was primarily attributable to a significant uptick in lending in 2Q23 following a difficult 1Q23, which was marked by social protests and climate anomalies. The focus in subsequent quarters was on lending to clients with better risk profiles.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Government Program Loans (GP) in average daily balances (GP) fell 9.8% QoQ and 6.4% YoY, which was mainly attributable to an uptick in amortizations at BCP and Mibanco. GP loans represent 2.7% of total loans in average daily balances (vs 3.0% in Sept 23 and 7.2% in December 22).</w:t>
      </w:r>
    </w:p>
    <w:p>
      <w:pPr>
        <w:spacing w:after="0" w:line="200" w:lineRule="exact"/>
        <w:rPr>
          <w:sz w:val="20"/>
          <w:szCs w:val="20"/>
          <w:color w:val="auto"/>
        </w:rPr>
      </w:pPr>
    </w:p>
    <w:p>
      <w:pPr>
        <w:sectPr>
          <w:pgSz w:w="11900" w:h="16838" w:orient="portrait"/>
          <w:cols w:equalWidth="0" w:num="2">
            <w:col w:w="5400" w:space="440"/>
            <w:col w:w="5420"/>
          </w:cols>
          <w:pgMar w:left="320" w:top="31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type w:val="continuous"/>
        </w:sectPr>
      </w:pPr>
    </w:p>
    <w:bookmarkStart w:id="21" w:name="page22"/>
    <w:bookmarkEnd w:id="21"/>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444"/>
        </w:trPr>
        <w:tc>
          <w:tcPr>
            <w:tcW w:w="204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2540" w:type="dxa"/>
            <w:vAlign w:val="bottom"/>
            <w:gridSpan w:val="5"/>
            <w:shd w:val="clear" w:color="auto" w:fill="000000"/>
          </w:tcPr>
          <w:p>
            <w:pPr>
              <w:ind w:left="8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 Release 4Q / 2023</w:t>
            </w:r>
          </w:p>
        </w:tc>
        <w:tc>
          <w:tcPr>
            <w:tcW w:w="28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480" w:type="dxa"/>
            <w:vAlign w:val="bottom"/>
            <w:shd w:val="clear" w:color="auto" w:fill="000000"/>
          </w:tcPr>
          <w:p>
            <w:pPr>
              <w:spacing w:after="0"/>
              <w:rPr>
                <w:sz w:val="24"/>
                <w:szCs w:val="24"/>
                <w:color w:val="auto"/>
              </w:rPr>
            </w:pPr>
          </w:p>
        </w:tc>
        <w:tc>
          <w:tcPr>
            <w:tcW w:w="4080" w:type="dxa"/>
            <w:vAlign w:val="bottom"/>
            <w:gridSpan w:val="8"/>
            <w:shd w:val="clear" w:color="auto" w:fill="000000"/>
          </w:tcPr>
          <w:p>
            <w:pPr>
              <w:ind w:left="340"/>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204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68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040" w:type="dxa"/>
            <w:vAlign w:val="bottom"/>
            <w:shd w:val="clear" w:color="auto" w:fill="E93BAB"/>
          </w:tcPr>
          <w:p>
            <w:pPr>
              <w:ind w:left="80"/>
              <w:spacing w:after="0"/>
              <w:rPr>
                <w:sz w:val="20"/>
                <w:szCs w:val="20"/>
                <w:color w:val="auto"/>
              </w:rPr>
            </w:pPr>
            <w:r>
              <w:rPr>
                <w:rFonts w:ascii="Arial" w:cs="Arial" w:eastAsia="Arial" w:hAnsi="Arial"/>
                <w:sz w:val="18"/>
                <w:szCs w:val="18"/>
                <w:b w:val="1"/>
                <w:bCs w:val="1"/>
                <w:color w:val="FFFFFF"/>
              </w:rPr>
              <w:t>01. Loan Portfolio</w:t>
            </w:r>
          </w:p>
        </w:tc>
        <w:tc>
          <w:tcPr>
            <w:tcW w:w="600" w:type="dxa"/>
            <w:vAlign w:val="bottom"/>
            <w:shd w:val="clear" w:color="auto" w:fill="E93BAB"/>
          </w:tcPr>
          <w:p>
            <w:pPr>
              <w:spacing w:after="0"/>
              <w:rPr>
                <w:sz w:val="24"/>
                <w:szCs w:val="24"/>
                <w:color w:val="auto"/>
              </w:rPr>
            </w:pPr>
          </w:p>
        </w:tc>
        <w:tc>
          <w:tcPr>
            <w:tcW w:w="620" w:type="dxa"/>
            <w:vAlign w:val="bottom"/>
            <w:shd w:val="clear" w:color="auto" w:fill="E93BAB"/>
          </w:tcPr>
          <w:p>
            <w:pPr>
              <w:spacing w:after="0"/>
              <w:rPr>
                <w:sz w:val="24"/>
                <w:szCs w:val="24"/>
                <w:color w:val="auto"/>
              </w:rPr>
            </w:pPr>
          </w:p>
        </w:tc>
        <w:tc>
          <w:tcPr>
            <w:tcW w:w="560" w:type="dxa"/>
            <w:vAlign w:val="bottom"/>
            <w:shd w:val="clear" w:color="auto" w:fill="E93BAB"/>
          </w:tcPr>
          <w:p>
            <w:pPr>
              <w:spacing w:after="0"/>
              <w:rPr>
                <w:sz w:val="24"/>
                <w:szCs w:val="24"/>
                <w:color w:val="auto"/>
              </w:rPr>
            </w:pPr>
          </w:p>
        </w:tc>
        <w:tc>
          <w:tcPr>
            <w:tcW w:w="640" w:type="dxa"/>
            <w:vAlign w:val="bottom"/>
            <w:shd w:val="clear" w:color="auto" w:fill="E93BAB"/>
          </w:tcPr>
          <w:p>
            <w:pPr>
              <w:spacing w:after="0"/>
              <w:rPr>
                <w:sz w:val="24"/>
                <w:szCs w:val="24"/>
                <w:color w:val="auto"/>
              </w:rPr>
            </w:pPr>
          </w:p>
        </w:tc>
        <w:tc>
          <w:tcPr>
            <w:tcW w:w="600" w:type="dxa"/>
            <w:vAlign w:val="bottom"/>
            <w:shd w:val="clear" w:color="auto" w:fill="E93BAB"/>
          </w:tcPr>
          <w:p>
            <w:pPr>
              <w:spacing w:after="0"/>
              <w:rPr>
                <w:sz w:val="24"/>
                <w:szCs w:val="24"/>
                <w:color w:val="auto"/>
              </w:rPr>
            </w:pPr>
          </w:p>
        </w:tc>
        <w:tc>
          <w:tcPr>
            <w:tcW w:w="120" w:type="dxa"/>
            <w:vAlign w:val="bottom"/>
            <w:shd w:val="clear" w:color="auto" w:fill="E93BAB"/>
          </w:tcPr>
          <w:p>
            <w:pPr>
              <w:spacing w:after="0"/>
              <w:rPr>
                <w:sz w:val="24"/>
                <w:szCs w:val="24"/>
                <w:color w:val="auto"/>
              </w:rPr>
            </w:pPr>
          </w:p>
        </w:tc>
        <w:tc>
          <w:tcPr>
            <w:tcW w:w="280" w:type="dxa"/>
            <w:vAlign w:val="bottom"/>
            <w:shd w:val="clear" w:color="auto" w:fill="E93BAB"/>
          </w:tcPr>
          <w:p>
            <w:pPr>
              <w:spacing w:after="0"/>
              <w:rPr>
                <w:sz w:val="24"/>
                <w:szCs w:val="24"/>
                <w:color w:val="auto"/>
              </w:rPr>
            </w:pPr>
          </w:p>
        </w:tc>
        <w:tc>
          <w:tcPr>
            <w:tcW w:w="140" w:type="dxa"/>
            <w:vAlign w:val="bottom"/>
            <w:shd w:val="clear" w:color="auto" w:fill="E93BAB"/>
          </w:tcPr>
          <w:p>
            <w:pPr>
              <w:spacing w:after="0"/>
              <w:rPr>
                <w:sz w:val="24"/>
                <w:szCs w:val="24"/>
                <w:color w:val="auto"/>
              </w:rPr>
            </w:pPr>
          </w:p>
        </w:tc>
        <w:tc>
          <w:tcPr>
            <w:tcW w:w="540" w:type="dxa"/>
            <w:vAlign w:val="bottom"/>
            <w:shd w:val="clear" w:color="auto" w:fill="E93BAB"/>
          </w:tcPr>
          <w:p>
            <w:pPr>
              <w:spacing w:after="0"/>
              <w:rPr>
                <w:sz w:val="24"/>
                <w:szCs w:val="24"/>
                <w:color w:val="auto"/>
              </w:rPr>
            </w:pPr>
          </w:p>
        </w:tc>
        <w:tc>
          <w:tcPr>
            <w:tcW w:w="560" w:type="dxa"/>
            <w:vAlign w:val="bottom"/>
            <w:shd w:val="clear" w:color="auto" w:fill="E93BAB"/>
          </w:tcPr>
          <w:p>
            <w:pPr>
              <w:spacing w:after="0"/>
              <w:rPr>
                <w:sz w:val="24"/>
                <w:szCs w:val="24"/>
                <w:color w:val="auto"/>
              </w:rPr>
            </w:pPr>
          </w:p>
        </w:tc>
        <w:tc>
          <w:tcPr>
            <w:tcW w:w="480" w:type="dxa"/>
            <w:vAlign w:val="bottom"/>
            <w:shd w:val="clear" w:color="auto" w:fill="E93BAB"/>
          </w:tcPr>
          <w:p>
            <w:pPr>
              <w:spacing w:after="0"/>
              <w:rPr>
                <w:sz w:val="24"/>
                <w:szCs w:val="24"/>
                <w:color w:val="auto"/>
              </w:rPr>
            </w:pPr>
          </w:p>
        </w:tc>
        <w:tc>
          <w:tcPr>
            <w:tcW w:w="680" w:type="dxa"/>
            <w:vAlign w:val="bottom"/>
            <w:shd w:val="clear" w:color="auto" w:fill="E93BAB"/>
          </w:tcPr>
          <w:p>
            <w:pPr>
              <w:spacing w:after="0"/>
              <w:rPr>
                <w:sz w:val="24"/>
                <w:szCs w:val="24"/>
                <w:color w:val="auto"/>
              </w:rPr>
            </w:pPr>
          </w:p>
        </w:tc>
        <w:tc>
          <w:tcPr>
            <w:tcW w:w="500" w:type="dxa"/>
            <w:vAlign w:val="bottom"/>
            <w:shd w:val="clear" w:color="auto" w:fill="E93BAB"/>
          </w:tcPr>
          <w:p>
            <w:pPr>
              <w:spacing w:after="0"/>
              <w:rPr>
                <w:sz w:val="24"/>
                <w:szCs w:val="24"/>
                <w:color w:val="auto"/>
              </w:rPr>
            </w:pPr>
          </w:p>
        </w:tc>
        <w:tc>
          <w:tcPr>
            <w:tcW w:w="580" w:type="dxa"/>
            <w:vAlign w:val="bottom"/>
            <w:shd w:val="clear" w:color="auto" w:fill="E93BAB"/>
          </w:tcPr>
          <w:p>
            <w:pPr>
              <w:spacing w:after="0"/>
              <w:rPr>
                <w:sz w:val="24"/>
                <w:szCs w:val="24"/>
                <w:color w:val="auto"/>
              </w:rPr>
            </w:pPr>
          </w:p>
        </w:tc>
        <w:tc>
          <w:tcPr>
            <w:tcW w:w="580" w:type="dxa"/>
            <w:vAlign w:val="bottom"/>
            <w:shd w:val="clear" w:color="auto" w:fill="E93BAB"/>
          </w:tcPr>
          <w:p>
            <w:pPr>
              <w:spacing w:after="0"/>
              <w:rPr>
                <w:sz w:val="24"/>
                <w:szCs w:val="24"/>
                <w:color w:val="auto"/>
              </w:rPr>
            </w:pPr>
          </w:p>
        </w:tc>
        <w:tc>
          <w:tcPr>
            <w:tcW w:w="580" w:type="dxa"/>
            <w:vAlign w:val="bottom"/>
            <w:shd w:val="clear" w:color="auto" w:fill="E93BAB"/>
          </w:tcPr>
          <w:p>
            <w:pPr>
              <w:spacing w:after="0"/>
              <w:rPr>
                <w:sz w:val="24"/>
                <w:szCs w:val="24"/>
                <w:color w:val="auto"/>
              </w:rPr>
            </w:pPr>
          </w:p>
        </w:tc>
        <w:tc>
          <w:tcPr>
            <w:tcW w:w="560" w:type="dxa"/>
            <w:vAlign w:val="bottom"/>
            <w:shd w:val="clear" w:color="auto" w:fill="E93BAB"/>
          </w:tcPr>
          <w:p>
            <w:pPr>
              <w:spacing w:after="0"/>
              <w:rPr>
                <w:sz w:val="24"/>
                <w:szCs w:val="24"/>
                <w:color w:val="auto"/>
              </w:rPr>
            </w:pPr>
          </w:p>
        </w:tc>
        <w:tc>
          <w:tcPr>
            <w:tcW w:w="580" w:type="dxa"/>
            <w:vAlign w:val="bottom"/>
            <w:shd w:val="clear" w:color="auto" w:fill="E93BAB"/>
          </w:tcPr>
          <w:p>
            <w:pPr>
              <w:spacing w:after="0"/>
              <w:rPr>
                <w:sz w:val="24"/>
                <w:szCs w:val="24"/>
                <w:color w:val="auto"/>
              </w:rPr>
            </w:pPr>
          </w:p>
        </w:tc>
        <w:tc>
          <w:tcPr>
            <w:tcW w:w="20" w:type="dxa"/>
            <w:vAlign w:val="bottom"/>
            <w:shd w:val="clear" w:color="auto" w:fill="E93BAB"/>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40" w:type="dxa"/>
            <w:vAlign w:val="bottom"/>
            <w:shd w:val="clear" w:color="auto" w:fill="E93BAB"/>
          </w:tcPr>
          <w:p>
            <w:pPr>
              <w:spacing w:after="0"/>
              <w:rPr>
                <w:sz w:val="5"/>
                <w:szCs w:val="5"/>
                <w:color w:val="auto"/>
              </w:rPr>
            </w:pPr>
          </w:p>
        </w:tc>
        <w:tc>
          <w:tcPr>
            <w:tcW w:w="600" w:type="dxa"/>
            <w:vAlign w:val="bottom"/>
            <w:shd w:val="clear" w:color="auto" w:fill="E93BAB"/>
          </w:tcPr>
          <w:p>
            <w:pPr>
              <w:spacing w:after="0"/>
              <w:rPr>
                <w:sz w:val="5"/>
                <w:szCs w:val="5"/>
                <w:color w:val="auto"/>
              </w:rPr>
            </w:pPr>
          </w:p>
        </w:tc>
        <w:tc>
          <w:tcPr>
            <w:tcW w:w="620" w:type="dxa"/>
            <w:vAlign w:val="bottom"/>
            <w:shd w:val="clear" w:color="auto" w:fill="E93BAB"/>
          </w:tcPr>
          <w:p>
            <w:pPr>
              <w:spacing w:after="0"/>
              <w:rPr>
                <w:sz w:val="5"/>
                <w:szCs w:val="5"/>
                <w:color w:val="auto"/>
              </w:rPr>
            </w:pPr>
          </w:p>
        </w:tc>
        <w:tc>
          <w:tcPr>
            <w:tcW w:w="560" w:type="dxa"/>
            <w:vAlign w:val="bottom"/>
            <w:shd w:val="clear" w:color="auto" w:fill="E93BAB"/>
          </w:tcPr>
          <w:p>
            <w:pPr>
              <w:spacing w:after="0"/>
              <w:rPr>
                <w:sz w:val="5"/>
                <w:szCs w:val="5"/>
                <w:color w:val="auto"/>
              </w:rPr>
            </w:pPr>
          </w:p>
        </w:tc>
        <w:tc>
          <w:tcPr>
            <w:tcW w:w="1240" w:type="dxa"/>
            <w:vAlign w:val="bottom"/>
            <w:gridSpan w:val="2"/>
            <w:shd w:val="clear" w:color="auto" w:fill="E93BAB"/>
          </w:tcPr>
          <w:p>
            <w:pPr>
              <w:spacing w:after="0"/>
              <w:rPr>
                <w:sz w:val="5"/>
                <w:szCs w:val="5"/>
                <w:color w:val="auto"/>
              </w:rPr>
            </w:pPr>
          </w:p>
        </w:tc>
        <w:tc>
          <w:tcPr>
            <w:tcW w:w="540" w:type="dxa"/>
            <w:vAlign w:val="bottom"/>
            <w:gridSpan w:val="3"/>
            <w:shd w:val="clear" w:color="auto" w:fill="E93BAB"/>
          </w:tcPr>
          <w:p>
            <w:pPr>
              <w:spacing w:after="0"/>
              <w:rPr>
                <w:sz w:val="5"/>
                <w:szCs w:val="5"/>
                <w:color w:val="auto"/>
              </w:rPr>
            </w:pPr>
          </w:p>
        </w:tc>
        <w:tc>
          <w:tcPr>
            <w:tcW w:w="2260" w:type="dxa"/>
            <w:vAlign w:val="bottom"/>
            <w:gridSpan w:val="4"/>
            <w:shd w:val="clear" w:color="auto" w:fill="E93BAB"/>
          </w:tcPr>
          <w:p>
            <w:pPr>
              <w:spacing w:after="0"/>
              <w:rPr>
                <w:sz w:val="5"/>
                <w:szCs w:val="5"/>
                <w:color w:val="auto"/>
              </w:rPr>
            </w:pPr>
          </w:p>
        </w:tc>
        <w:tc>
          <w:tcPr>
            <w:tcW w:w="500" w:type="dxa"/>
            <w:vAlign w:val="bottom"/>
            <w:shd w:val="clear" w:color="auto" w:fill="E93BAB"/>
          </w:tcPr>
          <w:p>
            <w:pPr>
              <w:spacing w:after="0"/>
              <w:rPr>
                <w:sz w:val="5"/>
                <w:szCs w:val="5"/>
                <w:color w:val="auto"/>
              </w:rPr>
            </w:pPr>
          </w:p>
        </w:tc>
        <w:tc>
          <w:tcPr>
            <w:tcW w:w="580" w:type="dxa"/>
            <w:vAlign w:val="bottom"/>
            <w:shd w:val="clear" w:color="auto" w:fill="E93BAB"/>
          </w:tcPr>
          <w:p>
            <w:pPr>
              <w:spacing w:after="0"/>
              <w:rPr>
                <w:sz w:val="5"/>
                <w:szCs w:val="5"/>
                <w:color w:val="auto"/>
              </w:rPr>
            </w:pPr>
          </w:p>
        </w:tc>
        <w:tc>
          <w:tcPr>
            <w:tcW w:w="580" w:type="dxa"/>
            <w:vAlign w:val="bottom"/>
            <w:shd w:val="clear" w:color="auto" w:fill="E93BAB"/>
          </w:tcPr>
          <w:p>
            <w:pPr>
              <w:spacing w:after="0"/>
              <w:rPr>
                <w:sz w:val="5"/>
                <w:szCs w:val="5"/>
                <w:color w:val="auto"/>
              </w:rPr>
            </w:pPr>
          </w:p>
        </w:tc>
        <w:tc>
          <w:tcPr>
            <w:tcW w:w="580" w:type="dxa"/>
            <w:vAlign w:val="bottom"/>
            <w:shd w:val="clear" w:color="auto" w:fill="E93BAB"/>
          </w:tcPr>
          <w:p>
            <w:pPr>
              <w:spacing w:after="0"/>
              <w:rPr>
                <w:sz w:val="5"/>
                <w:szCs w:val="5"/>
                <w:color w:val="auto"/>
              </w:rPr>
            </w:pPr>
          </w:p>
        </w:tc>
        <w:tc>
          <w:tcPr>
            <w:tcW w:w="560" w:type="dxa"/>
            <w:vAlign w:val="bottom"/>
            <w:shd w:val="clear" w:color="auto" w:fill="E93BAB"/>
          </w:tcPr>
          <w:p>
            <w:pPr>
              <w:spacing w:after="0"/>
              <w:rPr>
                <w:sz w:val="5"/>
                <w:szCs w:val="5"/>
                <w:color w:val="auto"/>
              </w:rPr>
            </w:pPr>
          </w:p>
        </w:tc>
        <w:tc>
          <w:tcPr>
            <w:tcW w:w="580" w:type="dxa"/>
            <w:vAlign w:val="bottom"/>
            <w:shd w:val="clear" w:color="auto" w:fill="E93BAB"/>
          </w:tcPr>
          <w:p>
            <w:pPr>
              <w:spacing w:after="0"/>
              <w:rPr>
                <w:sz w:val="5"/>
                <w:szCs w:val="5"/>
                <w:color w:val="auto"/>
              </w:rPr>
            </w:pPr>
          </w:p>
        </w:tc>
        <w:tc>
          <w:tcPr>
            <w:tcW w:w="20" w:type="dxa"/>
            <w:vAlign w:val="bottom"/>
            <w:shd w:val="clear" w:color="auto" w:fill="E93BAB"/>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ind w:left="80"/>
              <w:spacing w:after="0"/>
              <w:rPr>
                <w:sz w:val="20"/>
                <w:szCs w:val="20"/>
                <w:color w:val="auto"/>
              </w:rPr>
            </w:pPr>
            <w:r>
              <w:rPr>
                <w:rFonts w:ascii="Arial" w:cs="Arial" w:eastAsia="Arial" w:hAnsi="Arial"/>
                <w:sz w:val="16"/>
                <w:szCs w:val="16"/>
                <w:b w:val="1"/>
                <w:bCs w:val="1"/>
                <w:color w:val="auto"/>
              </w:rPr>
              <w:t xml:space="preserve">Total Loans (in Average Daily Balances) </w:t>
            </w:r>
            <w:r>
              <w:rPr>
                <w:rFonts w:ascii="Arial" w:cs="Arial" w:eastAsia="Arial" w:hAnsi="Arial"/>
                <w:sz w:val="27"/>
                <w:szCs w:val="27"/>
                <w:b w:val="1"/>
                <w:bCs w:val="1"/>
                <w:color w:val="auto"/>
                <w:vertAlign w:val="superscript"/>
              </w:rPr>
              <w:t>(1)(2)</w:t>
            </w: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40" w:type="dxa"/>
            <w:vAlign w:val="bottom"/>
            <w:shd w:val="clear" w:color="auto" w:fill="2AD2C9"/>
          </w:tcPr>
          <w:p>
            <w:pPr>
              <w:ind w:left="100"/>
              <w:spacing w:after="0" w:line="99" w:lineRule="exact"/>
              <w:rPr>
                <w:sz w:val="20"/>
                <w:szCs w:val="20"/>
                <w:color w:val="auto"/>
              </w:rPr>
            </w:pPr>
            <w:r>
              <w:rPr>
                <w:rFonts w:ascii="Arial" w:cs="Arial" w:eastAsia="Arial" w:hAnsi="Arial"/>
                <w:sz w:val="11"/>
                <w:szCs w:val="11"/>
                <w:b w:val="1"/>
                <w:bCs w:val="1"/>
                <w:color w:val="FFFFFF"/>
              </w:rPr>
              <w:t>Total Loans</w:t>
            </w:r>
          </w:p>
        </w:tc>
        <w:tc>
          <w:tcPr>
            <w:tcW w:w="600" w:type="dxa"/>
            <w:vAlign w:val="bottom"/>
            <w:shd w:val="clear" w:color="auto" w:fill="2AD2C9"/>
          </w:tcPr>
          <w:p>
            <w:pPr>
              <w:spacing w:after="0"/>
              <w:rPr>
                <w:sz w:val="8"/>
                <w:szCs w:val="8"/>
                <w:color w:val="auto"/>
              </w:rPr>
            </w:pPr>
          </w:p>
        </w:tc>
        <w:tc>
          <w:tcPr>
            <w:tcW w:w="62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As of</w:t>
            </w:r>
          </w:p>
        </w:tc>
        <w:tc>
          <w:tcPr>
            <w:tcW w:w="560" w:type="dxa"/>
            <w:vAlign w:val="bottom"/>
            <w:shd w:val="clear" w:color="auto" w:fill="2AD2C9"/>
          </w:tcPr>
          <w:p>
            <w:pPr>
              <w:spacing w:after="0"/>
              <w:rPr>
                <w:sz w:val="8"/>
                <w:szCs w:val="8"/>
                <w:color w:val="auto"/>
              </w:rPr>
            </w:pPr>
          </w:p>
        </w:tc>
        <w:tc>
          <w:tcPr>
            <w:tcW w:w="1360" w:type="dxa"/>
            <w:vAlign w:val="bottom"/>
            <w:gridSpan w:val="3"/>
            <w:vMerge w:val="restart"/>
            <w:shd w:val="clear" w:color="auto" w:fill="2AD2C9"/>
          </w:tcPr>
          <w:p>
            <w:pPr>
              <w:ind w:left="520"/>
              <w:spacing w:after="0"/>
              <w:rPr>
                <w:sz w:val="20"/>
                <w:szCs w:val="20"/>
                <w:color w:val="auto"/>
              </w:rPr>
            </w:pPr>
            <w:r>
              <w:rPr>
                <w:rFonts w:ascii="Arial" w:cs="Arial" w:eastAsia="Arial" w:hAnsi="Arial"/>
                <w:sz w:val="11"/>
                <w:szCs w:val="11"/>
                <w:b w:val="1"/>
                <w:bCs w:val="1"/>
                <w:color w:val="FFFFFF"/>
              </w:rPr>
              <w:t>Year</w:t>
            </w:r>
          </w:p>
        </w:tc>
        <w:tc>
          <w:tcPr>
            <w:tcW w:w="280" w:type="dxa"/>
            <w:vAlign w:val="bottom"/>
            <w:shd w:val="clear" w:color="auto" w:fill="2AD2C9"/>
          </w:tcPr>
          <w:p>
            <w:pPr>
              <w:spacing w:after="0"/>
              <w:rPr>
                <w:sz w:val="8"/>
                <w:szCs w:val="8"/>
                <w:color w:val="auto"/>
              </w:rPr>
            </w:pPr>
          </w:p>
        </w:tc>
        <w:tc>
          <w:tcPr>
            <w:tcW w:w="1240" w:type="dxa"/>
            <w:vAlign w:val="bottom"/>
            <w:gridSpan w:val="3"/>
            <w:vMerge w:val="restart"/>
            <w:shd w:val="clear" w:color="auto" w:fill="2AD2C9"/>
          </w:tcPr>
          <w:p>
            <w:pPr>
              <w:jc w:val="center"/>
              <w:ind w:right="343"/>
              <w:spacing w:after="0"/>
              <w:rPr>
                <w:sz w:val="20"/>
                <w:szCs w:val="20"/>
                <w:color w:val="auto"/>
              </w:rPr>
            </w:pPr>
            <w:r>
              <w:rPr>
                <w:rFonts w:ascii="Arial" w:cs="Arial" w:eastAsia="Arial" w:hAnsi="Arial"/>
                <w:sz w:val="11"/>
                <w:szCs w:val="11"/>
                <w:b w:val="1"/>
                <w:bCs w:val="1"/>
                <w:color w:val="FFFFFF"/>
              </w:rPr>
              <w:t>Volume Change</w:t>
            </w:r>
          </w:p>
        </w:tc>
        <w:tc>
          <w:tcPr>
            <w:tcW w:w="480" w:type="dxa"/>
            <w:vAlign w:val="bottom"/>
            <w:shd w:val="clear" w:color="auto" w:fill="2AD2C9"/>
          </w:tcPr>
          <w:p>
            <w:pPr>
              <w:spacing w:after="0"/>
              <w:rPr>
                <w:sz w:val="8"/>
                <w:szCs w:val="8"/>
                <w:color w:val="auto"/>
              </w:rPr>
            </w:pPr>
          </w:p>
        </w:tc>
        <w:tc>
          <w:tcPr>
            <w:tcW w:w="68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 Change</w:t>
            </w:r>
          </w:p>
        </w:tc>
        <w:tc>
          <w:tcPr>
            <w:tcW w:w="500" w:type="dxa"/>
            <w:vAlign w:val="bottom"/>
            <w:shd w:val="clear" w:color="auto" w:fill="2AD2C9"/>
          </w:tcPr>
          <w:p>
            <w:pPr>
              <w:spacing w:after="0"/>
              <w:rPr>
                <w:sz w:val="8"/>
                <w:szCs w:val="8"/>
                <w:color w:val="auto"/>
              </w:rPr>
            </w:pPr>
          </w:p>
        </w:tc>
        <w:tc>
          <w:tcPr>
            <w:tcW w:w="580" w:type="dxa"/>
            <w:vAlign w:val="bottom"/>
            <w:shd w:val="clear" w:color="auto" w:fill="2AD2C9"/>
          </w:tcPr>
          <w:p>
            <w:pPr>
              <w:spacing w:after="0"/>
              <w:rPr>
                <w:sz w:val="8"/>
                <w:szCs w:val="8"/>
                <w:color w:val="auto"/>
              </w:rPr>
            </w:pPr>
          </w:p>
        </w:tc>
        <w:tc>
          <w:tcPr>
            <w:tcW w:w="1720" w:type="dxa"/>
            <w:vAlign w:val="bottom"/>
            <w:gridSpan w:val="3"/>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 Part. in total loans</w:t>
            </w:r>
          </w:p>
        </w:tc>
        <w:tc>
          <w:tcPr>
            <w:tcW w:w="580" w:type="dxa"/>
            <w:vAlign w:val="bottom"/>
            <w:shd w:val="clear" w:color="auto" w:fill="2AD2C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40" w:type="dxa"/>
            <w:vAlign w:val="bottom"/>
            <w:vMerge w:val="restart"/>
            <w:shd w:val="clear" w:color="auto" w:fill="2AD2C9"/>
          </w:tcPr>
          <w:p>
            <w:pPr>
              <w:ind w:left="100"/>
              <w:spacing w:after="0"/>
              <w:rPr>
                <w:sz w:val="20"/>
                <w:szCs w:val="20"/>
                <w:color w:val="auto"/>
              </w:rPr>
            </w:pPr>
            <w:r>
              <w:rPr>
                <w:rFonts w:ascii="Arial" w:cs="Arial" w:eastAsia="Arial" w:hAnsi="Arial"/>
                <w:sz w:val="11"/>
                <w:szCs w:val="11"/>
                <w:b w:val="1"/>
                <w:bCs w:val="1"/>
                <w:color w:val="FFFFFF"/>
              </w:rPr>
              <w:t>(S/ millions)</w:t>
            </w:r>
          </w:p>
        </w:tc>
        <w:tc>
          <w:tcPr>
            <w:tcW w:w="600" w:type="dxa"/>
            <w:vAlign w:val="bottom"/>
            <w:shd w:val="clear" w:color="auto" w:fill="2AD2C9"/>
          </w:tcPr>
          <w:p>
            <w:pPr>
              <w:spacing w:after="0"/>
              <w:rPr>
                <w:sz w:val="8"/>
                <w:szCs w:val="8"/>
                <w:color w:val="auto"/>
              </w:rPr>
            </w:pPr>
          </w:p>
        </w:tc>
        <w:tc>
          <w:tcPr>
            <w:tcW w:w="620" w:type="dxa"/>
            <w:vAlign w:val="bottom"/>
            <w:vMerge w:val="continue"/>
            <w:shd w:val="clear" w:color="auto" w:fill="2AD2C9"/>
          </w:tcPr>
          <w:p>
            <w:pPr>
              <w:spacing w:after="0"/>
              <w:rPr>
                <w:sz w:val="8"/>
                <w:szCs w:val="8"/>
                <w:color w:val="auto"/>
              </w:rPr>
            </w:pPr>
          </w:p>
        </w:tc>
        <w:tc>
          <w:tcPr>
            <w:tcW w:w="560" w:type="dxa"/>
            <w:vAlign w:val="bottom"/>
            <w:shd w:val="clear" w:color="auto" w:fill="2AD2C9"/>
          </w:tcPr>
          <w:p>
            <w:pPr>
              <w:spacing w:after="0"/>
              <w:rPr>
                <w:sz w:val="8"/>
                <w:szCs w:val="8"/>
                <w:color w:val="auto"/>
              </w:rPr>
            </w:pPr>
          </w:p>
        </w:tc>
        <w:tc>
          <w:tcPr>
            <w:tcW w:w="1360" w:type="dxa"/>
            <w:vAlign w:val="bottom"/>
            <w:gridSpan w:val="3"/>
            <w:vMerge w:val="continue"/>
            <w:shd w:val="clear" w:color="auto" w:fill="2AD2C9"/>
          </w:tcPr>
          <w:p>
            <w:pPr>
              <w:spacing w:after="0"/>
              <w:rPr>
                <w:sz w:val="8"/>
                <w:szCs w:val="8"/>
                <w:color w:val="auto"/>
              </w:rPr>
            </w:pPr>
          </w:p>
        </w:tc>
        <w:tc>
          <w:tcPr>
            <w:tcW w:w="280" w:type="dxa"/>
            <w:vAlign w:val="bottom"/>
            <w:shd w:val="clear" w:color="auto" w:fill="2AD2C9"/>
          </w:tcPr>
          <w:p>
            <w:pPr>
              <w:spacing w:after="0"/>
              <w:rPr>
                <w:sz w:val="8"/>
                <w:szCs w:val="8"/>
                <w:color w:val="auto"/>
              </w:rPr>
            </w:pPr>
          </w:p>
        </w:tc>
        <w:tc>
          <w:tcPr>
            <w:tcW w:w="1240" w:type="dxa"/>
            <w:vAlign w:val="bottom"/>
            <w:gridSpan w:val="3"/>
            <w:vMerge w:val="continue"/>
            <w:shd w:val="clear" w:color="auto" w:fill="2AD2C9"/>
          </w:tcPr>
          <w:p>
            <w:pPr>
              <w:spacing w:after="0"/>
              <w:rPr>
                <w:sz w:val="8"/>
                <w:szCs w:val="8"/>
                <w:color w:val="auto"/>
              </w:rPr>
            </w:pPr>
          </w:p>
        </w:tc>
        <w:tc>
          <w:tcPr>
            <w:tcW w:w="480" w:type="dxa"/>
            <w:vAlign w:val="bottom"/>
            <w:shd w:val="clear" w:color="auto" w:fill="2AD2C9"/>
          </w:tcPr>
          <w:p>
            <w:pPr>
              <w:spacing w:after="0"/>
              <w:rPr>
                <w:sz w:val="8"/>
                <w:szCs w:val="8"/>
                <w:color w:val="auto"/>
              </w:rPr>
            </w:pPr>
          </w:p>
        </w:tc>
        <w:tc>
          <w:tcPr>
            <w:tcW w:w="680" w:type="dxa"/>
            <w:vAlign w:val="bottom"/>
            <w:vMerge w:val="continue"/>
            <w:shd w:val="clear" w:color="auto" w:fill="2AD2C9"/>
          </w:tcPr>
          <w:p>
            <w:pPr>
              <w:spacing w:after="0"/>
              <w:rPr>
                <w:sz w:val="8"/>
                <w:szCs w:val="8"/>
                <w:color w:val="auto"/>
              </w:rPr>
            </w:pPr>
          </w:p>
        </w:tc>
        <w:tc>
          <w:tcPr>
            <w:tcW w:w="500" w:type="dxa"/>
            <w:vAlign w:val="bottom"/>
            <w:shd w:val="clear" w:color="auto" w:fill="2AD2C9"/>
          </w:tcPr>
          <w:p>
            <w:pPr>
              <w:spacing w:after="0"/>
              <w:rPr>
                <w:sz w:val="8"/>
                <w:szCs w:val="8"/>
                <w:color w:val="auto"/>
              </w:rPr>
            </w:pPr>
          </w:p>
        </w:tc>
        <w:tc>
          <w:tcPr>
            <w:tcW w:w="580" w:type="dxa"/>
            <w:vAlign w:val="bottom"/>
            <w:shd w:val="clear" w:color="auto" w:fill="2AD2C9"/>
          </w:tcPr>
          <w:p>
            <w:pPr>
              <w:spacing w:after="0"/>
              <w:rPr>
                <w:sz w:val="8"/>
                <w:szCs w:val="8"/>
                <w:color w:val="auto"/>
              </w:rPr>
            </w:pPr>
          </w:p>
        </w:tc>
        <w:tc>
          <w:tcPr>
            <w:tcW w:w="1720" w:type="dxa"/>
            <w:vAlign w:val="bottom"/>
            <w:gridSpan w:val="3"/>
            <w:vMerge w:val="continue"/>
            <w:shd w:val="clear" w:color="auto" w:fill="2AD2C9"/>
          </w:tcPr>
          <w:p>
            <w:pPr>
              <w:spacing w:after="0"/>
              <w:rPr>
                <w:sz w:val="8"/>
                <w:szCs w:val="8"/>
                <w:color w:val="auto"/>
              </w:rPr>
            </w:pPr>
          </w:p>
        </w:tc>
        <w:tc>
          <w:tcPr>
            <w:tcW w:w="580" w:type="dxa"/>
            <w:vAlign w:val="bottom"/>
            <w:shd w:val="clear" w:color="auto" w:fill="2AD2C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40" w:type="dxa"/>
            <w:vAlign w:val="bottom"/>
            <w:vMerge w:val="continue"/>
            <w:shd w:val="clear" w:color="auto" w:fill="2AD2C9"/>
          </w:tcPr>
          <w:p>
            <w:pPr>
              <w:spacing w:after="0"/>
              <w:rPr>
                <w:sz w:val="3"/>
                <w:szCs w:val="3"/>
                <w:color w:val="auto"/>
              </w:rPr>
            </w:pPr>
          </w:p>
        </w:tc>
        <w:tc>
          <w:tcPr>
            <w:tcW w:w="600" w:type="dxa"/>
            <w:vAlign w:val="bottom"/>
            <w:vMerge w:val="restart"/>
            <w:shd w:val="clear" w:color="auto" w:fill="2AD2C9"/>
          </w:tcPr>
          <w:p>
            <w:pPr>
              <w:ind w:left="140"/>
              <w:spacing w:after="0"/>
              <w:rPr>
                <w:sz w:val="20"/>
                <w:szCs w:val="20"/>
                <w:color w:val="auto"/>
              </w:rPr>
            </w:pPr>
            <w:r>
              <w:rPr>
                <w:rFonts w:ascii="Arial" w:cs="Arial" w:eastAsia="Arial" w:hAnsi="Arial"/>
                <w:sz w:val="11"/>
                <w:szCs w:val="11"/>
                <w:b w:val="1"/>
                <w:bCs w:val="1"/>
                <w:color w:val="FFFFFF"/>
              </w:rPr>
              <w:t>Dec 22</w:t>
            </w:r>
          </w:p>
        </w:tc>
        <w:tc>
          <w:tcPr>
            <w:tcW w:w="62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Sep 23</w:t>
            </w:r>
          </w:p>
        </w:tc>
        <w:tc>
          <w:tcPr>
            <w:tcW w:w="560" w:type="dxa"/>
            <w:vAlign w:val="bottom"/>
            <w:vMerge w:val="restart"/>
            <w:shd w:val="clear" w:color="auto" w:fill="2AD2C9"/>
          </w:tcPr>
          <w:p>
            <w:pPr>
              <w:ind w:left="100"/>
              <w:spacing w:after="0"/>
              <w:rPr>
                <w:sz w:val="20"/>
                <w:szCs w:val="20"/>
                <w:color w:val="auto"/>
              </w:rPr>
            </w:pPr>
            <w:r>
              <w:rPr>
                <w:rFonts w:ascii="Arial" w:cs="Arial" w:eastAsia="Arial" w:hAnsi="Arial"/>
                <w:sz w:val="11"/>
                <w:szCs w:val="11"/>
                <w:b w:val="1"/>
                <w:bCs w:val="1"/>
                <w:color w:val="FFFFFF"/>
              </w:rPr>
              <w:t>Dec 23</w:t>
            </w:r>
          </w:p>
        </w:tc>
        <w:tc>
          <w:tcPr>
            <w:tcW w:w="64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2022</w:t>
            </w:r>
          </w:p>
        </w:tc>
        <w:tc>
          <w:tcPr>
            <w:tcW w:w="60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2023</w:t>
            </w:r>
          </w:p>
        </w:tc>
        <w:tc>
          <w:tcPr>
            <w:tcW w:w="120" w:type="dxa"/>
            <w:vAlign w:val="bottom"/>
            <w:shd w:val="clear" w:color="auto" w:fill="2AD2C9"/>
          </w:tcPr>
          <w:p>
            <w:pPr>
              <w:spacing w:after="0"/>
              <w:rPr>
                <w:sz w:val="3"/>
                <w:szCs w:val="3"/>
                <w:color w:val="auto"/>
              </w:rPr>
            </w:pPr>
          </w:p>
        </w:tc>
        <w:tc>
          <w:tcPr>
            <w:tcW w:w="280" w:type="dxa"/>
            <w:vAlign w:val="bottom"/>
            <w:vMerge w:val="restart"/>
            <w:shd w:val="clear" w:color="auto" w:fill="2AD2C9"/>
          </w:tcPr>
          <w:p>
            <w:pPr>
              <w:ind w:left="20"/>
              <w:spacing w:after="0"/>
              <w:rPr>
                <w:sz w:val="20"/>
                <w:szCs w:val="20"/>
                <w:color w:val="auto"/>
              </w:rPr>
            </w:pPr>
            <w:r>
              <w:rPr>
                <w:rFonts w:ascii="Arial" w:cs="Arial" w:eastAsia="Arial" w:hAnsi="Arial"/>
                <w:sz w:val="11"/>
                <w:szCs w:val="11"/>
                <w:b w:val="1"/>
                <w:bCs w:val="1"/>
                <w:color w:val="FFFFFF"/>
              </w:rPr>
              <w:t>QoQ</w:t>
            </w:r>
          </w:p>
        </w:tc>
        <w:tc>
          <w:tcPr>
            <w:tcW w:w="140" w:type="dxa"/>
            <w:vAlign w:val="bottom"/>
            <w:shd w:val="clear" w:color="auto" w:fill="2AD2C9"/>
          </w:tcPr>
          <w:p>
            <w:pPr>
              <w:spacing w:after="0"/>
              <w:rPr>
                <w:sz w:val="3"/>
                <w:szCs w:val="3"/>
                <w:color w:val="auto"/>
              </w:rPr>
            </w:pPr>
          </w:p>
        </w:tc>
        <w:tc>
          <w:tcPr>
            <w:tcW w:w="54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YoY</w:t>
            </w:r>
          </w:p>
        </w:tc>
        <w:tc>
          <w:tcPr>
            <w:tcW w:w="560" w:type="dxa"/>
            <w:vAlign w:val="bottom"/>
            <w:vMerge w:val="restart"/>
            <w:shd w:val="clear" w:color="auto" w:fill="2AD2C9"/>
          </w:tcPr>
          <w:p>
            <w:pPr>
              <w:ind w:left="200"/>
              <w:spacing w:after="0"/>
              <w:rPr>
                <w:sz w:val="20"/>
                <w:szCs w:val="20"/>
                <w:color w:val="auto"/>
              </w:rPr>
            </w:pPr>
            <w:r>
              <w:rPr>
                <w:rFonts w:ascii="Arial" w:cs="Arial" w:eastAsia="Arial" w:hAnsi="Arial"/>
                <w:sz w:val="11"/>
                <w:szCs w:val="11"/>
                <w:b w:val="1"/>
                <w:bCs w:val="1"/>
                <w:color w:val="FFFFFF"/>
              </w:rPr>
              <w:t>FY</w:t>
            </w:r>
          </w:p>
        </w:tc>
        <w:tc>
          <w:tcPr>
            <w:tcW w:w="480" w:type="dxa"/>
            <w:vAlign w:val="bottom"/>
            <w:vMerge w:val="restart"/>
            <w:shd w:val="clear" w:color="auto" w:fill="2AD2C9"/>
          </w:tcPr>
          <w:p>
            <w:pPr>
              <w:ind w:left="140"/>
              <w:spacing w:after="0"/>
              <w:rPr>
                <w:sz w:val="20"/>
                <w:szCs w:val="20"/>
                <w:color w:val="auto"/>
              </w:rPr>
            </w:pPr>
            <w:r>
              <w:rPr>
                <w:rFonts w:ascii="Arial" w:cs="Arial" w:eastAsia="Arial" w:hAnsi="Arial"/>
                <w:sz w:val="11"/>
                <w:szCs w:val="11"/>
                <w:b w:val="1"/>
                <w:bCs w:val="1"/>
                <w:color w:val="FFFFFF"/>
              </w:rPr>
              <w:t>QoQ</w:t>
            </w:r>
          </w:p>
        </w:tc>
        <w:tc>
          <w:tcPr>
            <w:tcW w:w="68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w w:val="93"/>
              </w:rPr>
              <w:t>YoY</w:t>
            </w:r>
          </w:p>
        </w:tc>
        <w:tc>
          <w:tcPr>
            <w:tcW w:w="500" w:type="dxa"/>
            <w:vAlign w:val="bottom"/>
            <w:vMerge w:val="restart"/>
            <w:shd w:val="clear" w:color="auto" w:fill="2AD2C9"/>
          </w:tcPr>
          <w:p>
            <w:pPr>
              <w:ind w:left="140"/>
              <w:spacing w:after="0"/>
              <w:rPr>
                <w:sz w:val="20"/>
                <w:szCs w:val="20"/>
                <w:color w:val="auto"/>
              </w:rPr>
            </w:pPr>
            <w:r>
              <w:rPr>
                <w:rFonts w:ascii="Arial" w:cs="Arial" w:eastAsia="Arial" w:hAnsi="Arial"/>
                <w:sz w:val="11"/>
                <w:szCs w:val="11"/>
                <w:b w:val="1"/>
                <w:bCs w:val="1"/>
                <w:color w:val="FFFFFF"/>
              </w:rPr>
              <w:t>FY</w:t>
            </w:r>
          </w:p>
        </w:tc>
        <w:tc>
          <w:tcPr>
            <w:tcW w:w="580" w:type="dxa"/>
            <w:vAlign w:val="bottom"/>
            <w:vMerge w:val="restart"/>
            <w:shd w:val="clear" w:color="auto" w:fill="2AD2C9"/>
          </w:tcPr>
          <w:p>
            <w:pPr>
              <w:ind w:left="120"/>
              <w:spacing w:after="0"/>
              <w:rPr>
                <w:sz w:val="20"/>
                <w:szCs w:val="20"/>
                <w:color w:val="auto"/>
              </w:rPr>
            </w:pPr>
            <w:r>
              <w:rPr>
                <w:rFonts w:ascii="Arial" w:cs="Arial" w:eastAsia="Arial" w:hAnsi="Arial"/>
                <w:sz w:val="11"/>
                <w:szCs w:val="11"/>
                <w:b w:val="1"/>
                <w:bCs w:val="1"/>
                <w:color w:val="FFFFFF"/>
              </w:rPr>
              <w:t>Dec 22</w:t>
            </w:r>
          </w:p>
        </w:tc>
        <w:tc>
          <w:tcPr>
            <w:tcW w:w="580" w:type="dxa"/>
            <w:vAlign w:val="bottom"/>
            <w:vMerge w:val="restart"/>
            <w:shd w:val="clear" w:color="auto" w:fill="2AD2C9"/>
          </w:tcPr>
          <w:p>
            <w:pPr>
              <w:ind w:left="100"/>
              <w:spacing w:after="0"/>
              <w:rPr>
                <w:sz w:val="20"/>
                <w:szCs w:val="20"/>
                <w:color w:val="auto"/>
              </w:rPr>
            </w:pPr>
            <w:r>
              <w:rPr>
                <w:rFonts w:ascii="Arial" w:cs="Arial" w:eastAsia="Arial" w:hAnsi="Arial"/>
                <w:sz w:val="11"/>
                <w:szCs w:val="11"/>
                <w:b w:val="1"/>
                <w:bCs w:val="1"/>
                <w:color w:val="FFFFFF"/>
              </w:rPr>
              <w:t>Sep 23</w:t>
            </w:r>
          </w:p>
        </w:tc>
        <w:tc>
          <w:tcPr>
            <w:tcW w:w="58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Dec 23</w:t>
            </w:r>
          </w:p>
        </w:tc>
        <w:tc>
          <w:tcPr>
            <w:tcW w:w="56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2022</w:t>
            </w:r>
          </w:p>
        </w:tc>
        <w:tc>
          <w:tcPr>
            <w:tcW w:w="58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2023</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40" w:type="dxa"/>
            <w:vAlign w:val="bottom"/>
            <w:tcBorders>
              <w:bottom w:val="single" w:sz="8" w:color="auto"/>
            </w:tcBorders>
            <w:shd w:val="clear" w:color="auto" w:fill="2AD2C9"/>
          </w:tcPr>
          <w:p>
            <w:pPr>
              <w:spacing w:after="0"/>
              <w:rPr>
                <w:sz w:val="10"/>
                <w:szCs w:val="10"/>
                <w:color w:val="auto"/>
              </w:rPr>
            </w:pPr>
          </w:p>
        </w:tc>
        <w:tc>
          <w:tcPr>
            <w:tcW w:w="600" w:type="dxa"/>
            <w:vAlign w:val="bottom"/>
            <w:tcBorders>
              <w:bottom w:val="single" w:sz="8" w:color="auto"/>
            </w:tcBorders>
            <w:vMerge w:val="continue"/>
            <w:shd w:val="clear" w:color="auto" w:fill="2AD2C9"/>
          </w:tcPr>
          <w:p>
            <w:pPr>
              <w:spacing w:after="0"/>
              <w:rPr>
                <w:sz w:val="10"/>
                <w:szCs w:val="10"/>
                <w:color w:val="auto"/>
              </w:rPr>
            </w:pPr>
          </w:p>
        </w:tc>
        <w:tc>
          <w:tcPr>
            <w:tcW w:w="620" w:type="dxa"/>
            <w:vAlign w:val="bottom"/>
            <w:tcBorders>
              <w:bottom w:val="single" w:sz="8" w:color="auto"/>
            </w:tcBorders>
            <w:vMerge w:val="continue"/>
            <w:shd w:val="clear" w:color="auto" w:fill="2AD2C9"/>
          </w:tcPr>
          <w:p>
            <w:pPr>
              <w:spacing w:after="0"/>
              <w:rPr>
                <w:sz w:val="10"/>
                <w:szCs w:val="10"/>
                <w:color w:val="auto"/>
              </w:rPr>
            </w:pPr>
          </w:p>
        </w:tc>
        <w:tc>
          <w:tcPr>
            <w:tcW w:w="560" w:type="dxa"/>
            <w:vAlign w:val="bottom"/>
            <w:tcBorders>
              <w:bottom w:val="single" w:sz="8" w:color="auto"/>
            </w:tcBorders>
            <w:vMerge w:val="continue"/>
            <w:shd w:val="clear" w:color="auto" w:fill="2AD2C9"/>
          </w:tcPr>
          <w:p>
            <w:pPr>
              <w:spacing w:after="0"/>
              <w:rPr>
                <w:sz w:val="10"/>
                <w:szCs w:val="10"/>
                <w:color w:val="auto"/>
              </w:rPr>
            </w:pPr>
          </w:p>
        </w:tc>
        <w:tc>
          <w:tcPr>
            <w:tcW w:w="640" w:type="dxa"/>
            <w:vAlign w:val="bottom"/>
            <w:tcBorders>
              <w:bottom w:val="single" w:sz="8" w:color="auto"/>
            </w:tcBorders>
            <w:vMerge w:val="continue"/>
            <w:shd w:val="clear" w:color="auto" w:fill="2AD2C9"/>
          </w:tcPr>
          <w:p>
            <w:pPr>
              <w:spacing w:after="0"/>
              <w:rPr>
                <w:sz w:val="10"/>
                <w:szCs w:val="10"/>
                <w:color w:val="auto"/>
              </w:rPr>
            </w:pPr>
          </w:p>
        </w:tc>
        <w:tc>
          <w:tcPr>
            <w:tcW w:w="600" w:type="dxa"/>
            <w:vAlign w:val="bottom"/>
            <w:tcBorders>
              <w:bottom w:val="single" w:sz="8" w:color="auto"/>
            </w:tcBorders>
            <w:vMerge w:val="continue"/>
            <w:shd w:val="clear" w:color="auto" w:fill="2AD2C9"/>
          </w:tcPr>
          <w:p>
            <w:pPr>
              <w:spacing w:after="0"/>
              <w:rPr>
                <w:sz w:val="10"/>
                <w:szCs w:val="10"/>
                <w:color w:val="auto"/>
              </w:rPr>
            </w:pPr>
          </w:p>
        </w:tc>
        <w:tc>
          <w:tcPr>
            <w:tcW w:w="120" w:type="dxa"/>
            <w:vAlign w:val="bottom"/>
            <w:tcBorders>
              <w:bottom w:val="single" w:sz="8" w:color="auto"/>
            </w:tcBorders>
            <w:shd w:val="clear" w:color="auto" w:fill="2AD2C9"/>
          </w:tcPr>
          <w:p>
            <w:pPr>
              <w:spacing w:after="0"/>
              <w:rPr>
                <w:sz w:val="10"/>
                <w:szCs w:val="10"/>
                <w:color w:val="auto"/>
              </w:rPr>
            </w:pPr>
          </w:p>
        </w:tc>
        <w:tc>
          <w:tcPr>
            <w:tcW w:w="280" w:type="dxa"/>
            <w:vAlign w:val="bottom"/>
            <w:tcBorders>
              <w:bottom w:val="single" w:sz="8" w:color="auto"/>
            </w:tcBorders>
            <w:vMerge w:val="continue"/>
            <w:shd w:val="clear" w:color="auto" w:fill="2AD2C9"/>
          </w:tcPr>
          <w:p>
            <w:pPr>
              <w:spacing w:after="0"/>
              <w:rPr>
                <w:sz w:val="10"/>
                <w:szCs w:val="10"/>
                <w:color w:val="auto"/>
              </w:rPr>
            </w:pPr>
          </w:p>
        </w:tc>
        <w:tc>
          <w:tcPr>
            <w:tcW w:w="140" w:type="dxa"/>
            <w:vAlign w:val="bottom"/>
            <w:tcBorders>
              <w:bottom w:val="single" w:sz="8" w:color="auto"/>
            </w:tcBorders>
            <w:shd w:val="clear" w:color="auto" w:fill="2AD2C9"/>
          </w:tcPr>
          <w:p>
            <w:pPr>
              <w:spacing w:after="0"/>
              <w:rPr>
                <w:sz w:val="10"/>
                <w:szCs w:val="10"/>
                <w:color w:val="auto"/>
              </w:rPr>
            </w:pPr>
          </w:p>
        </w:tc>
        <w:tc>
          <w:tcPr>
            <w:tcW w:w="540" w:type="dxa"/>
            <w:vAlign w:val="bottom"/>
            <w:tcBorders>
              <w:bottom w:val="single" w:sz="8" w:color="auto"/>
            </w:tcBorders>
            <w:vMerge w:val="continue"/>
            <w:shd w:val="clear" w:color="auto" w:fill="2AD2C9"/>
          </w:tcPr>
          <w:p>
            <w:pPr>
              <w:spacing w:after="0"/>
              <w:rPr>
                <w:sz w:val="10"/>
                <w:szCs w:val="10"/>
                <w:color w:val="auto"/>
              </w:rPr>
            </w:pPr>
          </w:p>
        </w:tc>
        <w:tc>
          <w:tcPr>
            <w:tcW w:w="560" w:type="dxa"/>
            <w:vAlign w:val="bottom"/>
            <w:tcBorders>
              <w:bottom w:val="single" w:sz="8" w:color="auto"/>
            </w:tcBorders>
            <w:vMerge w:val="continue"/>
            <w:shd w:val="clear" w:color="auto" w:fill="2AD2C9"/>
          </w:tcPr>
          <w:p>
            <w:pPr>
              <w:spacing w:after="0"/>
              <w:rPr>
                <w:sz w:val="10"/>
                <w:szCs w:val="10"/>
                <w:color w:val="auto"/>
              </w:rPr>
            </w:pPr>
          </w:p>
        </w:tc>
        <w:tc>
          <w:tcPr>
            <w:tcW w:w="480" w:type="dxa"/>
            <w:vAlign w:val="bottom"/>
            <w:tcBorders>
              <w:bottom w:val="single" w:sz="8" w:color="auto"/>
            </w:tcBorders>
            <w:vMerge w:val="continue"/>
            <w:shd w:val="clear" w:color="auto" w:fill="2AD2C9"/>
          </w:tcPr>
          <w:p>
            <w:pPr>
              <w:spacing w:after="0"/>
              <w:rPr>
                <w:sz w:val="10"/>
                <w:szCs w:val="10"/>
                <w:color w:val="auto"/>
              </w:rPr>
            </w:pPr>
          </w:p>
        </w:tc>
        <w:tc>
          <w:tcPr>
            <w:tcW w:w="680" w:type="dxa"/>
            <w:vAlign w:val="bottom"/>
            <w:tcBorders>
              <w:bottom w:val="single" w:sz="8" w:color="auto"/>
            </w:tcBorders>
            <w:vMerge w:val="continue"/>
            <w:shd w:val="clear" w:color="auto" w:fill="2AD2C9"/>
          </w:tcPr>
          <w:p>
            <w:pPr>
              <w:spacing w:after="0"/>
              <w:rPr>
                <w:sz w:val="10"/>
                <w:szCs w:val="10"/>
                <w:color w:val="auto"/>
              </w:rPr>
            </w:pPr>
          </w:p>
        </w:tc>
        <w:tc>
          <w:tcPr>
            <w:tcW w:w="500" w:type="dxa"/>
            <w:vAlign w:val="bottom"/>
            <w:tcBorders>
              <w:bottom w:val="single" w:sz="8" w:color="auto"/>
            </w:tcBorders>
            <w:vMerge w:val="continue"/>
            <w:shd w:val="clear" w:color="auto" w:fill="2AD2C9"/>
          </w:tcPr>
          <w:p>
            <w:pPr>
              <w:spacing w:after="0"/>
              <w:rPr>
                <w:sz w:val="10"/>
                <w:szCs w:val="10"/>
                <w:color w:val="auto"/>
              </w:rPr>
            </w:pPr>
          </w:p>
        </w:tc>
        <w:tc>
          <w:tcPr>
            <w:tcW w:w="580" w:type="dxa"/>
            <w:vAlign w:val="bottom"/>
            <w:tcBorders>
              <w:bottom w:val="single" w:sz="8" w:color="auto"/>
            </w:tcBorders>
            <w:vMerge w:val="continue"/>
            <w:shd w:val="clear" w:color="auto" w:fill="2AD2C9"/>
          </w:tcPr>
          <w:p>
            <w:pPr>
              <w:spacing w:after="0"/>
              <w:rPr>
                <w:sz w:val="10"/>
                <w:szCs w:val="10"/>
                <w:color w:val="auto"/>
              </w:rPr>
            </w:pPr>
          </w:p>
        </w:tc>
        <w:tc>
          <w:tcPr>
            <w:tcW w:w="580" w:type="dxa"/>
            <w:vAlign w:val="bottom"/>
            <w:tcBorders>
              <w:bottom w:val="single" w:sz="8" w:color="auto"/>
            </w:tcBorders>
            <w:vMerge w:val="continue"/>
            <w:shd w:val="clear" w:color="auto" w:fill="2AD2C9"/>
          </w:tcPr>
          <w:p>
            <w:pPr>
              <w:spacing w:after="0"/>
              <w:rPr>
                <w:sz w:val="10"/>
                <w:szCs w:val="10"/>
                <w:color w:val="auto"/>
              </w:rPr>
            </w:pPr>
          </w:p>
        </w:tc>
        <w:tc>
          <w:tcPr>
            <w:tcW w:w="580" w:type="dxa"/>
            <w:vAlign w:val="bottom"/>
            <w:tcBorders>
              <w:bottom w:val="single" w:sz="8" w:color="auto"/>
            </w:tcBorders>
            <w:vMerge w:val="continue"/>
            <w:shd w:val="clear" w:color="auto" w:fill="2AD2C9"/>
          </w:tcPr>
          <w:p>
            <w:pPr>
              <w:spacing w:after="0"/>
              <w:rPr>
                <w:sz w:val="10"/>
                <w:szCs w:val="10"/>
                <w:color w:val="auto"/>
              </w:rPr>
            </w:pPr>
          </w:p>
        </w:tc>
        <w:tc>
          <w:tcPr>
            <w:tcW w:w="560" w:type="dxa"/>
            <w:vAlign w:val="bottom"/>
            <w:tcBorders>
              <w:bottom w:val="single" w:sz="8" w:color="auto"/>
            </w:tcBorders>
            <w:vMerge w:val="continue"/>
            <w:shd w:val="clear" w:color="auto" w:fill="2AD2C9"/>
          </w:tcPr>
          <w:p>
            <w:pPr>
              <w:spacing w:after="0"/>
              <w:rPr>
                <w:sz w:val="10"/>
                <w:szCs w:val="10"/>
                <w:color w:val="auto"/>
              </w:rPr>
            </w:pPr>
          </w:p>
        </w:tc>
        <w:tc>
          <w:tcPr>
            <w:tcW w:w="580" w:type="dxa"/>
            <w:vAlign w:val="bottom"/>
            <w:tcBorders>
              <w:bottom w:val="single" w:sz="8" w:color="auto"/>
            </w:tcBorders>
            <w:vMerge w:val="continue"/>
            <w:shd w:val="clear" w:color="auto" w:fill="2AD2C9"/>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40" w:type="dxa"/>
            <w:vAlign w:val="bottom"/>
          </w:tcPr>
          <w:p>
            <w:pPr>
              <w:ind w:left="100"/>
              <w:spacing w:after="0" w:line="99" w:lineRule="exact"/>
              <w:rPr>
                <w:sz w:val="20"/>
                <w:szCs w:val="20"/>
                <w:color w:val="auto"/>
              </w:rPr>
            </w:pPr>
            <w:r>
              <w:rPr>
                <w:rFonts w:ascii="Arial" w:cs="Arial" w:eastAsia="Arial" w:hAnsi="Arial"/>
                <w:sz w:val="11"/>
                <w:szCs w:val="11"/>
                <w:b w:val="1"/>
                <w:bCs w:val="1"/>
                <w:color w:val="auto"/>
              </w:rPr>
              <w:t>BCP Stand-alone</w:t>
            </w:r>
          </w:p>
        </w:tc>
        <w:tc>
          <w:tcPr>
            <w:tcW w:w="6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121,963</w:t>
            </w:r>
          </w:p>
        </w:tc>
        <w:tc>
          <w:tcPr>
            <w:tcW w:w="62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115,851</w:t>
            </w:r>
          </w:p>
        </w:tc>
        <w:tc>
          <w:tcPr>
            <w:tcW w:w="56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115,997</w:t>
            </w:r>
          </w:p>
        </w:tc>
        <w:tc>
          <w:tcPr>
            <w:tcW w:w="64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120,364</w:t>
            </w:r>
          </w:p>
        </w:tc>
        <w:tc>
          <w:tcPr>
            <w:tcW w:w="6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116,582</w:t>
            </w:r>
          </w:p>
        </w:tc>
        <w:tc>
          <w:tcPr>
            <w:tcW w:w="120" w:type="dxa"/>
            <w:vAlign w:val="bottom"/>
          </w:tcPr>
          <w:p>
            <w:pPr>
              <w:spacing w:after="0"/>
              <w:rPr>
                <w:sz w:val="8"/>
                <w:szCs w:val="8"/>
                <w:color w:val="auto"/>
              </w:rPr>
            </w:pPr>
          </w:p>
        </w:tc>
        <w:tc>
          <w:tcPr>
            <w:tcW w:w="2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7"/>
              </w:rPr>
              <w:t>145</w:t>
            </w:r>
          </w:p>
        </w:tc>
        <w:tc>
          <w:tcPr>
            <w:tcW w:w="680" w:type="dxa"/>
            <w:vAlign w:val="bottom"/>
            <w:gridSpan w:val="2"/>
          </w:tcPr>
          <w:p>
            <w:pPr>
              <w:jc w:val="center"/>
              <w:ind w:left="63"/>
              <w:spacing w:after="0" w:line="99" w:lineRule="exact"/>
              <w:rPr>
                <w:sz w:val="20"/>
                <w:szCs w:val="20"/>
                <w:color w:val="auto"/>
              </w:rPr>
            </w:pPr>
            <w:r>
              <w:rPr>
                <w:rFonts w:ascii="Arial" w:cs="Arial" w:eastAsia="Arial" w:hAnsi="Arial"/>
                <w:sz w:val="11"/>
                <w:szCs w:val="11"/>
                <w:b w:val="1"/>
                <w:bCs w:val="1"/>
                <w:color w:val="auto"/>
              </w:rPr>
              <w:t>-5,966</w:t>
            </w:r>
          </w:p>
        </w:tc>
        <w:tc>
          <w:tcPr>
            <w:tcW w:w="56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-3,782</w:t>
            </w:r>
          </w:p>
        </w:tc>
        <w:tc>
          <w:tcPr>
            <w:tcW w:w="480" w:type="dxa"/>
            <w:vAlign w:val="bottom"/>
          </w:tcPr>
          <w:p>
            <w:pPr>
              <w:jc w:val="center"/>
              <w:ind w:left="3"/>
              <w:spacing w:after="0" w:line="99" w:lineRule="exact"/>
              <w:rPr>
                <w:sz w:val="20"/>
                <w:szCs w:val="20"/>
                <w:color w:val="auto"/>
              </w:rPr>
            </w:pPr>
            <w:r>
              <w:rPr>
                <w:rFonts w:ascii="Arial" w:cs="Arial" w:eastAsia="Arial" w:hAnsi="Arial"/>
                <w:sz w:val="11"/>
                <w:szCs w:val="11"/>
                <w:b w:val="1"/>
                <w:bCs w:val="1"/>
                <w:color w:val="auto"/>
              </w:rPr>
              <w:t>0.1%</w:t>
            </w:r>
          </w:p>
        </w:tc>
        <w:tc>
          <w:tcPr>
            <w:tcW w:w="6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7"/>
              </w:rPr>
              <w:t>-4.9%</w:t>
            </w:r>
          </w:p>
        </w:tc>
        <w:tc>
          <w:tcPr>
            <w:tcW w:w="500" w:type="dxa"/>
            <w:vAlign w:val="bottom"/>
          </w:tcPr>
          <w:p>
            <w:pPr>
              <w:jc w:val="center"/>
              <w:ind w:right="3"/>
              <w:spacing w:after="0" w:line="99" w:lineRule="exact"/>
              <w:rPr>
                <w:sz w:val="20"/>
                <w:szCs w:val="20"/>
                <w:color w:val="auto"/>
              </w:rPr>
            </w:pPr>
            <w:r>
              <w:rPr>
                <w:rFonts w:ascii="Arial" w:cs="Arial" w:eastAsia="Arial" w:hAnsi="Arial"/>
                <w:sz w:val="11"/>
                <w:szCs w:val="11"/>
                <w:b w:val="1"/>
                <w:bCs w:val="1"/>
                <w:color w:val="auto"/>
                <w:w w:val="97"/>
              </w:rPr>
              <w:t>-3.1%</w:t>
            </w:r>
          </w:p>
        </w:tc>
        <w:tc>
          <w:tcPr>
            <w:tcW w:w="5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82.1%</w:t>
            </w:r>
          </w:p>
        </w:tc>
        <w:tc>
          <w:tcPr>
            <w:tcW w:w="5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81.5%</w:t>
            </w:r>
          </w:p>
        </w:tc>
        <w:tc>
          <w:tcPr>
            <w:tcW w:w="5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81.5%</w:t>
            </w:r>
          </w:p>
        </w:tc>
        <w:tc>
          <w:tcPr>
            <w:tcW w:w="56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82.2%</w:t>
            </w:r>
          </w:p>
        </w:tc>
        <w:tc>
          <w:tcPr>
            <w:tcW w:w="5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81.6%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Wholesale Banking</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57,497</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52,796</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52,469</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56,441</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53,338</w:t>
            </w:r>
          </w:p>
        </w:tc>
        <w:tc>
          <w:tcPr>
            <w:tcW w:w="120" w:type="dxa"/>
            <w:vAlign w:val="bottom"/>
          </w:tcPr>
          <w:p>
            <w:pPr>
              <w:spacing w:after="0"/>
              <w:rPr>
                <w:sz w:val="10"/>
                <w:szCs w:val="10"/>
                <w:color w:val="auto"/>
              </w:rPr>
            </w:pPr>
          </w:p>
        </w:tc>
        <w:tc>
          <w:tcPr>
            <w:tcW w:w="2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-328</w:t>
            </w:r>
          </w:p>
        </w:tc>
        <w:tc>
          <w:tcPr>
            <w:tcW w:w="680" w:type="dxa"/>
            <w:vAlign w:val="bottom"/>
            <w:gridSpan w:val="2"/>
          </w:tcPr>
          <w:p>
            <w:pPr>
              <w:jc w:val="center"/>
              <w:ind w:left="63"/>
              <w:spacing w:after="0" w:line="122" w:lineRule="exact"/>
              <w:rPr>
                <w:sz w:val="20"/>
                <w:szCs w:val="20"/>
                <w:color w:val="auto"/>
              </w:rPr>
            </w:pPr>
            <w:r>
              <w:rPr>
                <w:rFonts w:ascii="Arial" w:cs="Arial" w:eastAsia="Arial" w:hAnsi="Arial"/>
                <w:sz w:val="11"/>
                <w:szCs w:val="11"/>
                <w:b w:val="1"/>
                <w:bCs w:val="1"/>
                <w:color w:val="auto"/>
              </w:rPr>
              <w:t>-5,028</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-3,103</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rPr>
              <w:t>-0.6%</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-8.7%</w:t>
            </w:r>
          </w:p>
        </w:tc>
        <w:tc>
          <w:tcPr>
            <w:tcW w:w="50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97"/>
              </w:rPr>
              <w:t>-5.5%</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38.7%</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37.1%</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36.9%</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38.5%</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300"/>
              <w:spacing w:after="0" w:line="122" w:lineRule="exact"/>
              <w:rPr>
                <w:sz w:val="20"/>
                <w:szCs w:val="20"/>
                <w:color w:val="auto"/>
              </w:rPr>
            </w:pPr>
            <w:r>
              <w:rPr>
                <w:rFonts w:ascii="Arial" w:cs="Arial" w:eastAsia="Arial" w:hAnsi="Arial"/>
                <w:sz w:val="11"/>
                <w:szCs w:val="11"/>
                <w:color w:val="auto"/>
              </w:rPr>
              <w:t>Corporate</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33,617</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31,134</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30,554</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32,648</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31,625</w:t>
            </w:r>
          </w:p>
        </w:tc>
        <w:tc>
          <w:tcPr>
            <w:tcW w:w="120" w:type="dxa"/>
            <w:vAlign w:val="bottom"/>
            <w:shd w:val="clear" w:color="auto" w:fill="E93BAC"/>
          </w:tcPr>
          <w:p>
            <w:pPr>
              <w:spacing w:after="0"/>
              <w:rPr>
                <w:sz w:val="10"/>
                <w:szCs w:val="10"/>
                <w:color w:val="auto"/>
              </w:rPr>
            </w:pPr>
          </w:p>
        </w:tc>
        <w:tc>
          <w:tcPr>
            <w:tcW w:w="28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w w:val="99"/>
              </w:rPr>
              <w:t>-580</w:t>
            </w:r>
          </w:p>
        </w:tc>
        <w:tc>
          <w:tcPr>
            <w:tcW w:w="680" w:type="dxa"/>
            <w:vAlign w:val="bottom"/>
            <w:gridSpan w:val="2"/>
            <w:shd w:val="clear" w:color="auto" w:fill="E93BAC"/>
          </w:tcPr>
          <w:p>
            <w:pPr>
              <w:jc w:val="center"/>
              <w:ind w:left="63"/>
              <w:spacing w:after="0" w:line="122" w:lineRule="exact"/>
              <w:rPr>
                <w:sz w:val="20"/>
                <w:szCs w:val="20"/>
                <w:color w:val="auto"/>
              </w:rPr>
            </w:pPr>
            <w:r>
              <w:rPr>
                <w:rFonts w:ascii="Arial" w:cs="Arial" w:eastAsia="Arial" w:hAnsi="Arial"/>
                <w:sz w:val="11"/>
                <w:szCs w:val="11"/>
                <w:color w:val="auto"/>
              </w:rPr>
              <w:t>-3,062</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-1,023</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color w:val="auto"/>
              </w:rPr>
              <w:t>-1.9%</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7"/>
              </w:rPr>
              <w:t>-9.1%</w:t>
            </w:r>
          </w:p>
        </w:tc>
        <w:tc>
          <w:tcPr>
            <w:tcW w:w="500" w:type="dxa"/>
            <w:vAlign w:val="bottom"/>
          </w:tcPr>
          <w:p>
            <w:pPr>
              <w:jc w:val="center"/>
              <w:ind w:right="3"/>
              <w:spacing w:after="0" w:line="122" w:lineRule="exact"/>
              <w:rPr>
                <w:sz w:val="20"/>
                <w:szCs w:val="20"/>
                <w:color w:val="auto"/>
              </w:rPr>
            </w:pPr>
            <w:r>
              <w:rPr>
                <w:rFonts w:ascii="Arial" w:cs="Arial" w:eastAsia="Arial" w:hAnsi="Arial"/>
                <w:sz w:val="11"/>
                <w:szCs w:val="11"/>
                <w:color w:val="auto"/>
                <w:w w:val="97"/>
              </w:rPr>
              <w:t>-3.1%</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22.6%</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21.9%</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21.5%</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22.3%</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22.1%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40" w:type="dxa"/>
            <w:vAlign w:val="bottom"/>
          </w:tcPr>
          <w:p>
            <w:pPr>
              <w:ind w:left="300"/>
              <w:spacing w:after="0" w:line="122" w:lineRule="exact"/>
              <w:rPr>
                <w:sz w:val="20"/>
                <w:szCs w:val="20"/>
                <w:color w:val="auto"/>
              </w:rPr>
            </w:pPr>
            <w:r>
              <w:rPr>
                <w:rFonts w:ascii="Arial" w:cs="Arial" w:eastAsia="Arial" w:hAnsi="Arial"/>
                <w:sz w:val="11"/>
                <w:szCs w:val="11"/>
                <w:color w:val="auto"/>
              </w:rPr>
              <w:t>Middle - Market</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23,881</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21,662</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21,914</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23,793</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21,713</w:t>
            </w:r>
          </w:p>
        </w:tc>
        <w:tc>
          <w:tcPr>
            <w:tcW w:w="120" w:type="dxa"/>
            <w:vAlign w:val="bottom"/>
            <w:shd w:val="clear" w:color="auto" w:fill="00D274"/>
          </w:tcPr>
          <w:p>
            <w:pPr>
              <w:spacing w:after="0"/>
              <w:rPr>
                <w:sz w:val="11"/>
                <w:szCs w:val="11"/>
                <w:color w:val="auto"/>
              </w:rPr>
            </w:pPr>
          </w:p>
        </w:tc>
        <w:tc>
          <w:tcPr>
            <w:tcW w:w="28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w w:val="97"/>
              </w:rPr>
              <w:t>252</w:t>
            </w:r>
          </w:p>
        </w:tc>
        <w:tc>
          <w:tcPr>
            <w:tcW w:w="140" w:type="dxa"/>
            <w:vAlign w:val="bottom"/>
            <w:shd w:val="clear" w:color="auto" w:fill="00D274"/>
          </w:tcPr>
          <w:p>
            <w:pPr>
              <w:spacing w:after="0"/>
              <w:rPr>
                <w:sz w:val="11"/>
                <w:szCs w:val="11"/>
                <w:color w:val="auto"/>
              </w:rPr>
            </w:pPr>
          </w:p>
        </w:tc>
        <w:tc>
          <w:tcPr>
            <w:tcW w:w="54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-1,966</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-2,080</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color w:val="auto"/>
              </w:rPr>
              <w:t>1.2%</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7"/>
              </w:rPr>
              <w:t>-8.2%</w:t>
            </w:r>
          </w:p>
        </w:tc>
        <w:tc>
          <w:tcPr>
            <w:tcW w:w="500" w:type="dxa"/>
            <w:vAlign w:val="bottom"/>
          </w:tcPr>
          <w:p>
            <w:pPr>
              <w:jc w:val="center"/>
              <w:ind w:right="3"/>
              <w:spacing w:after="0" w:line="122" w:lineRule="exact"/>
              <w:rPr>
                <w:sz w:val="20"/>
                <w:szCs w:val="20"/>
                <w:color w:val="auto"/>
              </w:rPr>
            </w:pPr>
            <w:r>
              <w:rPr>
                <w:rFonts w:ascii="Arial" w:cs="Arial" w:eastAsia="Arial" w:hAnsi="Arial"/>
                <w:sz w:val="11"/>
                <w:szCs w:val="11"/>
                <w:color w:val="auto"/>
                <w:w w:val="97"/>
              </w:rPr>
              <w:t>-8.7%</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16.1%</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15.2%</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15.4%</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16.2%</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40" w:type="dxa"/>
            <w:vAlign w:val="bottom"/>
          </w:tcPr>
          <w:p>
            <w:pPr>
              <w:ind w:left="180"/>
              <w:spacing w:after="0" w:line="107" w:lineRule="exact"/>
              <w:rPr>
                <w:sz w:val="20"/>
                <w:szCs w:val="20"/>
                <w:color w:val="auto"/>
              </w:rPr>
            </w:pPr>
            <w:r>
              <w:rPr>
                <w:rFonts w:ascii="Arial" w:cs="Arial" w:eastAsia="Arial" w:hAnsi="Arial"/>
                <w:sz w:val="11"/>
                <w:szCs w:val="11"/>
                <w:b w:val="1"/>
                <w:bCs w:val="1"/>
                <w:color w:val="auto"/>
              </w:rPr>
              <w:t>Retail Banking</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64,465</w:t>
            </w:r>
          </w:p>
        </w:tc>
        <w:tc>
          <w:tcPr>
            <w:tcW w:w="6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63,055</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63,528</w:t>
            </w:r>
          </w:p>
        </w:tc>
        <w:tc>
          <w:tcPr>
            <w:tcW w:w="6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63,923</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63,244</w:t>
            </w:r>
          </w:p>
        </w:tc>
        <w:tc>
          <w:tcPr>
            <w:tcW w:w="120" w:type="dxa"/>
            <w:vAlign w:val="bottom"/>
          </w:tcPr>
          <w:p>
            <w:pPr>
              <w:spacing w:after="0"/>
              <w:rPr>
                <w:sz w:val="9"/>
                <w:szCs w:val="9"/>
                <w:color w:val="auto"/>
              </w:rPr>
            </w:pPr>
          </w:p>
        </w:tc>
        <w:tc>
          <w:tcPr>
            <w:tcW w:w="2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7"/>
              </w:rPr>
              <w:t>473</w:t>
            </w:r>
          </w:p>
        </w:tc>
        <w:tc>
          <w:tcPr>
            <w:tcW w:w="140" w:type="dxa"/>
            <w:vAlign w:val="bottom"/>
          </w:tcPr>
          <w:p>
            <w:pPr>
              <w:spacing w:after="0"/>
              <w:rPr>
                <w:sz w:val="9"/>
                <w:szCs w:val="9"/>
                <w:color w:val="auto"/>
              </w:rPr>
            </w:pP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9"/>
              </w:rPr>
              <w:t>-938</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-679</w:t>
            </w:r>
          </w:p>
        </w:tc>
        <w:tc>
          <w:tcPr>
            <w:tcW w:w="480" w:type="dxa"/>
            <w:vAlign w:val="bottom"/>
          </w:tcPr>
          <w:p>
            <w:pPr>
              <w:jc w:val="center"/>
              <w:ind w:left="3"/>
              <w:spacing w:after="0" w:line="107" w:lineRule="exact"/>
              <w:rPr>
                <w:sz w:val="20"/>
                <w:szCs w:val="20"/>
                <w:color w:val="auto"/>
              </w:rPr>
            </w:pPr>
            <w:r>
              <w:rPr>
                <w:rFonts w:ascii="Arial" w:cs="Arial" w:eastAsia="Arial" w:hAnsi="Arial"/>
                <w:sz w:val="11"/>
                <w:szCs w:val="11"/>
                <w:b w:val="1"/>
                <w:bCs w:val="1"/>
                <w:color w:val="auto"/>
              </w:rPr>
              <w:t>0.7%</w:t>
            </w:r>
          </w:p>
        </w:tc>
        <w:tc>
          <w:tcPr>
            <w:tcW w:w="6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7"/>
              </w:rPr>
              <w:t>-1.5%</w:t>
            </w:r>
          </w:p>
        </w:tc>
        <w:tc>
          <w:tcPr>
            <w:tcW w:w="500" w:type="dxa"/>
            <w:vAlign w:val="bottom"/>
          </w:tcPr>
          <w:p>
            <w:pPr>
              <w:jc w:val="center"/>
              <w:ind w:right="3"/>
              <w:spacing w:after="0" w:line="107" w:lineRule="exact"/>
              <w:rPr>
                <w:sz w:val="20"/>
                <w:szCs w:val="20"/>
                <w:color w:val="auto"/>
              </w:rPr>
            </w:pPr>
            <w:r>
              <w:rPr>
                <w:rFonts w:ascii="Arial" w:cs="Arial" w:eastAsia="Arial" w:hAnsi="Arial"/>
                <w:sz w:val="11"/>
                <w:szCs w:val="11"/>
                <w:b w:val="1"/>
                <w:bCs w:val="1"/>
                <w:color w:val="auto"/>
                <w:w w:val="97"/>
              </w:rPr>
              <w:t>-1.1%</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43.4%</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44.3%</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44.7%</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43.6%</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300"/>
              <w:spacing w:after="0" w:line="122" w:lineRule="exact"/>
              <w:rPr>
                <w:sz w:val="20"/>
                <w:szCs w:val="20"/>
                <w:color w:val="auto"/>
              </w:rPr>
            </w:pPr>
            <w:r>
              <w:rPr>
                <w:rFonts w:ascii="Arial" w:cs="Arial" w:eastAsia="Arial" w:hAnsi="Arial"/>
                <w:sz w:val="11"/>
                <w:szCs w:val="11"/>
                <w:color w:val="auto"/>
              </w:rPr>
              <w:t>SME - Business</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8,583</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7,292</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7,168</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9,135</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7,441</w:t>
            </w:r>
          </w:p>
        </w:tc>
        <w:tc>
          <w:tcPr>
            <w:tcW w:w="120" w:type="dxa"/>
            <w:vAlign w:val="bottom"/>
          </w:tcPr>
          <w:p>
            <w:pPr>
              <w:spacing w:after="0"/>
              <w:rPr>
                <w:sz w:val="10"/>
                <w:szCs w:val="10"/>
                <w:color w:val="auto"/>
              </w:rPr>
            </w:pPr>
          </w:p>
        </w:tc>
        <w:tc>
          <w:tcPr>
            <w:tcW w:w="280" w:type="dxa"/>
            <w:vAlign w:val="bottom"/>
          </w:tcPr>
          <w:p>
            <w:pPr>
              <w:jc w:val="center"/>
              <w:spacing w:after="0" w:line="122" w:lineRule="exact"/>
              <w:rPr>
                <w:sz w:val="20"/>
                <w:szCs w:val="20"/>
                <w:color w:val="auto"/>
              </w:rPr>
            </w:pPr>
            <w:r>
              <w:rPr>
                <w:rFonts w:ascii="Arial" w:cs="Arial" w:eastAsia="Arial" w:hAnsi="Arial"/>
                <w:sz w:val="11"/>
                <w:szCs w:val="11"/>
                <w:color w:val="auto"/>
                <w:w w:val="99"/>
              </w:rPr>
              <w:t>-124</w:t>
            </w:r>
          </w:p>
        </w:tc>
        <w:tc>
          <w:tcPr>
            <w:tcW w:w="140" w:type="dxa"/>
            <w:vAlign w:val="bottom"/>
          </w:tcPr>
          <w:p>
            <w:pPr>
              <w:spacing w:after="0"/>
              <w:rPr>
                <w:sz w:val="10"/>
                <w:szCs w:val="10"/>
                <w:color w:val="auto"/>
              </w:rPr>
            </w:pPr>
          </w:p>
        </w:tc>
        <w:tc>
          <w:tcPr>
            <w:tcW w:w="54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-1,415</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-1,694</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color w:val="auto"/>
              </w:rPr>
              <w:t>-1.7%</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-16.5%</w:t>
            </w:r>
          </w:p>
        </w:tc>
        <w:tc>
          <w:tcPr>
            <w:tcW w:w="5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-18.5%</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w w:val="95"/>
              </w:rPr>
              <w:t>5.8%</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5.1%</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5.0%</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6.2%</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300"/>
              <w:spacing w:after="0" w:line="122" w:lineRule="exact"/>
              <w:rPr>
                <w:sz w:val="20"/>
                <w:szCs w:val="20"/>
                <w:color w:val="auto"/>
              </w:rPr>
            </w:pPr>
            <w:r>
              <w:rPr>
                <w:rFonts w:ascii="Arial" w:cs="Arial" w:eastAsia="Arial" w:hAnsi="Arial"/>
                <w:sz w:val="11"/>
                <w:szCs w:val="11"/>
                <w:color w:val="auto"/>
              </w:rPr>
              <w:t>SME - Pyme</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17,947</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16,549</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16,744</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18,705</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16,696</w:t>
            </w:r>
          </w:p>
        </w:tc>
        <w:tc>
          <w:tcPr>
            <w:tcW w:w="120" w:type="dxa"/>
            <w:vAlign w:val="bottom"/>
            <w:shd w:val="clear" w:color="auto" w:fill="00D274"/>
          </w:tcPr>
          <w:p>
            <w:pPr>
              <w:spacing w:after="0"/>
              <w:rPr>
                <w:sz w:val="10"/>
                <w:szCs w:val="10"/>
                <w:color w:val="auto"/>
              </w:rPr>
            </w:pPr>
          </w:p>
        </w:tc>
        <w:tc>
          <w:tcPr>
            <w:tcW w:w="28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w w:val="97"/>
              </w:rPr>
              <w:t>195</w:t>
            </w:r>
          </w:p>
        </w:tc>
        <w:tc>
          <w:tcPr>
            <w:tcW w:w="140" w:type="dxa"/>
            <w:vAlign w:val="bottom"/>
            <w:shd w:val="clear" w:color="auto" w:fill="00D274"/>
          </w:tcPr>
          <w:p>
            <w:pPr>
              <w:spacing w:after="0"/>
              <w:rPr>
                <w:sz w:val="10"/>
                <w:szCs w:val="10"/>
                <w:color w:val="auto"/>
              </w:rPr>
            </w:pPr>
          </w:p>
        </w:tc>
        <w:tc>
          <w:tcPr>
            <w:tcW w:w="54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-1,203</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-2,009</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color w:val="auto"/>
              </w:rPr>
              <w:t>1.2%</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7"/>
              </w:rPr>
              <w:t>-6.7%</w:t>
            </w:r>
          </w:p>
        </w:tc>
        <w:tc>
          <w:tcPr>
            <w:tcW w:w="5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-10.7%</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12.1%</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w w:val="96"/>
              </w:rPr>
              <w:t>11.6%</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11.8%</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12.8%</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w w:val="96"/>
              </w:rPr>
              <w:t>11.7%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40" w:type="dxa"/>
            <w:vAlign w:val="bottom"/>
          </w:tcPr>
          <w:p>
            <w:pPr>
              <w:ind w:left="300"/>
              <w:spacing w:after="0" w:line="122" w:lineRule="exact"/>
              <w:rPr>
                <w:sz w:val="20"/>
                <w:szCs w:val="20"/>
                <w:color w:val="auto"/>
              </w:rPr>
            </w:pPr>
            <w:r>
              <w:rPr>
                <w:rFonts w:ascii="Arial" w:cs="Arial" w:eastAsia="Arial" w:hAnsi="Arial"/>
                <w:sz w:val="11"/>
                <w:szCs w:val="11"/>
                <w:color w:val="auto"/>
              </w:rPr>
              <w:t>Mortgage</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20,073</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20,712</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21,061</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19,484</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20,626</w:t>
            </w:r>
          </w:p>
        </w:tc>
        <w:tc>
          <w:tcPr>
            <w:tcW w:w="120" w:type="dxa"/>
            <w:vAlign w:val="bottom"/>
            <w:shd w:val="clear" w:color="auto" w:fill="00D274"/>
          </w:tcPr>
          <w:p>
            <w:pPr>
              <w:spacing w:after="0"/>
              <w:rPr>
                <w:sz w:val="11"/>
                <w:szCs w:val="11"/>
                <w:color w:val="auto"/>
              </w:rPr>
            </w:pPr>
          </w:p>
        </w:tc>
        <w:tc>
          <w:tcPr>
            <w:tcW w:w="28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w w:val="97"/>
              </w:rPr>
              <w:t>349</w:t>
            </w:r>
          </w:p>
        </w:tc>
        <w:tc>
          <w:tcPr>
            <w:tcW w:w="140" w:type="dxa"/>
            <w:vAlign w:val="bottom"/>
            <w:shd w:val="clear" w:color="auto" w:fill="00D274"/>
          </w:tcPr>
          <w:p>
            <w:pPr>
              <w:spacing w:after="0"/>
              <w:rPr>
                <w:sz w:val="11"/>
                <w:szCs w:val="11"/>
                <w:color w:val="auto"/>
              </w:rPr>
            </w:pP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w w:val="97"/>
              </w:rPr>
              <w:t>989</w:t>
            </w:r>
          </w:p>
        </w:tc>
        <w:tc>
          <w:tcPr>
            <w:tcW w:w="56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1,142</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color w:val="auto"/>
              </w:rPr>
              <w:t>1.7%</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5"/>
              </w:rPr>
              <w:t>4.9%</w:t>
            </w:r>
          </w:p>
        </w:tc>
        <w:tc>
          <w:tcPr>
            <w:tcW w:w="500" w:type="dxa"/>
            <w:vAlign w:val="bottom"/>
          </w:tcPr>
          <w:p>
            <w:pPr>
              <w:jc w:val="center"/>
              <w:spacing w:after="0" w:line="122" w:lineRule="exact"/>
              <w:rPr>
                <w:sz w:val="20"/>
                <w:szCs w:val="20"/>
                <w:color w:val="auto"/>
              </w:rPr>
            </w:pPr>
            <w:r>
              <w:rPr>
                <w:rFonts w:ascii="Arial" w:cs="Arial" w:eastAsia="Arial" w:hAnsi="Arial"/>
                <w:sz w:val="11"/>
                <w:szCs w:val="11"/>
                <w:color w:val="auto"/>
              </w:rPr>
              <w:t>5.9%</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13.5%</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14.6%</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14.8%</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13.3%</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40" w:type="dxa"/>
            <w:vAlign w:val="bottom"/>
          </w:tcPr>
          <w:p>
            <w:pPr>
              <w:ind w:left="300"/>
              <w:spacing w:after="0" w:line="107" w:lineRule="exact"/>
              <w:rPr>
                <w:sz w:val="20"/>
                <w:szCs w:val="20"/>
                <w:color w:val="auto"/>
              </w:rPr>
            </w:pPr>
            <w:r>
              <w:rPr>
                <w:rFonts w:ascii="Arial" w:cs="Arial" w:eastAsia="Arial" w:hAnsi="Arial"/>
                <w:sz w:val="11"/>
                <w:szCs w:val="11"/>
                <w:color w:val="auto"/>
              </w:rPr>
              <w:t>Consumer</w:t>
            </w:r>
          </w:p>
        </w:tc>
        <w:tc>
          <w:tcPr>
            <w:tcW w:w="600" w:type="dxa"/>
            <w:vAlign w:val="bottom"/>
          </w:tcPr>
          <w:p>
            <w:pPr>
              <w:jc w:val="center"/>
              <w:spacing w:after="0" w:line="107" w:lineRule="exact"/>
              <w:rPr>
                <w:sz w:val="20"/>
                <w:szCs w:val="20"/>
                <w:color w:val="auto"/>
              </w:rPr>
            </w:pPr>
            <w:r>
              <w:rPr>
                <w:rFonts w:ascii="Arial" w:cs="Arial" w:eastAsia="Arial" w:hAnsi="Arial"/>
                <w:sz w:val="11"/>
                <w:szCs w:val="11"/>
                <w:color w:val="auto"/>
              </w:rPr>
              <w:t>12,738</w:t>
            </w:r>
          </w:p>
        </w:tc>
        <w:tc>
          <w:tcPr>
            <w:tcW w:w="620" w:type="dxa"/>
            <w:vAlign w:val="bottom"/>
          </w:tcPr>
          <w:p>
            <w:pPr>
              <w:jc w:val="center"/>
              <w:spacing w:after="0" w:line="107" w:lineRule="exact"/>
              <w:rPr>
                <w:sz w:val="20"/>
                <w:szCs w:val="20"/>
                <w:color w:val="auto"/>
              </w:rPr>
            </w:pPr>
            <w:r>
              <w:rPr>
                <w:rFonts w:ascii="Arial" w:cs="Arial" w:eastAsia="Arial" w:hAnsi="Arial"/>
                <w:sz w:val="11"/>
                <w:szCs w:val="11"/>
                <w:color w:val="auto"/>
              </w:rPr>
              <w:t>12,654</w:t>
            </w:r>
          </w:p>
        </w:tc>
        <w:tc>
          <w:tcPr>
            <w:tcW w:w="560" w:type="dxa"/>
            <w:vAlign w:val="bottom"/>
          </w:tcPr>
          <w:p>
            <w:pPr>
              <w:jc w:val="center"/>
              <w:spacing w:after="0" w:line="107" w:lineRule="exact"/>
              <w:rPr>
                <w:sz w:val="20"/>
                <w:szCs w:val="20"/>
                <w:color w:val="auto"/>
              </w:rPr>
            </w:pPr>
            <w:r>
              <w:rPr>
                <w:rFonts w:ascii="Arial" w:cs="Arial" w:eastAsia="Arial" w:hAnsi="Arial"/>
                <w:sz w:val="11"/>
                <w:szCs w:val="11"/>
                <w:color w:val="auto"/>
              </w:rPr>
              <w:t>12,604</w:t>
            </w:r>
          </w:p>
        </w:tc>
        <w:tc>
          <w:tcPr>
            <w:tcW w:w="640" w:type="dxa"/>
            <w:vAlign w:val="bottom"/>
          </w:tcPr>
          <w:p>
            <w:pPr>
              <w:jc w:val="center"/>
              <w:spacing w:after="0" w:line="107" w:lineRule="exact"/>
              <w:rPr>
                <w:sz w:val="20"/>
                <w:szCs w:val="20"/>
                <w:color w:val="auto"/>
              </w:rPr>
            </w:pPr>
            <w:r>
              <w:rPr>
                <w:rFonts w:ascii="Arial" w:cs="Arial" w:eastAsia="Arial" w:hAnsi="Arial"/>
                <w:sz w:val="11"/>
                <w:szCs w:val="11"/>
                <w:color w:val="auto"/>
              </w:rPr>
              <w:t>12,000</w:t>
            </w:r>
          </w:p>
        </w:tc>
        <w:tc>
          <w:tcPr>
            <w:tcW w:w="600" w:type="dxa"/>
            <w:vAlign w:val="bottom"/>
          </w:tcPr>
          <w:p>
            <w:pPr>
              <w:jc w:val="center"/>
              <w:spacing w:after="0" w:line="107" w:lineRule="exact"/>
              <w:rPr>
                <w:sz w:val="20"/>
                <w:szCs w:val="20"/>
                <w:color w:val="auto"/>
              </w:rPr>
            </w:pPr>
            <w:r>
              <w:rPr>
                <w:rFonts w:ascii="Arial" w:cs="Arial" w:eastAsia="Arial" w:hAnsi="Arial"/>
                <w:sz w:val="11"/>
                <w:szCs w:val="11"/>
                <w:color w:val="auto"/>
              </w:rPr>
              <w:t>12,753</w:t>
            </w:r>
          </w:p>
        </w:tc>
        <w:tc>
          <w:tcPr>
            <w:tcW w:w="120" w:type="dxa"/>
            <w:vAlign w:val="bottom"/>
          </w:tcPr>
          <w:p>
            <w:pPr>
              <w:spacing w:after="0"/>
              <w:rPr>
                <w:sz w:val="9"/>
                <w:szCs w:val="9"/>
                <w:color w:val="auto"/>
              </w:rPr>
            </w:pPr>
          </w:p>
        </w:tc>
        <w:tc>
          <w:tcPr>
            <w:tcW w:w="280" w:type="dxa"/>
            <w:vAlign w:val="bottom"/>
          </w:tcPr>
          <w:p>
            <w:pPr>
              <w:jc w:val="center"/>
              <w:spacing w:after="0" w:line="107" w:lineRule="exact"/>
              <w:rPr>
                <w:sz w:val="20"/>
                <w:szCs w:val="20"/>
                <w:color w:val="auto"/>
              </w:rPr>
            </w:pPr>
            <w:r>
              <w:rPr>
                <w:rFonts w:ascii="Arial" w:cs="Arial" w:eastAsia="Arial" w:hAnsi="Arial"/>
                <w:sz w:val="11"/>
                <w:szCs w:val="11"/>
                <w:color w:val="auto"/>
              </w:rPr>
              <w:t>-50</w:t>
            </w:r>
          </w:p>
        </w:tc>
        <w:tc>
          <w:tcPr>
            <w:tcW w:w="140" w:type="dxa"/>
            <w:vAlign w:val="bottom"/>
          </w:tcPr>
          <w:p>
            <w:pPr>
              <w:spacing w:after="0"/>
              <w:rPr>
                <w:sz w:val="9"/>
                <w:szCs w:val="9"/>
                <w:color w:val="auto"/>
              </w:rPr>
            </w:pPr>
          </w:p>
        </w:tc>
        <w:tc>
          <w:tcPr>
            <w:tcW w:w="540" w:type="dxa"/>
            <w:vAlign w:val="bottom"/>
          </w:tcPr>
          <w:p>
            <w:pPr>
              <w:jc w:val="center"/>
              <w:spacing w:after="0" w:line="107" w:lineRule="exact"/>
              <w:rPr>
                <w:sz w:val="20"/>
                <w:szCs w:val="20"/>
                <w:color w:val="auto"/>
              </w:rPr>
            </w:pPr>
            <w:r>
              <w:rPr>
                <w:rFonts w:ascii="Arial" w:cs="Arial" w:eastAsia="Arial" w:hAnsi="Arial"/>
                <w:sz w:val="11"/>
                <w:szCs w:val="11"/>
                <w:color w:val="auto"/>
                <w:w w:val="99"/>
              </w:rPr>
              <w:t>-134</w:t>
            </w:r>
          </w:p>
        </w:tc>
        <w:tc>
          <w:tcPr>
            <w:tcW w:w="560" w:type="dxa"/>
            <w:vAlign w:val="bottom"/>
            <w:shd w:val="clear" w:color="auto" w:fill="26D07C"/>
          </w:tcPr>
          <w:p>
            <w:pPr>
              <w:jc w:val="center"/>
              <w:spacing w:after="0" w:line="107" w:lineRule="exact"/>
              <w:rPr>
                <w:sz w:val="20"/>
                <w:szCs w:val="20"/>
                <w:color w:val="auto"/>
              </w:rPr>
            </w:pPr>
            <w:r>
              <w:rPr>
                <w:rFonts w:ascii="Arial" w:cs="Arial" w:eastAsia="Arial" w:hAnsi="Arial"/>
                <w:sz w:val="11"/>
                <w:szCs w:val="11"/>
                <w:color w:val="auto"/>
              </w:rPr>
              <w:t>753</w:t>
            </w:r>
          </w:p>
        </w:tc>
        <w:tc>
          <w:tcPr>
            <w:tcW w:w="480" w:type="dxa"/>
            <w:vAlign w:val="bottom"/>
          </w:tcPr>
          <w:p>
            <w:pPr>
              <w:jc w:val="center"/>
              <w:ind w:left="3"/>
              <w:spacing w:after="0" w:line="107" w:lineRule="exact"/>
              <w:rPr>
                <w:sz w:val="20"/>
                <w:szCs w:val="20"/>
                <w:color w:val="auto"/>
              </w:rPr>
            </w:pPr>
            <w:r>
              <w:rPr>
                <w:rFonts w:ascii="Arial" w:cs="Arial" w:eastAsia="Arial" w:hAnsi="Arial"/>
                <w:sz w:val="11"/>
                <w:szCs w:val="11"/>
                <w:color w:val="auto"/>
              </w:rPr>
              <w:t>-0.4%</w:t>
            </w:r>
          </w:p>
        </w:tc>
        <w:tc>
          <w:tcPr>
            <w:tcW w:w="680" w:type="dxa"/>
            <w:vAlign w:val="bottom"/>
          </w:tcPr>
          <w:p>
            <w:pPr>
              <w:jc w:val="center"/>
              <w:spacing w:after="0" w:line="107" w:lineRule="exact"/>
              <w:rPr>
                <w:sz w:val="20"/>
                <w:szCs w:val="20"/>
                <w:color w:val="auto"/>
              </w:rPr>
            </w:pPr>
            <w:r>
              <w:rPr>
                <w:rFonts w:ascii="Arial" w:cs="Arial" w:eastAsia="Arial" w:hAnsi="Arial"/>
                <w:sz w:val="11"/>
                <w:szCs w:val="11"/>
                <w:color w:val="auto"/>
                <w:w w:val="97"/>
              </w:rPr>
              <w:t>-1.0%</w:t>
            </w:r>
          </w:p>
        </w:tc>
        <w:tc>
          <w:tcPr>
            <w:tcW w:w="500" w:type="dxa"/>
            <w:vAlign w:val="bottom"/>
          </w:tcPr>
          <w:p>
            <w:pPr>
              <w:jc w:val="center"/>
              <w:spacing w:after="0" w:line="107" w:lineRule="exact"/>
              <w:rPr>
                <w:sz w:val="20"/>
                <w:szCs w:val="20"/>
                <w:color w:val="auto"/>
              </w:rPr>
            </w:pPr>
            <w:r>
              <w:rPr>
                <w:rFonts w:ascii="Arial" w:cs="Arial" w:eastAsia="Arial" w:hAnsi="Arial"/>
                <w:sz w:val="11"/>
                <w:szCs w:val="11"/>
                <w:color w:val="auto"/>
              </w:rPr>
              <w:t>6.3%</w:t>
            </w:r>
          </w:p>
        </w:tc>
        <w:tc>
          <w:tcPr>
            <w:tcW w:w="580" w:type="dxa"/>
            <w:vAlign w:val="bottom"/>
          </w:tcPr>
          <w:p>
            <w:pPr>
              <w:jc w:val="center"/>
              <w:spacing w:after="0" w:line="107" w:lineRule="exact"/>
              <w:rPr>
                <w:sz w:val="20"/>
                <w:szCs w:val="20"/>
                <w:color w:val="auto"/>
              </w:rPr>
            </w:pPr>
            <w:r>
              <w:rPr>
                <w:rFonts w:ascii="Arial" w:cs="Arial" w:eastAsia="Arial" w:hAnsi="Arial"/>
                <w:sz w:val="11"/>
                <w:szCs w:val="11"/>
                <w:color w:val="auto"/>
                <w:w w:val="95"/>
              </w:rPr>
              <w:t>8.6%</w:t>
            </w:r>
          </w:p>
        </w:tc>
        <w:tc>
          <w:tcPr>
            <w:tcW w:w="580" w:type="dxa"/>
            <w:vAlign w:val="bottom"/>
          </w:tcPr>
          <w:p>
            <w:pPr>
              <w:jc w:val="center"/>
              <w:spacing w:after="0" w:line="107" w:lineRule="exact"/>
              <w:rPr>
                <w:sz w:val="20"/>
                <w:szCs w:val="20"/>
                <w:color w:val="auto"/>
              </w:rPr>
            </w:pPr>
            <w:r>
              <w:rPr>
                <w:rFonts w:ascii="Arial" w:cs="Arial" w:eastAsia="Arial" w:hAnsi="Arial"/>
                <w:sz w:val="11"/>
                <w:szCs w:val="11"/>
                <w:color w:val="auto"/>
              </w:rPr>
              <w:t>8.9%</w:t>
            </w:r>
          </w:p>
        </w:tc>
        <w:tc>
          <w:tcPr>
            <w:tcW w:w="580" w:type="dxa"/>
            <w:vAlign w:val="bottom"/>
          </w:tcPr>
          <w:p>
            <w:pPr>
              <w:jc w:val="center"/>
              <w:spacing w:after="0" w:line="107" w:lineRule="exact"/>
              <w:rPr>
                <w:sz w:val="20"/>
                <w:szCs w:val="20"/>
                <w:color w:val="auto"/>
              </w:rPr>
            </w:pPr>
            <w:r>
              <w:rPr>
                <w:rFonts w:ascii="Arial" w:cs="Arial" w:eastAsia="Arial" w:hAnsi="Arial"/>
                <w:sz w:val="11"/>
                <w:szCs w:val="11"/>
                <w:color w:val="auto"/>
              </w:rPr>
              <w:t>8.9%</w:t>
            </w:r>
          </w:p>
        </w:tc>
        <w:tc>
          <w:tcPr>
            <w:tcW w:w="560" w:type="dxa"/>
            <w:vAlign w:val="bottom"/>
          </w:tcPr>
          <w:p>
            <w:pPr>
              <w:jc w:val="center"/>
              <w:spacing w:after="0" w:line="107" w:lineRule="exact"/>
              <w:rPr>
                <w:sz w:val="20"/>
                <w:szCs w:val="20"/>
                <w:color w:val="auto"/>
              </w:rPr>
            </w:pPr>
            <w:r>
              <w:rPr>
                <w:rFonts w:ascii="Arial" w:cs="Arial" w:eastAsia="Arial" w:hAnsi="Arial"/>
                <w:sz w:val="11"/>
                <w:szCs w:val="11"/>
                <w:color w:val="auto"/>
              </w:rPr>
              <w:t>8.2%</w:t>
            </w:r>
          </w:p>
        </w:tc>
        <w:tc>
          <w:tcPr>
            <w:tcW w:w="580" w:type="dxa"/>
            <w:vAlign w:val="bottom"/>
          </w:tcPr>
          <w:p>
            <w:pPr>
              <w:jc w:val="center"/>
              <w:spacing w:after="0" w:line="107" w:lineRule="exact"/>
              <w:rPr>
                <w:sz w:val="20"/>
                <w:szCs w:val="20"/>
                <w:color w:val="auto"/>
              </w:rPr>
            </w:pPr>
            <w:r>
              <w:rPr>
                <w:rFonts w:ascii="Arial" w:cs="Arial" w:eastAsia="Arial" w:hAnsi="Arial"/>
                <w:sz w:val="11"/>
                <w:szCs w:val="11"/>
                <w:color w:val="auto"/>
              </w:rPr>
              <w:t>8.9%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40" w:type="dxa"/>
            <w:vAlign w:val="bottom"/>
          </w:tcPr>
          <w:p>
            <w:pPr>
              <w:ind w:left="300"/>
              <w:spacing w:after="0" w:line="122" w:lineRule="exact"/>
              <w:rPr>
                <w:sz w:val="20"/>
                <w:szCs w:val="20"/>
                <w:color w:val="auto"/>
              </w:rPr>
            </w:pPr>
            <w:r>
              <w:rPr>
                <w:rFonts w:ascii="Arial" w:cs="Arial" w:eastAsia="Arial" w:hAnsi="Arial"/>
                <w:sz w:val="11"/>
                <w:szCs w:val="11"/>
                <w:color w:val="auto"/>
              </w:rPr>
              <w:t>Credit Card</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5,126</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5,848</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5,951</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4,599</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5,728</w:t>
            </w:r>
          </w:p>
        </w:tc>
        <w:tc>
          <w:tcPr>
            <w:tcW w:w="120" w:type="dxa"/>
            <w:vAlign w:val="bottom"/>
          </w:tcPr>
          <w:p>
            <w:pPr>
              <w:spacing w:after="0"/>
              <w:rPr>
                <w:sz w:val="11"/>
                <w:szCs w:val="11"/>
                <w:color w:val="auto"/>
              </w:rPr>
            </w:pPr>
          </w:p>
        </w:tc>
        <w:tc>
          <w:tcPr>
            <w:tcW w:w="280" w:type="dxa"/>
            <w:vAlign w:val="bottom"/>
          </w:tcPr>
          <w:p>
            <w:pPr>
              <w:jc w:val="center"/>
              <w:spacing w:after="0" w:line="122" w:lineRule="exact"/>
              <w:rPr>
                <w:sz w:val="20"/>
                <w:szCs w:val="20"/>
                <w:color w:val="auto"/>
              </w:rPr>
            </w:pPr>
            <w:r>
              <w:rPr>
                <w:rFonts w:ascii="Arial" w:cs="Arial" w:eastAsia="Arial" w:hAnsi="Arial"/>
                <w:sz w:val="11"/>
                <w:szCs w:val="11"/>
                <w:color w:val="auto"/>
                <w:w w:val="97"/>
              </w:rPr>
              <w:t>102</w:t>
            </w:r>
          </w:p>
        </w:tc>
        <w:tc>
          <w:tcPr>
            <w:tcW w:w="140" w:type="dxa"/>
            <w:vAlign w:val="bottom"/>
          </w:tcPr>
          <w:p>
            <w:pPr>
              <w:spacing w:after="0"/>
              <w:rPr>
                <w:sz w:val="11"/>
                <w:szCs w:val="11"/>
                <w:color w:val="auto"/>
              </w:rPr>
            </w:pP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w w:val="97"/>
              </w:rPr>
              <w:t>825</w:t>
            </w:r>
          </w:p>
        </w:tc>
        <w:tc>
          <w:tcPr>
            <w:tcW w:w="56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1,129</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color w:val="auto"/>
              </w:rPr>
              <w:t>1.7%</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16.1%</w:t>
            </w:r>
          </w:p>
        </w:tc>
        <w:tc>
          <w:tcPr>
            <w:tcW w:w="5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24.5%</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w w:val="95"/>
              </w:rPr>
              <w:t>3.5%</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4.1%</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4.2%</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3.1%</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Mibanco</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14,261</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14,121</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13,665</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14,075</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14,029</w:t>
            </w:r>
          </w:p>
        </w:tc>
        <w:tc>
          <w:tcPr>
            <w:tcW w:w="120" w:type="dxa"/>
            <w:vAlign w:val="bottom"/>
            <w:shd w:val="clear" w:color="auto" w:fill="E93BAC"/>
          </w:tcPr>
          <w:p>
            <w:pPr>
              <w:spacing w:after="0"/>
              <w:rPr>
                <w:sz w:val="10"/>
                <w:szCs w:val="10"/>
                <w:color w:val="auto"/>
              </w:rPr>
            </w:pPr>
          </w:p>
        </w:tc>
        <w:tc>
          <w:tcPr>
            <w:tcW w:w="280" w:type="dxa"/>
            <w:vAlign w:val="bottom"/>
            <w:shd w:val="clear" w:color="auto" w:fill="E93BAC"/>
          </w:tcPr>
          <w:p>
            <w:pPr>
              <w:jc w:val="center"/>
              <w:spacing w:after="0" w:line="107" w:lineRule="exact"/>
              <w:rPr>
                <w:sz w:val="20"/>
                <w:szCs w:val="20"/>
                <w:color w:val="auto"/>
              </w:rPr>
            </w:pPr>
            <w:r>
              <w:rPr>
                <w:rFonts w:ascii="Arial" w:cs="Arial" w:eastAsia="Arial" w:hAnsi="Arial"/>
                <w:sz w:val="11"/>
                <w:szCs w:val="11"/>
                <w:color w:val="auto"/>
                <w:w w:val="99"/>
              </w:rPr>
              <w:t>-456</w:t>
            </w:r>
          </w:p>
        </w:tc>
        <w:tc>
          <w:tcPr>
            <w:tcW w:w="140" w:type="dxa"/>
            <w:vAlign w:val="bottom"/>
            <w:shd w:val="clear" w:color="auto" w:fill="E93BAC"/>
          </w:tcPr>
          <w:p>
            <w:pPr>
              <w:spacing w:after="0"/>
              <w:rPr>
                <w:sz w:val="10"/>
                <w:szCs w:val="10"/>
                <w:color w:val="auto"/>
              </w:rPr>
            </w:pPr>
          </w:p>
        </w:tc>
        <w:tc>
          <w:tcPr>
            <w:tcW w:w="540" w:type="dxa"/>
            <w:vAlign w:val="bottom"/>
            <w:shd w:val="clear" w:color="auto" w:fill="E93BAC"/>
          </w:tcPr>
          <w:p>
            <w:pPr>
              <w:jc w:val="center"/>
              <w:spacing w:after="0" w:line="107" w:lineRule="exact"/>
              <w:rPr>
                <w:sz w:val="20"/>
                <w:szCs w:val="20"/>
                <w:color w:val="auto"/>
              </w:rPr>
            </w:pPr>
            <w:r>
              <w:rPr>
                <w:rFonts w:ascii="Arial" w:cs="Arial" w:eastAsia="Arial" w:hAnsi="Arial"/>
                <w:sz w:val="11"/>
                <w:szCs w:val="11"/>
                <w:b w:val="1"/>
                <w:bCs w:val="1"/>
                <w:color w:val="auto"/>
                <w:w w:val="99"/>
              </w:rPr>
              <w:t>-596</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-46</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rPr>
              <w:t>-3.2%</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-4.2%</w:t>
            </w:r>
          </w:p>
        </w:tc>
        <w:tc>
          <w:tcPr>
            <w:tcW w:w="50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97"/>
              </w:rPr>
              <w:t>-0.3%</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9.6%</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9.9%</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9.6%</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9.6%</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40" w:type="dxa"/>
            <w:vAlign w:val="bottom"/>
          </w:tcPr>
          <w:p>
            <w:pPr>
              <w:ind w:left="100"/>
              <w:spacing w:after="0" w:line="107" w:lineRule="exact"/>
              <w:rPr>
                <w:sz w:val="20"/>
                <w:szCs w:val="20"/>
                <w:color w:val="auto"/>
              </w:rPr>
            </w:pPr>
            <w:r>
              <w:rPr>
                <w:rFonts w:ascii="Arial" w:cs="Arial" w:eastAsia="Arial" w:hAnsi="Arial"/>
                <w:sz w:val="11"/>
                <w:szCs w:val="11"/>
                <w:b w:val="1"/>
                <w:bCs w:val="1"/>
                <w:color w:val="auto"/>
              </w:rPr>
              <w:t>Mibanco Colombia</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1,174</w:t>
            </w:r>
          </w:p>
        </w:tc>
        <w:tc>
          <w:tcPr>
            <w:tcW w:w="6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1,557</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1,667</w:t>
            </w:r>
          </w:p>
        </w:tc>
        <w:tc>
          <w:tcPr>
            <w:tcW w:w="6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1,142</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1,454</w:t>
            </w:r>
          </w:p>
        </w:tc>
        <w:tc>
          <w:tcPr>
            <w:tcW w:w="120" w:type="dxa"/>
            <w:vAlign w:val="bottom"/>
          </w:tcPr>
          <w:p>
            <w:pPr>
              <w:spacing w:after="0"/>
              <w:rPr>
                <w:sz w:val="9"/>
                <w:szCs w:val="9"/>
                <w:color w:val="auto"/>
              </w:rPr>
            </w:pPr>
          </w:p>
        </w:tc>
        <w:tc>
          <w:tcPr>
            <w:tcW w:w="2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7"/>
              </w:rPr>
              <w:t>110</w:t>
            </w:r>
          </w:p>
        </w:tc>
        <w:tc>
          <w:tcPr>
            <w:tcW w:w="680" w:type="dxa"/>
            <w:vAlign w:val="bottom"/>
            <w:gridSpan w:val="2"/>
          </w:tcPr>
          <w:p>
            <w:pPr>
              <w:jc w:val="center"/>
              <w:ind w:left="83"/>
              <w:spacing w:after="0" w:line="107" w:lineRule="exact"/>
              <w:rPr>
                <w:sz w:val="20"/>
                <w:szCs w:val="20"/>
                <w:color w:val="auto"/>
              </w:rPr>
            </w:pPr>
            <w:r>
              <w:rPr>
                <w:rFonts w:ascii="Arial" w:cs="Arial" w:eastAsia="Arial" w:hAnsi="Arial"/>
                <w:sz w:val="11"/>
                <w:szCs w:val="11"/>
                <w:b w:val="1"/>
                <w:bCs w:val="1"/>
                <w:color w:val="auto"/>
                <w:w w:val="97"/>
              </w:rPr>
              <w:t>493</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312</w:t>
            </w:r>
          </w:p>
        </w:tc>
        <w:tc>
          <w:tcPr>
            <w:tcW w:w="480" w:type="dxa"/>
            <w:vAlign w:val="bottom"/>
          </w:tcPr>
          <w:p>
            <w:pPr>
              <w:jc w:val="center"/>
              <w:ind w:left="3"/>
              <w:spacing w:after="0" w:line="107" w:lineRule="exact"/>
              <w:rPr>
                <w:sz w:val="20"/>
                <w:szCs w:val="20"/>
                <w:color w:val="auto"/>
              </w:rPr>
            </w:pPr>
            <w:r>
              <w:rPr>
                <w:rFonts w:ascii="Arial" w:cs="Arial" w:eastAsia="Arial" w:hAnsi="Arial"/>
                <w:sz w:val="11"/>
                <w:szCs w:val="11"/>
                <w:b w:val="1"/>
                <w:bCs w:val="1"/>
                <w:color w:val="auto"/>
              </w:rPr>
              <w:t>7.0%</w:t>
            </w:r>
          </w:p>
        </w:tc>
        <w:tc>
          <w:tcPr>
            <w:tcW w:w="6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41.9%</w:t>
            </w:r>
          </w:p>
        </w:tc>
        <w:tc>
          <w:tcPr>
            <w:tcW w:w="500" w:type="dxa"/>
            <w:vAlign w:val="bottom"/>
          </w:tcPr>
          <w:p>
            <w:pPr>
              <w:jc w:val="center"/>
              <w:ind w:right="3"/>
              <w:spacing w:after="0" w:line="107" w:lineRule="exact"/>
              <w:rPr>
                <w:sz w:val="20"/>
                <w:szCs w:val="20"/>
                <w:color w:val="auto"/>
              </w:rPr>
            </w:pPr>
            <w:r>
              <w:rPr>
                <w:rFonts w:ascii="Arial" w:cs="Arial" w:eastAsia="Arial" w:hAnsi="Arial"/>
                <w:sz w:val="11"/>
                <w:szCs w:val="11"/>
                <w:b w:val="1"/>
                <w:bCs w:val="1"/>
                <w:color w:val="auto"/>
              </w:rPr>
              <w:t>27.3%</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5"/>
              </w:rPr>
              <w:t>0.8%</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1.1%</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1.2%</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0.8%</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Bolivia</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9,034</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8,957</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9,186</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8,813</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8,982</w:t>
            </w:r>
          </w:p>
        </w:tc>
        <w:tc>
          <w:tcPr>
            <w:tcW w:w="120" w:type="dxa"/>
            <w:vAlign w:val="bottom"/>
          </w:tcPr>
          <w:p>
            <w:pPr>
              <w:spacing w:after="0"/>
              <w:rPr>
                <w:sz w:val="10"/>
                <w:szCs w:val="10"/>
                <w:color w:val="auto"/>
              </w:rPr>
            </w:pPr>
          </w:p>
        </w:tc>
        <w:tc>
          <w:tcPr>
            <w:tcW w:w="2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229</w:t>
            </w:r>
          </w:p>
        </w:tc>
        <w:tc>
          <w:tcPr>
            <w:tcW w:w="680" w:type="dxa"/>
            <w:vAlign w:val="bottom"/>
            <w:gridSpan w:val="2"/>
          </w:tcPr>
          <w:p>
            <w:pPr>
              <w:jc w:val="center"/>
              <w:ind w:left="83"/>
              <w:spacing w:after="0" w:line="122" w:lineRule="exact"/>
              <w:rPr>
                <w:sz w:val="20"/>
                <w:szCs w:val="20"/>
                <w:color w:val="auto"/>
              </w:rPr>
            </w:pPr>
            <w:r>
              <w:rPr>
                <w:rFonts w:ascii="Arial" w:cs="Arial" w:eastAsia="Arial" w:hAnsi="Arial"/>
                <w:sz w:val="11"/>
                <w:szCs w:val="11"/>
                <w:b w:val="1"/>
                <w:bCs w:val="1"/>
                <w:color w:val="auto"/>
                <w:w w:val="97"/>
              </w:rPr>
              <w:t>152</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170</w:t>
            </w:r>
          </w:p>
        </w:tc>
        <w:tc>
          <w:tcPr>
            <w:tcW w:w="48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rPr>
              <w:t>2.6%</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1.7%</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1.9%</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6.1%</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6.3%</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6.5%</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6.0%</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4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ASB</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2,039</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1,733</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1,749</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2,056</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1,818</w:t>
            </w: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16</w:t>
            </w:r>
          </w:p>
        </w:tc>
        <w:tc>
          <w:tcPr>
            <w:tcW w:w="68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1"/>
                <w:szCs w:val="11"/>
                <w:b w:val="1"/>
                <w:bCs w:val="1"/>
                <w:color w:val="auto"/>
                <w:w w:val="99"/>
              </w:rPr>
              <w:t>-290</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-239</w:t>
            </w:r>
          </w:p>
        </w:tc>
        <w:tc>
          <w:tcPr>
            <w:tcW w:w="48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0.9%</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-14.2%</w:t>
            </w:r>
          </w:p>
        </w:tc>
        <w:tc>
          <w:tcPr>
            <w:tcW w:w="5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-11.6%</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1.4%</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1.2%</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1.2%</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1.4%</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1.3%</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BAP’s total loans</w:t>
            </w:r>
          </w:p>
        </w:tc>
        <w:tc>
          <w:tcPr>
            <w:tcW w:w="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148,471</w:t>
            </w:r>
          </w:p>
        </w:tc>
        <w:tc>
          <w:tcPr>
            <w:tcW w:w="6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142,219</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142,263</w:t>
            </w:r>
          </w:p>
        </w:tc>
        <w:tc>
          <w:tcPr>
            <w:tcW w:w="6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146,449</w:t>
            </w:r>
          </w:p>
        </w:tc>
        <w:tc>
          <w:tcPr>
            <w:tcW w:w="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142,864</w:t>
            </w:r>
          </w:p>
        </w:tc>
        <w:tc>
          <w:tcPr>
            <w:tcW w:w="120" w:type="dxa"/>
            <w:vAlign w:val="bottom"/>
          </w:tcPr>
          <w:p>
            <w:pPr>
              <w:spacing w:after="0"/>
              <w:rPr>
                <w:sz w:val="10"/>
                <w:szCs w:val="10"/>
                <w:color w:val="auto"/>
              </w:rPr>
            </w:pPr>
          </w:p>
        </w:tc>
        <w:tc>
          <w:tcPr>
            <w:tcW w:w="2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44</w:t>
            </w:r>
          </w:p>
        </w:tc>
        <w:tc>
          <w:tcPr>
            <w:tcW w:w="680" w:type="dxa"/>
            <w:vAlign w:val="bottom"/>
            <w:gridSpan w:val="2"/>
          </w:tcPr>
          <w:p>
            <w:pPr>
              <w:jc w:val="center"/>
              <w:ind w:left="63"/>
              <w:spacing w:after="0" w:line="121" w:lineRule="exact"/>
              <w:rPr>
                <w:sz w:val="20"/>
                <w:szCs w:val="20"/>
                <w:color w:val="auto"/>
              </w:rPr>
            </w:pPr>
            <w:r>
              <w:rPr>
                <w:rFonts w:ascii="Arial" w:cs="Arial" w:eastAsia="Arial" w:hAnsi="Arial"/>
                <w:sz w:val="11"/>
                <w:szCs w:val="11"/>
                <w:b w:val="1"/>
                <w:bCs w:val="1"/>
                <w:color w:val="auto"/>
              </w:rPr>
              <w:t>-6,208</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-3,585</w:t>
            </w:r>
          </w:p>
        </w:tc>
        <w:tc>
          <w:tcPr>
            <w:tcW w:w="480" w:type="dxa"/>
            <w:vAlign w:val="bottom"/>
          </w:tcPr>
          <w:p>
            <w:pPr>
              <w:jc w:val="center"/>
              <w:ind w:left="3"/>
              <w:spacing w:after="0" w:line="121" w:lineRule="exact"/>
              <w:rPr>
                <w:sz w:val="20"/>
                <w:szCs w:val="20"/>
                <w:color w:val="auto"/>
              </w:rPr>
            </w:pPr>
            <w:r>
              <w:rPr>
                <w:rFonts w:ascii="Arial" w:cs="Arial" w:eastAsia="Arial" w:hAnsi="Arial"/>
                <w:sz w:val="11"/>
                <w:szCs w:val="11"/>
                <w:b w:val="1"/>
                <w:bCs w:val="1"/>
                <w:color w:val="auto"/>
              </w:rPr>
              <w:t>0.0%</w:t>
            </w:r>
          </w:p>
        </w:tc>
        <w:tc>
          <w:tcPr>
            <w:tcW w:w="6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-4.2%</w:t>
            </w:r>
          </w:p>
        </w:tc>
        <w:tc>
          <w:tcPr>
            <w:tcW w:w="500" w:type="dxa"/>
            <w:vAlign w:val="bottom"/>
          </w:tcPr>
          <w:p>
            <w:pPr>
              <w:jc w:val="center"/>
              <w:ind w:right="3"/>
              <w:spacing w:after="0" w:line="121" w:lineRule="exact"/>
              <w:rPr>
                <w:sz w:val="20"/>
                <w:szCs w:val="20"/>
                <w:color w:val="auto"/>
              </w:rPr>
            </w:pPr>
            <w:r>
              <w:rPr>
                <w:rFonts w:ascii="Arial" w:cs="Arial" w:eastAsia="Arial" w:hAnsi="Arial"/>
                <w:sz w:val="11"/>
                <w:szCs w:val="11"/>
                <w:b w:val="1"/>
                <w:bCs w:val="1"/>
                <w:color w:val="auto"/>
                <w:w w:val="97"/>
              </w:rPr>
              <w:t>-2.4%</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100.0%</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100.0%</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100.0%</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100.0%</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-1420495</wp:posOffset>
            </wp:positionV>
            <wp:extent cx="7145655" cy="142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655" cy="142430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-2186940</wp:posOffset>
            </wp:positionV>
            <wp:extent cx="1161415"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ind w:left="2"/>
        <w:spacing w:after="0" w:line="231" w:lineRule="auto"/>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-50165</wp:posOffset>
            </wp:positionV>
            <wp:extent cx="1161415" cy="186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61415" cy="186055"/>
                    </a:xfrm>
                    <a:prstGeom prst="rect">
                      <a:avLst/>
                    </a:prstGeom>
                    <a:noFill/>
                  </pic:spPr>
                </pic:pic>
              </a:graphicData>
            </a:graphic>
          </wp:anchor>
        </w:drawing>
      </w:r>
    </w:p>
    <w:p>
      <w:pPr>
        <w:ind w:left="162" w:hanging="162"/>
        <w:spacing w:after="0" w:line="231" w:lineRule="auto"/>
        <w:tabs>
          <w:tab w:leader="none" w:pos="162"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Includes Workout unit and other banking. For Quarter-end balance figures, please refer to “12. Annexes – 12.2 Loan Portfolio Quality”.</w:t>
      </w:r>
    </w:p>
    <w:p>
      <w:pPr>
        <w:ind w:left="162" w:hanging="162"/>
        <w:spacing w:after="0"/>
        <w:tabs>
          <w:tab w:leader="none" w:pos="162"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color w:val="auto"/>
        </w:rPr>
        <w:t>Total loans rose QoQ by fell YoY and YTD, after growth in structural loans was insufficient to offset the drop in GP loans.</w:t>
      </w:r>
    </w:p>
    <w:p>
      <w:pPr>
        <w:spacing w:after="0" w:line="172" w:lineRule="exact"/>
        <w:rPr>
          <w:sz w:val="20"/>
          <w:szCs w:val="20"/>
          <w:color w:val="auto"/>
        </w:rPr>
      </w:pPr>
    </w:p>
    <w:p>
      <w:pPr>
        <w:ind w:left="3162"/>
        <w:spacing w:after="0"/>
        <w:rPr>
          <w:sz w:val="20"/>
          <w:szCs w:val="20"/>
          <w:color w:val="auto"/>
        </w:rPr>
      </w:pPr>
      <w:r>
        <w:rPr>
          <w:rFonts w:ascii="Arial" w:cs="Arial" w:eastAsia="Arial" w:hAnsi="Arial"/>
          <w:sz w:val="16"/>
          <w:szCs w:val="16"/>
          <w:b w:val="1"/>
          <w:bCs w:val="1"/>
          <w:color w:val="auto"/>
        </w:rPr>
        <w:t xml:space="preserve">Evolution of Loan Dollarization (in Average Daily Balances) </w:t>
      </w:r>
      <w:r>
        <w:rPr>
          <w:rFonts w:ascii="Arial" w:cs="Arial" w:eastAsia="Arial" w:hAnsi="Arial"/>
          <w:sz w:val="27"/>
          <w:szCs w:val="27"/>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45655" cy="1431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5655" cy="1431925"/>
                    </a:xfrm>
                    <a:prstGeom prst="rect">
                      <a:avLst/>
                    </a:prstGeom>
                    <a:noFill/>
                  </pic:spPr>
                </pic:pic>
              </a:graphicData>
            </a:graphic>
          </wp:anchor>
        </w:drawing>
      </w:r>
    </w:p>
    <w:p>
      <w:pPr>
        <w:spacing w:after="0" w:line="26" w:lineRule="exact"/>
        <w:rPr>
          <w:sz w:val="20"/>
          <w:szCs w:val="20"/>
          <w:color w:val="auto"/>
        </w:rPr>
      </w:pPr>
    </w:p>
    <w:tbl>
      <w:tblPr>
        <w:tblLayout w:type="fixed"/>
        <w:tblInd w:w="2" w:type="dxa"/>
        <w:tblCellMar>
          <w:top w:w="0" w:type="dxa"/>
          <w:left w:w="0" w:type="dxa"/>
          <w:bottom w:w="0" w:type="dxa"/>
          <w:right w:w="0" w:type="dxa"/>
        </w:tblCellMar>
      </w:tblPr>
      <w:tr>
        <w:trPr>
          <w:trHeight w:val="99"/>
        </w:trPr>
        <w:tc>
          <w:tcPr>
            <w:tcW w:w="100" w:type="dxa"/>
            <w:vAlign w:val="bottom"/>
            <w:tcBorders>
              <w:top w:val="single" w:sz="8" w:color="auto"/>
            </w:tcBorders>
            <w:shd w:val="clear" w:color="auto" w:fill="2AD2C9"/>
          </w:tcPr>
          <w:p>
            <w:pPr>
              <w:spacing w:after="0"/>
              <w:rPr>
                <w:sz w:val="8"/>
                <w:szCs w:val="8"/>
                <w:color w:val="auto"/>
              </w:rPr>
            </w:pPr>
          </w:p>
        </w:tc>
        <w:tc>
          <w:tcPr>
            <w:tcW w:w="1400" w:type="dxa"/>
            <w:vAlign w:val="bottom"/>
            <w:tcBorders>
              <w:top w:val="single" w:sz="8" w:color="auto"/>
            </w:tcBorders>
            <w:shd w:val="clear" w:color="auto" w:fill="2AD2C9"/>
          </w:tcPr>
          <w:p>
            <w:pPr>
              <w:spacing w:after="0" w:line="99" w:lineRule="exact"/>
              <w:rPr>
                <w:sz w:val="20"/>
                <w:szCs w:val="20"/>
                <w:color w:val="auto"/>
              </w:rPr>
            </w:pPr>
            <w:r>
              <w:rPr>
                <w:rFonts w:ascii="Arial" w:cs="Arial" w:eastAsia="Arial" w:hAnsi="Arial"/>
                <w:sz w:val="11"/>
                <w:szCs w:val="11"/>
                <w:b w:val="1"/>
                <w:bCs w:val="1"/>
                <w:color w:val="FFFFFF"/>
              </w:rPr>
              <w:t>Total Loans</w:t>
            </w:r>
          </w:p>
        </w:tc>
        <w:tc>
          <w:tcPr>
            <w:tcW w:w="580" w:type="dxa"/>
            <w:vAlign w:val="bottom"/>
            <w:tcBorders>
              <w:top w:val="single" w:sz="8" w:color="auto"/>
            </w:tcBorders>
            <w:shd w:val="clear" w:color="auto" w:fill="2AD2C9"/>
          </w:tcPr>
          <w:p>
            <w:pPr>
              <w:spacing w:after="0"/>
              <w:rPr>
                <w:sz w:val="8"/>
                <w:szCs w:val="8"/>
                <w:color w:val="auto"/>
              </w:rPr>
            </w:pPr>
          </w:p>
        </w:tc>
        <w:tc>
          <w:tcPr>
            <w:tcW w:w="540" w:type="dxa"/>
            <w:vAlign w:val="bottom"/>
            <w:tcBorders>
              <w:top w:val="single" w:sz="8" w:color="auto"/>
            </w:tcBorders>
            <w:shd w:val="clear" w:color="auto" w:fill="2AD2C9"/>
          </w:tcPr>
          <w:p>
            <w:pPr>
              <w:spacing w:after="0"/>
              <w:rPr>
                <w:sz w:val="8"/>
                <w:szCs w:val="8"/>
                <w:color w:val="auto"/>
              </w:rPr>
            </w:pPr>
          </w:p>
        </w:tc>
        <w:tc>
          <w:tcPr>
            <w:tcW w:w="1200" w:type="dxa"/>
            <w:vAlign w:val="bottom"/>
            <w:tcBorders>
              <w:top w:val="single" w:sz="8" w:color="auto"/>
            </w:tcBorders>
            <w:gridSpan w:val="2"/>
            <w:shd w:val="clear" w:color="auto" w:fill="2AD2C9"/>
          </w:tcPr>
          <w:p>
            <w:pPr>
              <w:jc w:val="right"/>
              <w:spacing w:after="0" w:line="99" w:lineRule="exact"/>
              <w:rPr>
                <w:sz w:val="20"/>
                <w:szCs w:val="20"/>
                <w:color w:val="auto"/>
              </w:rPr>
            </w:pPr>
            <w:r>
              <w:rPr>
                <w:rFonts w:ascii="Arial" w:cs="Arial" w:eastAsia="Arial" w:hAnsi="Arial"/>
                <w:sz w:val="11"/>
                <w:szCs w:val="11"/>
                <w:b w:val="1"/>
                <w:bCs w:val="1"/>
                <w:color w:val="FFFFFF"/>
              </w:rPr>
              <w:t>Local Currency (LC)</w:t>
            </w:r>
          </w:p>
        </w:tc>
        <w:tc>
          <w:tcPr>
            <w:tcW w:w="640" w:type="dxa"/>
            <w:vAlign w:val="bottom"/>
            <w:tcBorders>
              <w:top w:val="single" w:sz="8" w:color="auto"/>
            </w:tcBorders>
            <w:shd w:val="clear" w:color="auto" w:fill="2AD2C9"/>
          </w:tcPr>
          <w:p>
            <w:pPr>
              <w:spacing w:after="0"/>
              <w:rPr>
                <w:sz w:val="8"/>
                <w:szCs w:val="8"/>
                <w:color w:val="auto"/>
              </w:rPr>
            </w:pPr>
          </w:p>
        </w:tc>
        <w:tc>
          <w:tcPr>
            <w:tcW w:w="520" w:type="dxa"/>
            <w:vAlign w:val="bottom"/>
            <w:tcBorders>
              <w:top w:val="single" w:sz="8" w:color="auto"/>
            </w:tcBorders>
            <w:shd w:val="clear" w:color="auto" w:fill="2AD2C9"/>
          </w:tcPr>
          <w:p>
            <w:pPr>
              <w:spacing w:after="0"/>
              <w:rPr>
                <w:sz w:val="8"/>
                <w:szCs w:val="8"/>
                <w:color w:val="auto"/>
              </w:rPr>
            </w:pPr>
          </w:p>
        </w:tc>
        <w:tc>
          <w:tcPr>
            <w:tcW w:w="1100" w:type="dxa"/>
            <w:vAlign w:val="bottom"/>
            <w:tcBorders>
              <w:top w:val="single" w:sz="8" w:color="auto"/>
            </w:tcBorders>
            <w:gridSpan w:val="2"/>
            <w:vMerge w:val="restart"/>
            <w:shd w:val="clear" w:color="auto" w:fill="2AD2C9"/>
          </w:tcPr>
          <w:p>
            <w:pPr>
              <w:ind w:left="280"/>
              <w:spacing w:after="0"/>
              <w:rPr>
                <w:sz w:val="20"/>
                <w:szCs w:val="20"/>
                <w:color w:val="auto"/>
              </w:rPr>
            </w:pPr>
            <w:r>
              <w:rPr>
                <w:rFonts w:ascii="Arial" w:cs="Arial" w:eastAsia="Arial" w:hAnsi="Arial"/>
                <w:sz w:val="11"/>
                <w:szCs w:val="11"/>
                <w:b w:val="1"/>
                <w:bCs w:val="1"/>
                <w:color w:val="FFFFFF"/>
              </w:rPr>
              <w:t>% change</w:t>
            </w:r>
          </w:p>
        </w:tc>
        <w:tc>
          <w:tcPr>
            <w:tcW w:w="1120" w:type="dxa"/>
            <w:vAlign w:val="bottom"/>
            <w:tcBorders>
              <w:top w:val="single" w:sz="8" w:color="auto"/>
            </w:tcBorders>
            <w:gridSpan w:val="2"/>
            <w:shd w:val="clear" w:color="auto" w:fill="2AD2C9"/>
          </w:tcPr>
          <w:p>
            <w:pPr>
              <w:ind w:left="300"/>
              <w:spacing w:after="0" w:line="99" w:lineRule="exact"/>
              <w:rPr>
                <w:sz w:val="20"/>
                <w:szCs w:val="20"/>
                <w:color w:val="auto"/>
              </w:rPr>
            </w:pPr>
            <w:r>
              <w:rPr>
                <w:rFonts w:ascii="Arial" w:cs="Arial" w:eastAsia="Arial" w:hAnsi="Arial"/>
                <w:sz w:val="11"/>
                <w:szCs w:val="11"/>
                <w:b w:val="1"/>
                <w:bCs w:val="1"/>
                <w:color w:val="FFFFFF"/>
              </w:rPr>
              <w:t>% change</w:t>
            </w:r>
          </w:p>
        </w:tc>
        <w:tc>
          <w:tcPr>
            <w:tcW w:w="1680" w:type="dxa"/>
            <w:vAlign w:val="bottom"/>
            <w:tcBorders>
              <w:top w:val="single" w:sz="8" w:color="auto"/>
            </w:tcBorders>
            <w:gridSpan w:val="3"/>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Foreign Currency (FC)</w:t>
            </w:r>
          </w:p>
        </w:tc>
        <w:tc>
          <w:tcPr>
            <w:tcW w:w="1120" w:type="dxa"/>
            <w:vAlign w:val="bottom"/>
            <w:tcBorders>
              <w:top w:val="single" w:sz="8" w:color="auto"/>
            </w:tcBorders>
            <w:gridSpan w:val="2"/>
            <w:vMerge w:val="restart"/>
            <w:shd w:val="clear" w:color="auto" w:fill="2AD2C9"/>
          </w:tcPr>
          <w:p>
            <w:pPr>
              <w:ind w:left="300"/>
              <w:spacing w:after="0"/>
              <w:rPr>
                <w:sz w:val="20"/>
                <w:szCs w:val="20"/>
                <w:color w:val="auto"/>
              </w:rPr>
            </w:pPr>
            <w:r>
              <w:rPr>
                <w:rFonts w:ascii="Arial" w:cs="Arial" w:eastAsia="Arial" w:hAnsi="Arial"/>
                <w:sz w:val="11"/>
                <w:szCs w:val="11"/>
                <w:b w:val="1"/>
                <w:bCs w:val="1"/>
                <w:color w:val="FFFFFF"/>
              </w:rPr>
              <w:t>% change</w:t>
            </w:r>
          </w:p>
        </w:tc>
        <w:tc>
          <w:tcPr>
            <w:tcW w:w="1240" w:type="dxa"/>
            <w:vAlign w:val="bottom"/>
            <w:tcBorders>
              <w:top w:val="single" w:sz="8" w:color="auto"/>
            </w:tcBorders>
            <w:gridSpan w:val="2"/>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 part. by currency</w:t>
            </w: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2AD2C9"/>
          </w:tcPr>
          <w:p>
            <w:pPr>
              <w:spacing w:after="0"/>
              <w:rPr>
                <w:sz w:val="8"/>
                <w:szCs w:val="8"/>
                <w:color w:val="auto"/>
              </w:rPr>
            </w:pPr>
          </w:p>
        </w:tc>
        <w:tc>
          <w:tcPr>
            <w:tcW w:w="1400" w:type="dxa"/>
            <w:vAlign w:val="bottom"/>
            <w:vMerge w:val="restart"/>
            <w:shd w:val="clear" w:color="auto" w:fill="2AD2C9"/>
          </w:tcPr>
          <w:p>
            <w:pPr>
              <w:spacing w:after="0" w:line="122" w:lineRule="exact"/>
              <w:rPr>
                <w:sz w:val="20"/>
                <w:szCs w:val="20"/>
                <w:color w:val="auto"/>
              </w:rPr>
            </w:pPr>
            <w:r>
              <w:rPr>
                <w:rFonts w:ascii="Arial" w:cs="Arial" w:eastAsia="Arial" w:hAnsi="Arial"/>
                <w:sz w:val="11"/>
                <w:szCs w:val="11"/>
                <w:b w:val="1"/>
                <w:bCs w:val="1"/>
                <w:color w:val="FFFFFF"/>
              </w:rPr>
              <w:t>(S/ millions)</w:t>
            </w:r>
          </w:p>
        </w:tc>
        <w:tc>
          <w:tcPr>
            <w:tcW w:w="580" w:type="dxa"/>
            <w:vAlign w:val="bottom"/>
            <w:shd w:val="clear" w:color="auto" w:fill="2AD2C9"/>
          </w:tcPr>
          <w:p>
            <w:pPr>
              <w:spacing w:after="0"/>
              <w:rPr>
                <w:sz w:val="8"/>
                <w:szCs w:val="8"/>
                <w:color w:val="auto"/>
              </w:rPr>
            </w:pPr>
          </w:p>
        </w:tc>
        <w:tc>
          <w:tcPr>
            <w:tcW w:w="540" w:type="dxa"/>
            <w:vAlign w:val="bottom"/>
            <w:vMerge w:val="restart"/>
            <w:shd w:val="clear" w:color="auto" w:fill="2AD2C9"/>
          </w:tcPr>
          <w:p>
            <w:pPr>
              <w:jc w:val="center"/>
              <w:spacing w:after="0" w:line="122" w:lineRule="exact"/>
              <w:rPr>
                <w:sz w:val="20"/>
                <w:szCs w:val="20"/>
                <w:color w:val="auto"/>
              </w:rPr>
            </w:pPr>
            <w:r>
              <w:rPr>
                <w:rFonts w:ascii="Arial" w:cs="Arial" w:eastAsia="Arial" w:hAnsi="Arial"/>
                <w:sz w:val="11"/>
                <w:szCs w:val="11"/>
                <w:b w:val="1"/>
                <w:bCs w:val="1"/>
                <w:color w:val="FFFFFF"/>
                <w:w w:val="98"/>
              </w:rPr>
              <w:t>Total</w:t>
            </w:r>
          </w:p>
        </w:tc>
        <w:tc>
          <w:tcPr>
            <w:tcW w:w="620" w:type="dxa"/>
            <w:vAlign w:val="bottom"/>
            <w:shd w:val="clear" w:color="auto" w:fill="2AD2C9"/>
          </w:tcPr>
          <w:p>
            <w:pPr>
              <w:spacing w:after="0"/>
              <w:rPr>
                <w:sz w:val="8"/>
                <w:szCs w:val="8"/>
                <w:color w:val="auto"/>
              </w:rPr>
            </w:pPr>
          </w:p>
        </w:tc>
        <w:tc>
          <w:tcPr>
            <w:tcW w:w="580" w:type="dxa"/>
            <w:vAlign w:val="bottom"/>
            <w:shd w:val="clear" w:color="auto" w:fill="2AD2C9"/>
          </w:tcPr>
          <w:p>
            <w:pPr>
              <w:spacing w:after="0"/>
              <w:rPr>
                <w:sz w:val="8"/>
                <w:szCs w:val="8"/>
                <w:color w:val="auto"/>
              </w:rPr>
            </w:pPr>
          </w:p>
        </w:tc>
        <w:tc>
          <w:tcPr>
            <w:tcW w:w="640" w:type="dxa"/>
            <w:vAlign w:val="bottom"/>
            <w:vMerge w:val="restart"/>
            <w:shd w:val="clear" w:color="auto" w:fill="2AD2C9"/>
          </w:tcPr>
          <w:p>
            <w:pPr>
              <w:jc w:val="right"/>
              <w:ind w:right="3"/>
              <w:spacing w:after="0" w:line="122" w:lineRule="exact"/>
              <w:rPr>
                <w:sz w:val="20"/>
                <w:szCs w:val="20"/>
                <w:color w:val="auto"/>
              </w:rPr>
            </w:pPr>
            <w:r>
              <w:rPr>
                <w:rFonts w:ascii="Arial" w:cs="Arial" w:eastAsia="Arial" w:hAnsi="Arial"/>
                <w:sz w:val="11"/>
                <w:szCs w:val="11"/>
                <w:b w:val="1"/>
                <w:bCs w:val="1"/>
                <w:color w:val="FFFFFF"/>
              </w:rPr>
              <w:t>Structural</w:t>
            </w:r>
          </w:p>
        </w:tc>
        <w:tc>
          <w:tcPr>
            <w:tcW w:w="520" w:type="dxa"/>
            <w:vAlign w:val="bottom"/>
            <w:shd w:val="clear" w:color="auto" w:fill="2AD2C9"/>
          </w:tcPr>
          <w:p>
            <w:pPr>
              <w:spacing w:after="0"/>
              <w:rPr>
                <w:sz w:val="8"/>
                <w:szCs w:val="8"/>
                <w:color w:val="auto"/>
              </w:rPr>
            </w:pPr>
          </w:p>
        </w:tc>
        <w:tc>
          <w:tcPr>
            <w:tcW w:w="1100" w:type="dxa"/>
            <w:vAlign w:val="bottom"/>
            <w:gridSpan w:val="2"/>
            <w:vMerge w:val="continue"/>
            <w:shd w:val="clear" w:color="auto" w:fill="2AD2C9"/>
          </w:tcPr>
          <w:p>
            <w:pPr>
              <w:spacing w:after="0"/>
              <w:rPr>
                <w:sz w:val="8"/>
                <w:szCs w:val="8"/>
                <w:color w:val="auto"/>
              </w:rPr>
            </w:pPr>
          </w:p>
        </w:tc>
        <w:tc>
          <w:tcPr>
            <w:tcW w:w="1120" w:type="dxa"/>
            <w:vAlign w:val="bottom"/>
            <w:gridSpan w:val="2"/>
            <w:vMerge w:val="restart"/>
            <w:shd w:val="clear" w:color="auto" w:fill="2AD2C9"/>
          </w:tcPr>
          <w:p>
            <w:pPr>
              <w:ind w:left="300"/>
              <w:spacing w:after="0" w:line="122" w:lineRule="exact"/>
              <w:rPr>
                <w:sz w:val="20"/>
                <w:szCs w:val="20"/>
                <w:color w:val="auto"/>
              </w:rPr>
            </w:pPr>
            <w:r>
              <w:rPr>
                <w:rFonts w:ascii="Arial" w:cs="Arial" w:eastAsia="Arial" w:hAnsi="Arial"/>
                <w:sz w:val="11"/>
                <w:szCs w:val="11"/>
                <w:b w:val="1"/>
                <w:bCs w:val="1"/>
                <w:color w:val="FFFFFF"/>
              </w:rPr>
              <w:t>Structural</w:t>
            </w:r>
          </w:p>
        </w:tc>
        <w:tc>
          <w:tcPr>
            <w:tcW w:w="560" w:type="dxa"/>
            <w:vAlign w:val="bottom"/>
            <w:shd w:val="clear" w:color="auto" w:fill="2AD2C9"/>
          </w:tcPr>
          <w:p>
            <w:pPr>
              <w:spacing w:after="0"/>
              <w:rPr>
                <w:sz w:val="8"/>
                <w:szCs w:val="8"/>
                <w:color w:val="auto"/>
              </w:rPr>
            </w:pPr>
          </w:p>
        </w:tc>
        <w:tc>
          <w:tcPr>
            <w:tcW w:w="560" w:type="dxa"/>
            <w:vAlign w:val="bottom"/>
            <w:vMerge w:val="restart"/>
            <w:shd w:val="clear" w:color="auto" w:fill="2AD2C9"/>
          </w:tcPr>
          <w:p>
            <w:pPr>
              <w:jc w:val="center"/>
              <w:spacing w:after="0" w:line="122" w:lineRule="exact"/>
              <w:rPr>
                <w:sz w:val="20"/>
                <w:szCs w:val="20"/>
                <w:color w:val="auto"/>
              </w:rPr>
            </w:pPr>
            <w:r>
              <w:rPr>
                <w:rFonts w:ascii="Arial" w:cs="Arial" w:eastAsia="Arial" w:hAnsi="Arial"/>
                <w:sz w:val="11"/>
                <w:szCs w:val="11"/>
                <w:b w:val="1"/>
                <w:bCs w:val="1"/>
                <w:color w:val="FFFFFF"/>
                <w:w w:val="98"/>
              </w:rPr>
              <w:t>Total</w:t>
            </w:r>
          </w:p>
        </w:tc>
        <w:tc>
          <w:tcPr>
            <w:tcW w:w="560" w:type="dxa"/>
            <w:vAlign w:val="bottom"/>
            <w:shd w:val="clear" w:color="auto" w:fill="2AD2C9"/>
          </w:tcPr>
          <w:p>
            <w:pPr>
              <w:spacing w:after="0"/>
              <w:rPr>
                <w:sz w:val="8"/>
                <w:szCs w:val="8"/>
                <w:color w:val="auto"/>
              </w:rPr>
            </w:pPr>
          </w:p>
        </w:tc>
        <w:tc>
          <w:tcPr>
            <w:tcW w:w="1120" w:type="dxa"/>
            <w:vAlign w:val="bottom"/>
            <w:gridSpan w:val="2"/>
            <w:vMerge w:val="continue"/>
            <w:shd w:val="clear" w:color="auto" w:fill="2AD2C9"/>
          </w:tcPr>
          <w:p>
            <w:pPr>
              <w:spacing w:after="0"/>
              <w:rPr>
                <w:sz w:val="8"/>
                <w:szCs w:val="8"/>
                <w:color w:val="auto"/>
              </w:rPr>
            </w:pPr>
          </w:p>
        </w:tc>
        <w:tc>
          <w:tcPr>
            <w:tcW w:w="1240" w:type="dxa"/>
            <w:vAlign w:val="bottom"/>
            <w:gridSpan w:val="2"/>
            <w:vMerge w:val="restart"/>
            <w:shd w:val="clear" w:color="auto" w:fill="2AD2C9"/>
          </w:tcPr>
          <w:p>
            <w:pPr>
              <w:jc w:val="center"/>
              <w:spacing w:after="0" w:line="122" w:lineRule="exact"/>
              <w:rPr>
                <w:sz w:val="20"/>
                <w:szCs w:val="20"/>
                <w:color w:val="auto"/>
              </w:rPr>
            </w:pPr>
            <w:r>
              <w:rPr>
                <w:rFonts w:ascii="Arial" w:cs="Arial" w:eastAsia="Arial" w:hAnsi="Arial"/>
                <w:sz w:val="11"/>
                <w:szCs w:val="11"/>
                <w:b w:val="1"/>
                <w:bCs w:val="1"/>
                <w:color w:val="FFFFFF"/>
              </w:rPr>
              <w:t>Sep 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00" w:type="dxa"/>
            <w:vAlign w:val="bottom"/>
            <w:shd w:val="clear" w:color="auto" w:fill="2AD2C9"/>
          </w:tcPr>
          <w:p>
            <w:pPr>
              <w:spacing w:after="0"/>
              <w:rPr>
                <w:sz w:val="2"/>
                <w:szCs w:val="2"/>
                <w:color w:val="auto"/>
              </w:rPr>
            </w:pPr>
          </w:p>
        </w:tc>
        <w:tc>
          <w:tcPr>
            <w:tcW w:w="1400" w:type="dxa"/>
            <w:vAlign w:val="bottom"/>
            <w:vMerge w:val="continue"/>
            <w:shd w:val="clear" w:color="auto" w:fill="2AD2C9"/>
          </w:tcPr>
          <w:p>
            <w:pPr>
              <w:spacing w:after="0"/>
              <w:rPr>
                <w:sz w:val="2"/>
                <w:szCs w:val="2"/>
                <w:color w:val="auto"/>
              </w:rPr>
            </w:pPr>
          </w:p>
        </w:tc>
        <w:tc>
          <w:tcPr>
            <w:tcW w:w="580" w:type="dxa"/>
            <w:vAlign w:val="bottom"/>
            <w:shd w:val="clear" w:color="auto" w:fill="2AD2C9"/>
          </w:tcPr>
          <w:p>
            <w:pPr>
              <w:spacing w:after="0"/>
              <w:rPr>
                <w:sz w:val="2"/>
                <w:szCs w:val="2"/>
                <w:color w:val="auto"/>
              </w:rPr>
            </w:pPr>
          </w:p>
        </w:tc>
        <w:tc>
          <w:tcPr>
            <w:tcW w:w="540" w:type="dxa"/>
            <w:vAlign w:val="bottom"/>
            <w:vMerge w:val="continue"/>
            <w:shd w:val="clear" w:color="auto" w:fill="2AD2C9"/>
          </w:tcPr>
          <w:p>
            <w:pPr>
              <w:spacing w:after="0"/>
              <w:rPr>
                <w:sz w:val="2"/>
                <w:szCs w:val="2"/>
                <w:color w:val="auto"/>
              </w:rPr>
            </w:pPr>
          </w:p>
        </w:tc>
        <w:tc>
          <w:tcPr>
            <w:tcW w:w="620" w:type="dxa"/>
            <w:vAlign w:val="bottom"/>
            <w:shd w:val="clear" w:color="auto" w:fill="2AD2C9"/>
          </w:tcPr>
          <w:p>
            <w:pPr>
              <w:spacing w:after="0"/>
              <w:rPr>
                <w:sz w:val="2"/>
                <w:szCs w:val="2"/>
                <w:color w:val="auto"/>
              </w:rPr>
            </w:pPr>
          </w:p>
        </w:tc>
        <w:tc>
          <w:tcPr>
            <w:tcW w:w="580" w:type="dxa"/>
            <w:vAlign w:val="bottom"/>
            <w:shd w:val="clear" w:color="auto" w:fill="2AD2C9"/>
          </w:tcPr>
          <w:p>
            <w:pPr>
              <w:spacing w:after="0"/>
              <w:rPr>
                <w:sz w:val="2"/>
                <w:szCs w:val="2"/>
                <w:color w:val="auto"/>
              </w:rPr>
            </w:pPr>
          </w:p>
        </w:tc>
        <w:tc>
          <w:tcPr>
            <w:tcW w:w="640" w:type="dxa"/>
            <w:vAlign w:val="bottom"/>
            <w:vMerge w:val="continue"/>
            <w:shd w:val="clear" w:color="auto" w:fill="2AD2C9"/>
          </w:tcPr>
          <w:p>
            <w:pPr>
              <w:spacing w:after="0"/>
              <w:rPr>
                <w:sz w:val="2"/>
                <w:szCs w:val="2"/>
                <w:color w:val="auto"/>
              </w:rPr>
            </w:pPr>
          </w:p>
        </w:tc>
        <w:tc>
          <w:tcPr>
            <w:tcW w:w="520" w:type="dxa"/>
            <w:vAlign w:val="bottom"/>
            <w:shd w:val="clear" w:color="auto" w:fill="2AD2C9"/>
          </w:tcPr>
          <w:p>
            <w:pPr>
              <w:spacing w:after="0"/>
              <w:rPr>
                <w:sz w:val="2"/>
                <w:szCs w:val="2"/>
                <w:color w:val="auto"/>
              </w:rPr>
            </w:pPr>
          </w:p>
        </w:tc>
        <w:tc>
          <w:tcPr>
            <w:tcW w:w="540" w:type="dxa"/>
            <w:vAlign w:val="bottom"/>
            <w:shd w:val="clear" w:color="auto" w:fill="2AD2C9"/>
          </w:tcPr>
          <w:p>
            <w:pPr>
              <w:spacing w:after="0"/>
              <w:rPr>
                <w:sz w:val="2"/>
                <w:szCs w:val="2"/>
                <w:color w:val="auto"/>
              </w:rPr>
            </w:pPr>
          </w:p>
        </w:tc>
        <w:tc>
          <w:tcPr>
            <w:tcW w:w="560" w:type="dxa"/>
            <w:vAlign w:val="bottom"/>
            <w:shd w:val="clear" w:color="auto" w:fill="2AD2C9"/>
          </w:tcPr>
          <w:p>
            <w:pPr>
              <w:spacing w:after="0"/>
              <w:rPr>
                <w:sz w:val="2"/>
                <w:szCs w:val="2"/>
                <w:color w:val="auto"/>
              </w:rPr>
            </w:pPr>
          </w:p>
        </w:tc>
        <w:tc>
          <w:tcPr>
            <w:tcW w:w="1120" w:type="dxa"/>
            <w:vAlign w:val="bottom"/>
            <w:gridSpan w:val="2"/>
            <w:vMerge w:val="continue"/>
            <w:shd w:val="clear" w:color="auto" w:fill="2AD2C9"/>
          </w:tcPr>
          <w:p>
            <w:pPr>
              <w:spacing w:after="0"/>
              <w:rPr>
                <w:sz w:val="2"/>
                <w:szCs w:val="2"/>
                <w:color w:val="auto"/>
              </w:rPr>
            </w:pPr>
          </w:p>
        </w:tc>
        <w:tc>
          <w:tcPr>
            <w:tcW w:w="560" w:type="dxa"/>
            <w:vAlign w:val="bottom"/>
            <w:shd w:val="clear" w:color="auto" w:fill="2AD2C9"/>
          </w:tcPr>
          <w:p>
            <w:pPr>
              <w:spacing w:after="0"/>
              <w:rPr>
                <w:sz w:val="2"/>
                <w:szCs w:val="2"/>
                <w:color w:val="auto"/>
              </w:rPr>
            </w:pPr>
          </w:p>
        </w:tc>
        <w:tc>
          <w:tcPr>
            <w:tcW w:w="560" w:type="dxa"/>
            <w:vAlign w:val="bottom"/>
            <w:vMerge w:val="continue"/>
            <w:shd w:val="clear" w:color="auto" w:fill="2AD2C9"/>
          </w:tcPr>
          <w:p>
            <w:pPr>
              <w:spacing w:after="0"/>
              <w:rPr>
                <w:sz w:val="2"/>
                <w:szCs w:val="2"/>
                <w:color w:val="auto"/>
              </w:rPr>
            </w:pPr>
          </w:p>
        </w:tc>
        <w:tc>
          <w:tcPr>
            <w:tcW w:w="560" w:type="dxa"/>
            <w:vAlign w:val="bottom"/>
            <w:shd w:val="clear" w:color="auto" w:fill="2AD2C9"/>
          </w:tcPr>
          <w:p>
            <w:pPr>
              <w:spacing w:after="0"/>
              <w:rPr>
                <w:sz w:val="2"/>
                <w:szCs w:val="2"/>
                <w:color w:val="auto"/>
              </w:rPr>
            </w:pPr>
          </w:p>
        </w:tc>
        <w:tc>
          <w:tcPr>
            <w:tcW w:w="560" w:type="dxa"/>
            <w:vAlign w:val="bottom"/>
            <w:shd w:val="clear" w:color="auto" w:fill="2AD2C9"/>
          </w:tcPr>
          <w:p>
            <w:pPr>
              <w:spacing w:after="0"/>
              <w:rPr>
                <w:sz w:val="2"/>
                <w:szCs w:val="2"/>
                <w:color w:val="auto"/>
              </w:rPr>
            </w:pPr>
          </w:p>
        </w:tc>
        <w:tc>
          <w:tcPr>
            <w:tcW w:w="560" w:type="dxa"/>
            <w:vAlign w:val="bottom"/>
            <w:shd w:val="clear" w:color="auto" w:fill="2AD2C9"/>
          </w:tcPr>
          <w:p>
            <w:pPr>
              <w:spacing w:after="0"/>
              <w:rPr>
                <w:sz w:val="2"/>
                <w:szCs w:val="2"/>
                <w:color w:val="auto"/>
              </w:rPr>
            </w:pPr>
          </w:p>
        </w:tc>
        <w:tc>
          <w:tcPr>
            <w:tcW w:w="1240" w:type="dxa"/>
            <w:vAlign w:val="bottom"/>
            <w:gridSpan w:val="2"/>
            <w:vMerge w:val="continue"/>
            <w:shd w:val="clear" w:color="auto" w:fill="2AD2C9"/>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 w:type="dxa"/>
            <w:vAlign w:val="bottom"/>
            <w:tcBorders>
              <w:bottom w:val="single" w:sz="8" w:color="auto"/>
            </w:tcBorders>
            <w:shd w:val="clear" w:color="auto" w:fill="2AD2C9"/>
          </w:tcPr>
          <w:p>
            <w:pPr>
              <w:spacing w:after="0"/>
              <w:rPr>
                <w:sz w:val="12"/>
                <w:szCs w:val="12"/>
                <w:color w:val="auto"/>
              </w:rPr>
            </w:pPr>
          </w:p>
        </w:tc>
        <w:tc>
          <w:tcPr>
            <w:tcW w:w="1400" w:type="dxa"/>
            <w:vAlign w:val="bottom"/>
            <w:tcBorders>
              <w:bottom w:val="single" w:sz="8" w:color="auto"/>
            </w:tcBorders>
            <w:shd w:val="clear" w:color="auto" w:fill="2AD2C9"/>
          </w:tcPr>
          <w:p>
            <w:pPr>
              <w:spacing w:after="0"/>
              <w:rPr>
                <w:sz w:val="20"/>
                <w:szCs w:val="20"/>
                <w:color w:val="auto"/>
              </w:rPr>
            </w:pPr>
            <w:r>
              <w:rPr>
                <w:rFonts w:ascii="Arial" w:cs="Arial" w:eastAsia="Arial" w:hAnsi="Arial"/>
                <w:sz w:val="11"/>
                <w:szCs w:val="11"/>
                <w:color w:val="2AD2C9"/>
              </w:rPr>
              <w:t>Back to index</w:t>
            </w:r>
          </w:p>
        </w:tc>
        <w:tc>
          <w:tcPr>
            <w:tcW w:w="580" w:type="dxa"/>
            <w:vAlign w:val="bottom"/>
            <w:tcBorders>
              <w:bottom w:val="single" w:sz="8" w:color="auto"/>
            </w:tcBorders>
            <w:shd w:val="clear" w:color="auto" w:fill="2AD2C9"/>
          </w:tcPr>
          <w:p>
            <w:pPr>
              <w:jc w:val="right"/>
              <w:ind w:right="46"/>
              <w:spacing w:after="0"/>
              <w:rPr>
                <w:sz w:val="20"/>
                <w:szCs w:val="20"/>
                <w:color w:val="auto"/>
              </w:rPr>
            </w:pPr>
            <w:r>
              <w:rPr>
                <w:rFonts w:ascii="Arial" w:cs="Arial" w:eastAsia="Arial" w:hAnsi="Arial"/>
                <w:sz w:val="11"/>
                <w:szCs w:val="11"/>
                <w:b w:val="1"/>
                <w:bCs w:val="1"/>
                <w:color w:val="FFFFFF"/>
              </w:rPr>
              <w:t>Dec 22</w:t>
            </w:r>
          </w:p>
        </w:tc>
        <w:tc>
          <w:tcPr>
            <w:tcW w:w="5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Sep 23</w:t>
            </w:r>
          </w:p>
        </w:tc>
        <w:tc>
          <w:tcPr>
            <w:tcW w:w="62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Dec 23</w:t>
            </w:r>
          </w:p>
        </w:tc>
        <w:tc>
          <w:tcPr>
            <w:tcW w:w="580" w:type="dxa"/>
            <w:vAlign w:val="bottom"/>
            <w:tcBorders>
              <w:bottom w:val="single" w:sz="8" w:color="auto"/>
            </w:tcBorders>
            <w:shd w:val="clear" w:color="auto" w:fill="2AD2C9"/>
          </w:tcPr>
          <w:p>
            <w:pPr>
              <w:jc w:val="right"/>
              <w:ind w:right="3"/>
              <w:spacing w:after="0"/>
              <w:rPr>
                <w:sz w:val="20"/>
                <w:szCs w:val="20"/>
                <w:color w:val="auto"/>
              </w:rPr>
            </w:pPr>
            <w:r>
              <w:rPr>
                <w:rFonts w:ascii="Arial" w:cs="Arial" w:eastAsia="Arial" w:hAnsi="Arial"/>
                <w:sz w:val="11"/>
                <w:szCs w:val="11"/>
                <w:b w:val="1"/>
                <w:bCs w:val="1"/>
                <w:color w:val="FFFFFF"/>
              </w:rPr>
              <w:t>Dec 22</w:t>
            </w:r>
          </w:p>
        </w:tc>
        <w:tc>
          <w:tcPr>
            <w:tcW w:w="64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Sep 23</w:t>
            </w:r>
          </w:p>
        </w:tc>
        <w:tc>
          <w:tcPr>
            <w:tcW w:w="52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Dec 23</w:t>
            </w:r>
          </w:p>
        </w:tc>
        <w:tc>
          <w:tcPr>
            <w:tcW w:w="540" w:type="dxa"/>
            <w:vAlign w:val="bottom"/>
            <w:tcBorders>
              <w:bottom w:val="single" w:sz="8" w:color="auto"/>
            </w:tcBorders>
            <w:shd w:val="clear" w:color="auto" w:fill="2AD2C9"/>
          </w:tcPr>
          <w:p>
            <w:pPr>
              <w:ind w:left="140"/>
              <w:spacing w:after="0"/>
              <w:rPr>
                <w:sz w:val="20"/>
                <w:szCs w:val="20"/>
                <w:color w:val="auto"/>
              </w:rPr>
            </w:pPr>
            <w:r>
              <w:rPr>
                <w:rFonts w:ascii="Arial" w:cs="Arial" w:eastAsia="Arial" w:hAnsi="Arial"/>
                <w:sz w:val="11"/>
                <w:szCs w:val="11"/>
                <w:b w:val="1"/>
                <w:bCs w:val="1"/>
                <w:color w:val="FFFFFF"/>
              </w:rPr>
              <w:t>QoQ</w:t>
            </w:r>
          </w:p>
        </w:tc>
        <w:tc>
          <w:tcPr>
            <w:tcW w:w="56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1"/>
                <w:szCs w:val="11"/>
                <w:b w:val="1"/>
                <w:bCs w:val="1"/>
                <w:color w:val="FFFFFF"/>
              </w:rPr>
              <w:t>YoY</w:t>
            </w:r>
          </w:p>
        </w:tc>
        <w:tc>
          <w:tcPr>
            <w:tcW w:w="54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1"/>
                <w:szCs w:val="11"/>
                <w:b w:val="1"/>
                <w:bCs w:val="1"/>
                <w:color w:val="FFFFFF"/>
              </w:rPr>
              <w:t>QoQ</w:t>
            </w:r>
          </w:p>
        </w:tc>
        <w:tc>
          <w:tcPr>
            <w:tcW w:w="58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1"/>
                <w:szCs w:val="11"/>
                <w:b w:val="1"/>
                <w:bCs w:val="1"/>
                <w:color w:val="FFFFFF"/>
              </w:rPr>
              <w:t>YoY</w:t>
            </w:r>
          </w:p>
        </w:tc>
        <w:tc>
          <w:tcPr>
            <w:tcW w:w="56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Dec 22</w:t>
            </w:r>
          </w:p>
        </w:tc>
        <w:tc>
          <w:tcPr>
            <w:tcW w:w="5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Sep 23</w:t>
            </w:r>
          </w:p>
        </w:tc>
        <w:tc>
          <w:tcPr>
            <w:tcW w:w="560" w:type="dxa"/>
            <w:vAlign w:val="bottom"/>
            <w:tcBorders>
              <w:bottom w:val="single" w:sz="8" w:color="auto"/>
            </w:tcBorders>
            <w:shd w:val="clear" w:color="auto" w:fill="2AD2C9"/>
          </w:tcPr>
          <w:p>
            <w:pPr>
              <w:ind w:left="80"/>
              <w:spacing w:after="0"/>
              <w:rPr>
                <w:sz w:val="20"/>
                <w:szCs w:val="20"/>
                <w:color w:val="auto"/>
              </w:rPr>
            </w:pPr>
            <w:r>
              <w:rPr>
                <w:rFonts w:ascii="Arial" w:cs="Arial" w:eastAsia="Arial" w:hAnsi="Arial"/>
                <w:sz w:val="11"/>
                <w:szCs w:val="11"/>
                <w:b w:val="1"/>
                <w:bCs w:val="1"/>
                <w:color w:val="FFFFFF"/>
              </w:rPr>
              <w:t>Dec 23</w:t>
            </w:r>
          </w:p>
        </w:tc>
        <w:tc>
          <w:tcPr>
            <w:tcW w:w="56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1"/>
                <w:szCs w:val="11"/>
                <w:b w:val="1"/>
                <w:bCs w:val="1"/>
                <w:color w:val="FFFFFF"/>
              </w:rPr>
              <w:t>QoQ</w:t>
            </w:r>
          </w:p>
        </w:tc>
        <w:tc>
          <w:tcPr>
            <w:tcW w:w="56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1"/>
                <w:szCs w:val="11"/>
                <w:b w:val="1"/>
                <w:bCs w:val="1"/>
                <w:color w:val="FFFFFF"/>
              </w:rPr>
              <w:t>YoY</w:t>
            </w:r>
          </w:p>
        </w:tc>
        <w:tc>
          <w:tcPr>
            <w:tcW w:w="60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1"/>
                <w:szCs w:val="11"/>
                <w:b w:val="1"/>
                <w:bCs w:val="1"/>
                <w:color w:val="FFFFFF"/>
              </w:rPr>
              <w:t>LC</w:t>
            </w:r>
          </w:p>
        </w:tc>
        <w:tc>
          <w:tcPr>
            <w:tcW w:w="64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1"/>
                <w:szCs w:val="11"/>
                <w:b w:val="1"/>
                <w:bCs w:val="1"/>
                <w:color w:val="FFFFFF"/>
              </w:rPr>
              <w:t>FC</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1400" w:type="dxa"/>
            <w:vAlign w:val="bottom"/>
          </w:tcPr>
          <w:p>
            <w:pPr>
              <w:spacing w:after="0" w:line="105" w:lineRule="exact"/>
              <w:rPr>
                <w:sz w:val="20"/>
                <w:szCs w:val="20"/>
                <w:color w:val="auto"/>
              </w:rPr>
            </w:pPr>
            <w:r>
              <w:rPr>
                <w:rFonts w:ascii="Arial" w:cs="Arial" w:eastAsia="Arial" w:hAnsi="Arial"/>
                <w:sz w:val="11"/>
                <w:szCs w:val="11"/>
                <w:b w:val="1"/>
                <w:bCs w:val="1"/>
                <w:color w:val="auto"/>
              </w:rPr>
              <w:t>BCP Stand-alone</w:t>
            </w:r>
          </w:p>
        </w:tc>
        <w:tc>
          <w:tcPr>
            <w:tcW w:w="58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85,106</w:t>
            </w:r>
          </w:p>
        </w:tc>
        <w:tc>
          <w:tcPr>
            <w:tcW w:w="5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79,896</w:t>
            </w:r>
          </w:p>
        </w:tc>
        <w:tc>
          <w:tcPr>
            <w:tcW w:w="62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79,423</w:t>
            </w:r>
          </w:p>
        </w:tc>
        <w:tc>
          <w:tcPr>
            <w:tcW w:w="580" w:type="dxa"/>
            <w:vAlign w:val="bottom"/>
          </w:tcPr>
          <w:p>
            <w:pPr>
              <w:jc w:val="center"/>
              <w:ind w:left="23"/>
              <w:spacing w:after="0" w:line="105" w:lineRule="exact"/>
              <w:rPr>
                <w:sz w:val="20"/>
                <w:szCs w:val="20"/>
                <w:color w:val="auto"/>
              </w:rPr>
            </w:pPr>
            <w:r>
              <w:rPr>
                <w:rFonts w:ascii="Arial" w:cs="Arial" w:eastAsia="Arial" w:hAnsi="Arial"/>
                <w:sz w:val="11"/>
                <w:szCs w:val="11"/>
                <w:b w:val="1"/>
                <w:bCs w:val="1"/>
                <w:color w:val="auto"/>
              </w:rPr>
              <w:t>75,709</w:t>
            </w:r>
          </w:p>
        </w:tc>
        <w:tc>
          <w:tcPr>
            <w:tcW w:w="6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75,902</w:t>
            </w:r>
          </w:p>
        </w:tc>
        <w:tc>
          <w:tcPr>
            <w:tcW w:w="520" w:type="dxa"/>
            <w:vAlign w:val="bottom"/>
          </w:tcPr>
          <w:p>
            <w:pPr>
              <w:jc w:val="center"/>
              <w:ind w:right="3"/>
              <w:spacing w:after="0" w:line="105" w:lineRule="exact"/>
              <w:rPr>
                <w:sz w:val="20"/>
                <w:szCs w:val="20"/>
                <w:color w:val="auto"/>
              </w:rPr>
            </w:pPr>
            <w:r>
              <w:rPr>
                <w:rFonts w:ascii="Arial" w:cs="Arial" w:eastAsia="Arial" w:hAnsi="Arial"/>
                <w:sz w:val="11"/>
                <w:szCs w:val="11"/>
                <w:b w:val="1"/>
                <w:bCs w:val="1"/>
                <w:color w:val="auto"/>
              </w:rPr>
              <w:t>76,070</w:t>
            </w:r>
          </w:p>
        </w:tc>
        <w:tc>
          <w:tcPr>
            <w:tcW w:w="5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-0.6%</w:t>
            </w:r>
          </w:p>
        </w:tc>
        <w:tc>
          <w:tcPr>
            <w:tcW w:w="5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7"/>
              </w:rPr>
              <w:t>-6.7%</w:t>
            </w:r>
          </w:p>
        </w:tc>
        <w:tc>
          <w:tcPr>
            <w:tcW w:w="5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0.2%</w:t>
            </w:r>
          </w:p>
        </w:tc>
        <w:tc>
          <w:tcPr>
            <w:tcW w:w="58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0.5%</w:t>
            </w:r>
          </w:p>
        </w:tc>
        <w:tc>
          <w:tcPr>
            <w:tcW w:w="5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9,490</w:t>
            </w:r>
          </w:p>
        </w:tc>
        <w:tc>
          <w:tcPr>
            <w:tcW w:w="5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9,722</w:t>
            </w:r>
          </w:p>
        </w:tc>
        <w:tc>
          <w:tcPr>
            <w:tcW w:w="5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9,725</w:t>
            </w:r>
          </w:p>
        </w:tc>
        <w:tc>
          <w:tcPr>
            <w:tcW w:w="5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5"/>
              </w:rPr>
              <w:t>0.0%</w:t>
            </w:r>
          </w:p>
        </w:tc>
        <w:tc>
          <w:tcPr>
            <w:tcW w:w="5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2.5%</w:t>
            </w:r>
          </w:p>
        </w:tc>
        <w:tc>
          <w:tcPr>
            <w:tcW w:w="60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69.6%</w:t>
            </w:r>
          </w:p>
        </w:tc>
        <w:tc>
          <w:tcPr>
            <w:tcW w:w="6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30.4%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4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Wholesale Banking</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28,351</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24,341</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23,452</w:t>
            </w:r>
          </w:p>
        </w:tc>
        <w:tc>
          <w:tcPr>
            <w:tcW w:w="580" w:type="dxa"/>
            <w:vAlign w:val="bottom"/>
          </w:tcPr>
          <w:p>
            <w:pPr>
              <w:jc w:val="center"/>
              <w:ind w:left="23"/>
              <w:spacing w:after="0" w:line="122" w:lineRule="exact"/>
              <w:rPr>
                <w:sz w:val="20"/>
                <w:szCs w:val="20"/>
                <w:color w:val="auto"/>
              </w:rPr>
            </w:pPr>
            <w:r>
              <w:rPr>
                <w:rFonts w:ascii="Arial" w:cs="Arial" w:eastAsia="Arial" w:hAnsi="Arial"/>
                <w:sz w:val="11"/>
                <w:szCs w:val="11"/>
                <w:b w:val="1"/>
                <w:bCs w:val="1"/>
                <w:color w:val="auto"/>
              </w:rPr>
              <w:t>26,475</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23,634</w:t>
            </w:r>
          </w:p>
        </w:tc>
        <w:tc>
          <w:tcPr>
            <w:tcW w:w="52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rPr>
              <w:t>22,863</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-3.7%</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-17.3%</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-3.3%</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-13.6%</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7,505</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7,695</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7,716</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0.3%</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2.8%</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47.3%</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1400" w:type="dxa"/>
            <w:vAlign w:val="bottom"/>
          </w:tcPr>
          <w:p>
            <w:pPr>
              <w:ind w:left="200"/>
              <w:spacing w:after="0" w:line="122" w:lineRule="exact"/>
              <w:rPr>
                <w:sz w:val="20"/>
                <w:szCs w:val="20"/>
                <w:color w:val="auto"/>
              </w:rPr>
            </w:pPr>
            <w:r>
              <w:rPr>
                <w:rFonts w:ascii="Arial" w:cs="Arial" w:eastAsia="Arial" w:hAnsi="Arial"/>
                <w:sz w:val="11"/>
                <w:szCs w:val="11"/>
                <w:color w:val="auto"/>
              </w:rPr>
              <w:t>Corporate</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16,044</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14,592</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14,017</w:t>
            </w:r>
          </w:p>
        </w:tc>
        <w:tc>
          <w:tcPr>
            <w:tcW w:w="580" w:type="dxa"/>
            <w:vAlign w:val="bottom"/>
          </w:tcPr>
          <w:p>
            <w:pPr>
              <w:jc w:val="center"/>
              <w:ind w:left="23"/>
              <w:spacing w:after="0" w:line="122" w:lineRule="exact"/>
              <w:rPr>
                <w:sz w:val="20"/>
                <w:szCs w:val="20"/>
                <w:color w:val="auto"/>
              </w:rPr>
            </w:pPr>
            <w:r>
              <w:rPr>
                <w:rFonts w:ascii="Arial" w:cs="Arial" w:eastAsia="Arial" w:hAnsi="Arial"/>
                <w:sz w:val="11"/>
                <w:szCs w:val="11"/>
                <w:color w:val="auto"/>
              </w:rPr>
              <w:t>15,827</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14,494</w:t>
            </w:r>
          </w:p>
        </w:tc>
        <w:tc>
          <w:tcPr>
            <w:tcW w:w="5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13,935</w:t>
            </w:r>
          </w:p>
        </w:tc>
        <w:tc>
          <w:tcPr>
            <w:tcW w:w="54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-3.9%</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-12.6%</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-3.9%</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-12.0%</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4,525</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4,475</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4,397</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w w:val="97"/>
              </w:rPr>
              <w:t>-1.7%</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-2.8%</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47.6%</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52.4%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400" w:type="dxa"/>
            <w:vAlign w:val="bottom"/>
          </w:tcPr>
          <w:p>
            <w:pPr>
              <w:ind w:left="200"/>
              <w:spacing w:after="0" w:line="122" w:lineRule="exact"/>
              <w:rPr>
                <w:sz w:val="20"/>
                <w:szCs w:val="20"/>
                <w:color w:val="auto"/>
              </w:rPr>
            </w:pPr>
            <w:r>
              <w:rPr>
                <w:rFonts w:ascii="Arial" w:cs="Arial" w:eastAsia="Arial" w:hAnsi="Arial"/>
                <w:sz w:val="11"/>
                <w:szCs w:val="11"/>
                <w:color w:val="auto"/>
              </w:rPr>
              <w:t>Middle-Market</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12,307</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9,748</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9,434</w:t>
            </w:r>
          </w:p>
        </w:tc>
        <w:tc>
          <w:tcPr>
            <w:tcW w:w="580" w:type="dxa"/>
            <w:vAlign w:val="bottom"/>
          </w:tcPr>
          <w:p>
            <w:pPr>
              <w:jc w:val="center"/>
              <w:ind w:left="23"/>
              <w:spacing w:after="0" w:line="122" w:lineRule="exact"/>
              <w:rPr>
                <w:sz w:val="20"/>
                <w:szCs w:val="20"/>
                <w:color w:val="auto"/>
              </w:rPr>
            </w:pPr>
            <w:r>
              <w:rPr>
                <w:rFonts w:ascii="Arial" w:cs="Arial" w:eastAsia="Arial" w:hAnsi="Arial"/>
                <w:sz w:val="11"/>
                <w:szCs w:val="11"/>
                <w:color w:val="auto"/>
              </w:rPr>
              <w:t>10,648</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9,141</w:t>
            </w:r>
          </w:p>
        </w:tc>
        <w:tc>
          <w:tcPr>
            <w:tcW w:w="5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8,927</w:t>
            </w:r>
          </w:p>
        </w:tc>
        <w:tc>
          <w:tcPr>
            <w:tcW w:w="540" w:type="dxa"/>
            <w:vAlign w:val="bottom"/>
          </w:tcPr>
          <w:p>
            <w:pPr>
              <w:jc w:val="center"/>
              <w:spacing w:after="0" w:line="107" w:lineRule="exact"/>
              <w:rPr>
                <w:sz w:val="20"/>
                <w:szCs w:val="20"/>
                <w:color w:val="auto"/>
              </w:rPr>
            </w:pPr>
            <w:r>
              <w:rPr>
                <w:rFonts w:ascii="Arial" w:cs="Arial" w:eastAsia="Arial" w:hAnsi="Arial"/>
                <w:sz w:val="11"/>
                <w:szCs w:val="11"/>
                <w:color w:val="auto"/>
              </w:rPr>
              <w:t>-3.2%</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-23.3%</w:t>
            </w:r>
          </w:p>
        </w:tc>
        <w:tc>
          <w:tcPr>
            <w:tcW w:w="540" w:type="dxa"/>
            <w:vAlign w:val="bottom"/>
            <w:shd w:val="clear" w:color="auto" w:fill="E93BAC"/>
          </w:tcPr>
          <w:p>
            <w:pPr>
              <w:jc w:val="center"/>
              <w:spacing w:after="0" w:line="107" w:lineRule="exact"/>
              <w:rPr>
                <w:sz w:val="20"/>
                <w:szCs w:val="20"/>
                <w:color w:val="auto"/>
              </w:rPr>
            </w:pPr>
            <w:r>
              <w:rPr>
                <w:rFonts w:ascii="Arial" w:cs="Arial" w:eastAsia="Arial" w:hAnsi="Arial"/>
                <w:sz w:val="11"/>
                <w:szCs w:val="11"/>
                <w:color w:val="auto"/>
              </w:rPr>
              <w:t>-2.3%</w:t>
            </w:r>
          </w:p>
        </w:tc>
        <w:tc>
          <w:tcPr>
            <w:tcW w:w="580" w:type="dxa"/>
            <w:vAlign w:val="bottom"/>
            <w:shd w:val="clear" w:color="auto" w:fill="E93BAC"/>
          </w:tcPr>
          <w:p>
            <w:pPr>
              <w:jc w:val="center"/>
              <w:spacing w:after="0" w:line="107" w:lineRule="exact"/>
              <w:rPr>
                <w:sz w:val="20"/>
                <w:szCs w:val="20"/>
                <w:color w:val="auto"/>
              </w:rPr>
            </w:pPr>
            <w:r>
              <w:rPr>
                <w:rFonts w:ascii="Arial" w:cs="Arial" w:eastAsia="Arial" w:hAnsi="Arial"/>
                <w:sz w:val="11"/>
                <w:szCs w:val="11"/>
                <w:color w:val="auto"/>
              </w:rPr>
              <w:t>-16.2%</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2,980</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3,220</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3,318</w:t>
            </w:r>
          </w:p>
        </w:tc>
        <w:tc>
          <w:tcPr>
            <w:tcW w:w="560" w:type="dxa"/>
            <w:vAlign w:val="bottom"/>
            <w:shd w:val="clear" w:color="auto" w:fill="00D274"/>
          </w:tcPr>
          <w:p>
            <w:pPr>
              <w:jc w:val="center"/>
              <w:spacing w:after="0" w:line="107" w:lineRule="exact"/>
              <w:rPr>
                <w:sz w:val="20"/>
                <w:szCs w:val="20"/>
                <w:color w:val="auto"/>
              </w:rPr>
            </w:pPr>
            <w:r>
              <w:rPr>
                <w:rFonts w:ascii="Arial" w:cs="Arial" w:eastAsia="Arial" w:hAnsi="Arial"/>
                <w:sz w:val="11"/>
                <w:szCs w:val="11"/>
                <w:color w:val="auto"/>
                <w:w w:val="95"/>
              </w:rPr>
              <w:t>3.1%</w:t>
            </w:r>
          </w:p>
        </w:tc>
        <w:tc>
          <w:tcPr>
            <w:tcW w:w="560" w:type="dxa"/>
            <w:vAlign w:val="bottom"/>
            <w:shd w:val="clear" w:color="auto" w:fill="26D07C"/>
          </w:tcPr>
          <w:p>
            <w:pPr>
              <w:jc w:val="center"/>
              <w:spacing w:after="0" w:line="107" w:lineRule="exact"/>
              <w:rPr>
                <w:sz w:val="20"/>
                <w:szCs w:val="20"/>
                <w:color w:val="auto"/>
              </w:rPr>
            </w:pPr>
            <w:r>
              <w:rPr>
                <w:rFonts w:ascii="Arial" w:cs="Arial" w:eastAsia="Arial" w:hAnsi="Arial"/>
                <w:sz w:val="11"/>
                <w:szCs w:val="11"/>
                <w:color w:val="auto"/>
              </w:rPr>
              <w:t>11.4%</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47.0%</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53.0%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tcPr>
          <w:p>
            <w:pPr>
              <w:ind w:left="80"/>
              <w:spacing w:after="0" w:line="107" w:lineRule="exact"/>
              <w:rPr>
                <w:sz w:val="20"/>
                <w:szCs w:val="20"/>
                <w:color w:val="auto"/>
              </w:rPr>
            </w:pPr>
            <w:r>
              <w:rPr>
                <w:rFonts w:ascii="Arial" w:cs="Arial" w:eastAsia="Arial" w:hAnsi="Arial"/>
                <w:sz w:val="11"/>
                <w:szCs w:val="11"/>
                <w:b w:val="1"/>
                <w:bCs w:val="1"/>
                <w:color w:val="auto"/>
              </w:rPr>
              <w:t>Retail Banking</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56,755</w:t>
            </w: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55,555</w:t>
            </w:r>
          </w:p>
        </w:tc>
        <w:tc>
          <w:tcPr>
            <w:tcW w:w="6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55,972</w:t>
            </w:r>
          </w:p>
        </w:tc>
        <w:tc>
          <w:tcPr>
            <w:tcW w:w="580" w:type="dxa"/>
            <w:vAlign w:val="bottom"/>
          </w:tcPr>
          <w:p>
            <w:pPr>
              <w:jc w:val="center"/>
              <w:ind w:left="23"/>
              <w:spacing w:after="0" w:line="107" w:lineRule="exact"/>
              <w:rPr>
                <w:sz w:val="20"/>
                <w:szCs w:val="20"/>
                <w:color w:val="auto"/>
              </w:rPr>
            </w:pPr>
            <w:r>
              <w:rPr>
                <w:rFonts w:ascii="Arial" w:cs="Arial" w:eastAsia="Arial" w:hAnsi="Arial"/>
                <w:sz w:val="11"/>
                <w:szCs w:val="11"/>
                <w:b w:val="1"/>
                <w:bCs w:val="1"/>
                <w:color w:val="auto"/>
              </w:rPr>
              <w:t>49,233</w:t>
            </w:r>
          </w:p>
        </w:tc>
        <w:tc>
          <w:tcPr>
            <w:tcW w:w="6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52,267</w:t>
            </w:r>
          </w:p>
        </w:tc>
        <w:tc>
          <w:tcPr>
            <w:tcW w:w="520" w:type="dxa"/>
            <w:vAlign w:val="bottom"/>
          </w:tcPr>
          <w:p>
            <w:pPr>
              <w:jc w:val="center"/>
              <w:ind w:right="3"/>
              <w:spacing w:after="0" w:line="107" w:lineRule="exact"/>
              <w:rPr>
                <w:sz w:val="20"/>
                <w:szCs w:val="20"/>
                <w:color w:val="auto"/>
              </w:rPr>
            </w:pPr>
            <w:r>
              <w:rPr>
                <w:rFonts w:ascii="Arial" w:cs="Arial" w:eastAsia="Arial" w:hAnsi="Arial"/>
                <w:sz w:val="11"/>
                <w:szCs w:val="11"/>
                <w:b w:val="1"/>
                <w:bCs w:val="1"/>
                <w:color w:val="auto"/>
              </w:rPr>
              <w:t>53,208</w:t>
            </w: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0.7%</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7"/>
              </w:rPr>
              <w:t>-1.4%</w:t>
            </w: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1.8%</w:t>
            </w:r>
          </w:p>
        </w:tc>
        <w:tc>
          <w:tcPr>
            <w:tcW w:w="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8.1%</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1,985</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2,028</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2,009</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7"/>
              </w:rPr>
              <w:t>-0.9%</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1.2%</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88.3%</w:t>
            </w:r>
          </w:p>
        </w:tc>
        <w:tc>
          <w:tcPr>
            <w:tcW w:w="6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400" w:type="dxa"/>
            <w:vAlign w:val="bottom"/>
          </w:tcPr>
          <w:p>
            <w:pPr>
              <w:ind w:left="200"/>
              <w:spacing w:after="0" w:line="122" w:lineRule="exact"/>
              <w:rPr>
                <w:sz w:val="20"/>
                <w:szCs w:val="20"/>
                <w:color w:val="auto"/>
              </w:rPr>
            </w:pPr>
            <w:r>
              <w:rPr>
                <w:rFonts w:ascii="Arial" w:cs="Arial" w:eastAsia="Arial" w:hAnsi="Arial"/>
                <w:sz w:val="11"/>
                <w:szCs w:val="11"/>
                <w:color w:val="auto"/>
              </w:rPr>
              <w:t>SME - Business</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5,530</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4,302</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4,242</w:t>
            </w:r>
          </w:p>
        </w:tc>
        <w:tc>
          <w:tcPr>
            <w:tcW w:w="580" w:type="dxa"/>
            <w:vAlign w:val="bottom"/>
          </w:tcPr>
          <w:p>
            <w:pPr>
              <w:jc w:val="center"/>
              <w:ind w:left="23"/>
              <w:spacing w:after="0" w:line="122" w:lineRule="exact"/>
              <w:rPr>
                <w:sz w:val="20"/>
                <w:szCs w:val="20"/>
                <w:color w:val="auto"/>
              </w:rPr>
            </w:pPr>
            <w:r>
              <w:rPr>
                <w:rFonts w:ascii="Arial" w:cs="Arial" w:eastAsia="Arial" w:hAnsi="Arial"/>
                <w:sz w:val="11"/>
                <w:szCs w:val="11"/>
                <w:color w:val="auto"/>
              </w:rPr>
              <w:t>2,775</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3,183</w:t>
            </w:r>
          </w:p>
        </w:tc>
        <w:tc>
          <w:tcPr>
            <w:tcW w:w="5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3,320</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-1.4%</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rPr>
              <w:t>-23.3%</w:t>
            </w: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4.3%</w:t>
            </w:r>
          </w:p>
        </w:tc>
        <w:tc>
          <w:tcPr>
            <w:tcW w:w="58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19.6%</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786</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809</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778</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-3.8%</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-1.0%</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60.5%</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39.5%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1400" w:type="dxa"/>
            <w:vAlign w:val="bottom"/>
          </w:tcPr>
          <w:p>
            <w:pPr>
              <w:ind w:left="200"/>
              <w:spacing w:after="0" w:line="122" w:lineRule="exact"/>
              <w:rPr>
                <w:sz w:val="20"/>
                <w:szCs w:val="20"/>
                <w:color w:val="auto"/>
              </w:rPr>
            </w:pPr>
            <w:r>
              <w:rPr>
                <w:rFonts w:ascii="Arial" w:cs="Arial" w:eastAsia="Arial" w:hAnsi="Arial"/>
                <w:sz w:val="11"/>
                <w:szCs w:val="11"/>
                <w:color w:val="auto"/>
              </w:rPr>
              <w:t>SME - Pyme</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17,779</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16,378</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16,589</w:t>
            </w:r>
          </w:p>
        </w:tc>
        <w:tc>
          <w:tcPr>
            <w:tcW w:w="580" w:type="dxa"/>
            <w:vAlign w:val="bottom"/>
          </w:tcPr>
          <w:p>
            <w:pPr>
              <w:jc w:val="center"/>
              <w:ind w:left="23"/>
              <w:spacing w:after="0" w:line="122" w:lineRule="exact"/>
              <w:rPr>
                <w:sz w:val="20"/>
                <w:szCs w:val="20"/>
                <w:color w:val="auto"/>
              </w:rPr>
            </w:pPr>
            <w:r>
              <w:rPr>
                <w:rFonts w:ascii="Arial" w:cs="Arial" w:eastAsia="Arial" w:hAnsi="Arial"/>
                <w:sz w:val="11"/>
                <w:szCs w:val="11"/>
                <w:color w:val="auto"/>
              </w:rPr>
              <w:t>13,013</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14,209</w:t>
            </w:r>
          </w:p>
        </w:tc>
        <w:tc>
          <w:tcPr>
            <w:tcW w:w="5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14,747</w:t>
            </w: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1.3%</w:t>
            </w:r>
          </w:p>
        </w:tc>
        <w:tc>
          <w:tcPr>
            <w:tcW w:w="560" w:type="dxa"/>
            <w:vAlign w:val="bottom"/>
            <w:shd w:val="clear" w:color="auto" w:fill="E93BAC"/>
          </w:tcPr>
          <w:p>
            <w:pPr>
              <w:jc w:val="center"/>
              <w:spacing w:after="0" w:line="122" w:lineRule="exact"/>
              <w:rPr>
                <w:sz w:val="20"/>
                <w:szCs w:val="20"/>
                <w:color w:val="auto"/>
              </w:rPr>
            </w:pPr>
            <w:r>
              <w:rPr>
                <w:rFonts w:ascii="Arial" w:cs="Arial" w:eastAsia="Arial" w:hAnsi="Arial"/>
                <w:sz w:val="11"/>
                <w:szCs w:val="11"/>
                <w:color w:val="auto"/>
                <w:w w:val="97"/>
              </w:rPr>
              <w:t>-6.7%</w:t>
            </w: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3.8%</w:t>
            </w:r>
          </w:p>
        </w:tc>
        <w:tc>
          <w:tcPr>
            <w:tcW w:w="58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13.3%</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43</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46</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41</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-10.6%</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-4.3%</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99.0%</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400" w:type="dxa"/>
            <w:vAlign w:val="bottom"/>
          </w:tcPr>
          <w:p>
            <w:pPr>
              <w:ind w:left="200"/>
              <w:spacing w:after="0" w:line="122" w:lineRule="exact"/>
              <w:rPr>
                <w:sz w:val="20"/>
                <w:szCs w:val="20"/>
                <w:color w:val="auto"/>
              </w:rPr>
            </w:pPr>
            <w:r>
              <w:rPr>
                <w:rFonts w:ascii="Arial" w:cs="Arial" w:eastAsia="Arial" w:hAnsi="Arial"/>
                <w:sz w:val="11"/>
                <w:szCs w:val="11"/>
                <w:color w:val="auto"/>
              </w:rPr>
              <w:t>Mortgage</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18,005</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18,768</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19,095</w:t>
            </w:r>
          </w:p>
        </w:tc>
        <w:tc>
          <w:tcPr>
            <w:tcW w:w="580" w:type="dxa"/>
            <w:vAlign w:val="bottom"/>
          </w:tcPr>
          <w:p>
            <w:pPr>
              <w:jc w:val="center"/>
              <w:ind w:left="23"/>
              <w:spacing w:after="0" w:line="122" w:lineRule="exact"/>
              <w:rPr>
                <w:sz w:val="20"/>
                <w:szCs w:val="20"/>
                <w:color w:val="auto"/>
              </w:rPr>
            </w:pPr>
            <w:r>
              <w:rPr>
                <w:rFonts w:ascii="Arial" w:cs="Arial" w:eastAsia="Arial" w:hAnsi="Arial"/>
                <w:sz w:val="11"/>
                <w:szCs w:val="11"/>
                <w:color w:val="auto"/>
              </w:rPr>
              <w:t>18,005</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18,768</w:t>
            </w:r>
          </w:p>
        </w:tc>
        <w:tc>
          <w:tcPr>
            <w:tcW w:w="5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19,095</w:t>
            </w: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1.7%</w:t>
            </w:r>
          </w:p>
        </w:tc>
        <w:tc>
          <w:tcPr>
            <w:tcW w:w="560" w:type="dxa"/>
            <w:vAlign w:val="bottom"/>
            <w:shd w:val="clear" w:color="auto" w:fill="00D274"/>
          </w:tcPr>
          <w:p>
            <w:pPr>
              <w:jc w:val="center"/>
              <w:spacing w:after="0" w:line="107" w:lineRule="exact"/>
              <w:rPr>
                <w:sz w:val="20"/>
                <w:szCs w:val="20"/>
                <w:color w:val="auto"/>
              </w:rPr>
            </w:pPr>
            <w:r>
              <w:rPr>
                <w:rFonts w:ascii="Arial" w:cs="Arial" w:eastAsia="Arial" w:hAnsi="Arial"/>
                <w:sz w:val="11"/>
                <w:szCs w:val="11"/>
                <w:color w:val="auto"/>
              </w:rPr>
              <w:t>6.0%</w:t>
            </w:r>
          </w:p>
        </w:tc>
        <w:tc>
          <w:tcPr>
            <w:tcW w:w="540" w:type="dxa"/>
            <w:vAlign w:val="bottom"/>
          </w:tcPr>
          <w:p>
            <w:pPr>
              <w:jc w:val="center"/>
              <w:spacing w:after="0" w:line="107" w:lineRule="exact"/>
              <w:rPr>
                <w:sz w:val="20"/>
                <w:szCs w:val="20"/>
                <w:color w:val="auto"/>
              </w:rPr>
            </w:pPr>
            <w:r>
              <w:rPr>
                <w:rFonts w:ascii="Arial" w:cs="Arial" w:eastAsia="Arial" w:hAnsi="Arial"/>
                <w:sz w:val="11"/>
                <w:szCs w:val="11"/>
                <w:color w:val="auto"/>
              </w:rPr>
              <w:t>1.7%</w:t>
            </w:r>
          </w:p>
        </w:tc>
        <w:tc>
          <w:tcPr>
            <w:tcW w:w="58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6.0%</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532</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526</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523</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-0.5%</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-1.7%</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90.4%</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tcPr>
          <w:p>
            <w:pPr>
              <w:ind w:left="200"/>
              <w:spacing w:after="0" w:line="107" w:lineRule="exact"/>
              <w:rPr>
                <w:sz w:val="20"/>
                <w:szCs w:val="20"/>
                <w:color w:val="auto"/>
              </w:rPr>
            </w:pPr>
            <w:r>
              <w:rPr>
                <w:rFonts w:ascii="Arial" w:cs="Arial" w:eastAsia="Arial" w:hAnsi="Arial"/>
                <w:sz w:val="11"/>
                <w:szCs w:val="11"/>
                <w:color w:val="auto"/>
              </w:rPr>
              <w:t>Consumer</w:t>
            </w:r>
          </w:p>
        </w:tc>
        <w:tc>
          <w:tcPr>
            <w:tcW w:w="580" w:type="dxa"/>
            <w:vAlign w:val="bottom"/>
          </w:tcPr>
          <w:p>
            <w:pPr>
              <w:jc w:val="center"/>
              <w:spacing w:after="0" w:line="107" w:lineRule="exact"/>
              <w:rPr>
                <w:sz w:val="20"/>
                <w:szCs w:val="20"/>
                <w:color w:val="auto"/>
              </w:rPr>
            </w:pPr>
            <w:r>
              <w:rPr>
                <w:rFonts w:ascii="Arial" w:cs="Arial" w:eastAsia="Arial" w:hAnsi="Arial"/>
                <w:sz w:val="11"/>
                <w:szCs w:val="11"/>
                <w:color w:val="auto"/>
              </w:rPr>
              <w:t>11,192</w:t>
            </w:r>
          </w:p>
        </w:tc>
        <w:tc>
          <w:tcPr>
            <w:tcW w:w="540" w:type="dxa"/>
            <w:vAlign w:val="bottom"/>
          </w:tcPr>
          <w:p>
            <w:pPr>
              <w:jc w:val="center"/>
              <w:spacing w:after="0" w:line="107" w:lineRule="exact"/>
              <w:rPr>
                <w:sz w:val="20"/>
                <w:szCs w:val="20"/>
                <w:color w:val="auto"/>
              </w:rPr>
            </w:pPr>
            <w:r>
              <w:rPr>
                <w:rFonts w:ascii="Arial" w:cs="Arial" w:eastAsia="Arial" w:hAnsi="Arial"/>
                <w:sz w:val="11"/>
                <w:szCs w:val="11"/>
                <w:color w:val="auto"/>
              </w:rPr>
              <w:t>11,210</w:t>
            </w:r>
          </w:p>
        </w:tc>
        <w:tc>
          <w:tcPr>
            <w:tcW w:w="620" w:type="dxa"/>
            <w:vAlign w:val="bottom"/>
          </w:tcPr>
          <w:p>
            <w:pPr>
              <w:jc w:val="center"/>
              <w:spacing w:after="0" w:line="107" w:lineRule="exact"/>
              <w:rPr>
                <w:sz w:val="20"/>
                <w:szCs w:val="20"/>
                <w:color w:val="auto"/>
              </w:rPr>
            </w:pPr>
            <w:r>
              <w:rPr>
                <w:rFonts w:ascii="Arial" w:cs="Arial" w:eastAsia="Arial" w:hAnsi="Arial"/>
                <w:sz w:val="11"/>
                <w:szCs w:val="11"/>
                <w:color w:val="auto"/>
              </w:rPr>
              <w:t>11,075</w:t>
            </w:r>
          </w:p>
        </w:tc>
        <w:tc>
          <w:tcPr>
            <w:tcW w:w="580" w:type="dxa"/>
            <w:vAlign w:val="bottom"/>
          </w:tcPr>
          <w:p>
            <w:pPr>
              <w:jc w:val="center"/>
              <w:ind w:left="23"/>
              <w:spacing w:after="0" w:line="107" w:lineRule="exact"/>
              <w:rPr>
                <w:sz w:val="20"/>
                <w:szCs w:val="20"/>
                <w:color w:val="auto"/>
              </w:rPr>
            </w:pPr>
            <w:r>
              <w:rPr>
                <w:rFonts w:ascii="Arial" w:cs="Arial" w:eastAsia="Arial" w:hAnsi="Arial"/>
                <w:sz w:val="11"/>
                <w:szCs w:val="11"/>
                <w:color w:val="auto"/>
              </w:rPr>
              <w:t>11,192</w:t>
            </w:r>
          </w:p>
        </w:tc>
        <w:tc>
          <w:tcPr>
            <w:tcW w:w="640" w:type="dxa"/>
            <w:vAlign w:val="bottom"/>
          </w:tcPr>
          <w:p>
            <w:pPr>
              <w:jc w:val="center"/>
              <w:spacing w:after="0" w:line="107" w:lineRule="exact"/>
              <w:rPr>
                <w:sz w:val="20"/>
                <w:szCs w:val="20"/>
                <w:color w:val="auto"/>
              </w:rPr>
            </w:pPr>
            <w:r>
              <w:rPr>
                <w:rFonts w:ascii="Arial" w:cs="Arial" w:eastAsia="Arial" w:hAnsi="Arial"/>
                <w:sz w:val="11"/>
                <w:szCs w:val="11"/>
                <w:color w:val="auto"/>
              </w:rPr>
              <w:t>11,210</w:t>
            </w:r>
          </w:p>
        </w:tc>
        <w:tc>
          <w:tcPr>
            <w:tcW w:w="520" w:type="dxa"/>
            <w:vAlign w:val="bottom"/>
          </w:tcPr>
          <w:p>
            <w:pPr>
              <w:jc w:val="center"/>
              <w:ind w:right="3"/>
              <w:spacing w:after="0" w:line="107" w:lineRule="exact"/>
              <w:rPr>
                <w:sz w:val="20"/>
                <w:szCs w:val="20"/>
                <w:color w:val="auto"/>
              </w:rPr>
            </w:pPr>
            <w:r>
              <w:rPr>
                <w:rFonts w:ascii="Arial" w:cs="Arial" w:eastAsia="Arial" w:hAnsi="Arial"/>
                <w:sz w:val="11"/>
                <w:szCs w:val="11"/>
                <w:color w:val="auto"/>
              </w:rPr>
              <w:t>11,075</w:t>
            </w:r>
          </w:p>
        </w:tc>
        <w:tc>
          <w:tcPr>
            <w:tcW w:w="540" w:type="dxa"/>
            <w:vAlign w:val="bottom"/>
          </w:tcPr>
          <w:p>
            <w:pPr>
              <w:jc w:val="center"/>
              <w:spacing w:after="0" w:line="107" w:lineRule="exact"/>
              <w:rPr>
                <w:sz w:val="20"/>
                <w:szCs w:val="20"/>
                <w:color w:val="auto"/>
              </w:rPr>
            </w:pPr>
            <w:r>
              <w:rPr>
                <w:rFonts w:ascii="Arial" w:cs="Arial" w:eastAsia="Arial" w:hAnsi="Arial"/>
                <w:sz w:val="11"/>
                <w:szCs w:val="11"/>
                <w:color w:val="auto"/>
              </w:rPr>
              <w:t>-1.2%</w:t>
            </w:r>
          </w:p>
        </w:tc>
        <w:tc>
          <w:tcPr>
            <w:tcW w:w="560" w:type="dxa"/>
            <w:vAlign w:val="bottom"/>
          </w:tcPr>
          <w:p>
            <w:pPr>
              <w:jc w:val="center"/>
              <w:spacing w:after="0" w:line="107" w:lineRule="exact"/>
              <w:rPr>
                <w:sz w:val="20"/>
                <w:szCs w:val="20"/>
                <w:color w:val="auto"/>
              </w:rPr>
            </w:pPr>
            <w:r>
              <w:rPr>
                <w:rFonts w:ascii="Arial" w:cs="Arial" w:eastAsia="Arial" w:hAnsi="Arial"/>
                <w:sz w:val="11"/>
                <w:szCs w:val="11"/>
                <w:color w:val="auto"/>
                <w:w w:val="97"/>
              </w:rPr>
              <w:t>-1.0%</w:t>
            </w:r>
          </w:p>
        </w:tc>
        <w:tc>
          <w:tcPr>
            <w:tcW w:w="540" w:type="dxa"/>
            <w:vAlign w:val="bottom"/>
          </w:tcPr>
          <w:p>
            <w:pPr>
              <w:jc w:val="center"/>
              <w:spacing w:after="0" w:line="107" w:lineRule="exact"/>
              <w:rPr>
                <w:sz w:val="20"/>
                <w:szCs w:val="20"/>
                <w:color w:val="auto"/>
              </w:rPr>
            </w:pPr>
            <w:r>
              <w:rPr>
                <w:rFonts w:ascii="Arial" w:cs="Arial" w:eastAsia="Arial" w:hAnsi="Arial"/>
                <w:sz w:val="11"/>
                <w:szCs w:val="11"/>
                <w:color w:val="auto"/>
              </w:rPr>
              <w:t>-1.2%</w:t>
            </w:r>
          </w:p>
        </w:tc>
        <w:tc>
          <w:tcPr>
            <w:tcW w:w="580" w:type="dxa"/>
            <w:vAlign w:val="bottom"/>
            <w:shd w:val="clear" w:color="auto" w:fill="00D274"/>
          </w:tcPr>
          <w:p>
            <w:pPr>
              <w:jc w:val="center"/>
              <w:spacing w:after="0" w:line="107" w:lineRule="exact"/>
              <w:rPr>
                <w:sz w:val="20"/>
                <w:szCs w:val="20"/>
                <w:color w:val="auto"/>
              </w:rPr>
            </w:pPr>
            <w:r>
              <w:rPr>
                <w:rFonts w:ascii="Arial" w:cs="Arial" w:eastAsia="Arial" w:hAnsi="Arial"/>
                <w:sz w:val="11"/>
                <w:szCs w:val="11"/>
                <w:color w:val="auto"/>
              </w:rPr>
              <w:t>-1.0%</w:t>
            </w:r>
          </w:p>
        </w:tc>
        <w:tc>
          <w:tcPr>
            <w:tcW w:w="560" w:type="dxa"/>
            <w:vAlign w:val="bottom"/>
          </w:tcPr>
          <w:p>
            <w:pPr>
              <w:jc w:val="center"/>
              <w:spacing w:after="0" w:line="107" w:lineRule="exact"/>
              <w:rPr>
                <w:sz w:val="20"/>
                <w:szCs w:val="20"/>
                <w:color w:val="auto"/>
              </w:rPr>
            </w:pPr>
            <w:r>
              <w:rPr>
                <w:rFonts w:ascii="Arial" w:cs="Arial" w:eastAsia="Arial" w:hAnsi="Arial"/>
                <w:sz w:val="11"/>
                <w:szCs w:val="11"/>
                <w:color w:val="auto"/>
              </w:rPr>
              <w:t>398</w:t>
            </w:r>
          </w:p>
        </w:tc>
        <w:tc>
          <w:tcPr>
            <w:tcW w:w="560" w:type="dxa"/>
            <w:vAlign w:val="bottom"/>
          </w:tcPr>
          <w:p>
            <w:pPr>
              <w:jc w:val="center"/>
              <w:spacing w:after="0" w:line="107" w:lineRule="exact"/>
              <w:rPr>
                <w:sz w:val="20"/>
                <w:szCs w:val="20"/>
                <w:color w:val="auto"/>
              </w:rPr>
            </w:pPr>
            <w:r>
              <w:rPr>
                <w:rFonts w:ascii="Arial" w:cs="Arial" w:eastAsia="Arial" w:hAnsi="Arial"/>
                <w:sz w:val="11"/>
                <w:szCs w:val="11"/>
                <w:color w:val="auto"/>
                <w:w w:val="97"/>
              </w:rPr>
              <w:t>390</w:t>
            </w:r>
          </w:p>
        </w:tc>
        <w:tc>
          <w:tcPr>
            <w:tcW w:w="560" w:type="dxa"/>
            <w:vAlign w:val="bottom"/>
          </w:tcPr>
          <w:p>
            <w:pPr>
              <w:jc w:val="center"/>
              <w:spacing w:after="0" w:line="107" w:lineRule="exact"/>
              <w:rPr>
                <w:sz w:val="20"/>
                <w:szCs w:val="20"/>
                <w:color w:val="auto"/>
              </w:rPr>
            </w:pPr>
            <w:r>
              <w:rPr>
                <w:rFonts w:ascii="Arial" w:cs="Arial" w:eastAsia="Arial" w:hAnsi="Arial"/>
                <w:sz w:val="11"/>
                <w:szCs w:val="11"/>
                <w:color w:val="auto"/>
                <w:w w:val="97"/>
              </w:rPr>
              <w:t>407</w:t>
            </w:r>
          </w:p>
        </w:tc>
        <w:tc>
          <w:tcPr>
            <w:tcW w:w="560" w:type="dxa"/>
            <w:vAlign w:val="bottom"/>
          </w:tcPr>
          <w:p>
            <w:pPr>
              <w:jc w:val="center"/>
              <w:spacing w:after="0" w:line="107" w:lineRule="exact"/>
              <w:rPr>
                <w:sz w:val="20"/>
                <w:szCs w:val="20"/>
                <w:color w:val="auto"/>
              </w:rPr>
            </w:pPr>
            <w:r>
              <w:rPr>
                <w:rFonts w:ascii="Arial" w:cs="Arial" w:eastAsia="Arial" w:hAnsi="Arial"/>
                <w:sz w:val="11"/>
                <w:szCs w:val="11"/>
                <w:color w:val="auto"/>
                <w:w w:val="95"/>
              </w:rPr>
              <w:t>4.1%</w:t>
            </w:r>
          </w:p>
        </w:tc>
        <w:tc>
          <w:tcPr>
            <w:tcW w:w="560" w:type="dxa"/>
            <w:vAlign w:val="bottom"/>
          </w:tcPr>
          <w:p>
            <w:pPr>
              <w:jc w:val="center"/>
              <w:spacing w:after="0" w:line="107" w:lineRule="exact"/>
              <w:rPr>
                <w:sz w:val="20"/>
                <w:szCs w:val="20"/>
                <w:color w:val="auto"/>
              </w:rPr>
            </w:pPr>
            <w:r>
              <w:rPr>
                <w:rFonts w:ascii="Arial" w:cs="Arial" w:eastAsia="Arial" w:hAnsi="Arial"/>
                <w:sz w:val="11"/>
                <w:szCs w:val="11"/>
                <w:color w:val="auto"/>
              </w:rPr>
              <w:t>2.2%</w:t>
            </w:r>
          </w:p>
        </w:tc>
        <w:tc>
          <w:tcPr>
            <w:tcW w:w="600" w:type="dxa"/>
            <w:vAlign w:val="bottom"/>
          </w:tcPr>
          <w:p>
            <w:pPr>
              <w:jc w:val="center"/>
              <w:spacing w:after="0" w:line="107" w:lineRule="exact"/>
              <w:rPr>
                <w:sz w:val="20"/>
                <w:szCs w:val="20"/>
                <w:color w:val="auto"/>
              </w:rPr>
            </w:pPr>
            <w:r>
              <w:rPr>
                <w:rFonts w:ascii="Arial" w:cs="Arial" w:eastAsia="Arial" w:hAnsi="Arial"/>
                <w:sz w:val="11"/>
                <w:szCs w:val="11"/>
                <w:color w:val="auto"/>
              </w:rPr>
              <w:t>89.2%</w:t>
            </w:r>
          </w:p>
        </w:tc>
        <w:tc>
          <w:tcPr>
            <w:tcW w:w="640" w:type="dxa"/>
            <w:vAlign w:val="bottom"/>
          </w:tcPr>
          <w:p>
            <w:pPr>
              <w:jc w:val="center"/>
              <w:spacing w:after="0" w:line="107" w:lineRule="exact"/>
              <w:rPr>
                <w:sz w:val="20"/>
                <w:szCs w:val="20"/>
                <w:color w:val="auto"/>
              </w:rPr>
            </w:pPr>
            <w:r>
              <w:rPr>
                <w:rFonts w:ascii="Arial" w:cs="Arial" w:eastAsia="Arial" w:hAnsi="Arial"/>
                <w:sz w:val="11"/>
                <w:szCs w:val="11"/>
                <w:color w:val="auto"/>
              </w:rPr>
              <w:t>10.8%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1400" w:type="dxa"/>
            <w:vAlign w:val="bottom"/>
          </w:tcPr>
          <w:p>
            <w:pPr>
              <w:ind w:left="200"/>
              <w:spacing w:after="0" w:line="122" w:lineRule="exact"/>
              <w:rPr>
                <w:sz w:val="20"/>
                <w:szCs w:val="20"/>
                <w:color w:val="auto"/>
              </w:rPr>
            </w:pPr>
            <w:r>
              <w:rPr>
                <w:rFonts w:ascii="Arial" w:cs="Arial" w:eastAsia="Arial" w:hAnsi="Arial"/>
                <w:sz w:val="11"/>
                <w:szCs w:val="11"/>
                <w:color w:val="auto"/>
              </w:rPr>
              <w:t>Credit Card</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rPr>
              <w:t>4,249</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4,898</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rPr>
              <w:t>4,971</w:t>
            </w:r>
          </w:p>
        </w:tc>
        <w:tc>
          <w:tcPr>
            <w:tcW w:w="580" w:type="dxa"/>
            <w:vAlign w:val="bottom"/>
          </w:tcPr>
          <w:p>
            <w:pPr>
              <w:jc w:val="center"/>
              <w:ind w:left="23"/>
              <w:spacing w:after="0" w:line="122" w:lineRule="exact"/>
              <w:rPr>
                <w:sz w:val="20"/>
                <w:szCs w:val="20"/>
                <w:color w:val="auto"/>
              </w:rPr>
            </w:pPr>
            <w:r>
              <w:rPr>
                <w:rFonts w:ascii="Arial" w:cs="Arial" w:eastAsia="Arial" w:hAnsi="Arial"/>
                <w:sz w:val="11"/>
                <w:szCs w:val="11"/>
                <w:color w:val="auto"/>
              </w:rPr>
              <w:t>4,249</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4,898</w:t>
            </w:r>
          </w:p>
        </w:tc>
        <w:tc>
          <w:tcPr>
            <w:tcW w:w="5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4,971</w:t>
            </w: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rPr>
              <w:t>1.5%</w:t>
            </w:r>
          </w:p>
        </w:tc>
        <w:tc>
          <w:tcPr>
            <w:tcW w:w="56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17.0%</w:t>
            </w: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1.5%</w:t>
            </w:r>
          </w:p>
        </w:tc>
        <w:tc>
          <w:tcPr>
            <w:tcW w:w="58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color w:val="auto"/>
              </w:rPr>
              <w:t>17.0%</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226</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257</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260</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5"/>
              </w:rPr>
              <w:t>1.3%</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rPr>
              <w:t>15.3%</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84.3%</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400" w:type="dxa"/>
            <w:vAlign w:val="bottom"/>
          </w:tcPr>
          <w:p>
            <w:pPr>
              <w:spacing w:after="0" w:line="122" w:lineRule="exact"/>
              <w:rPr>
                <w:sz w:val="20"/>
                <w:szCs w:val="20"/>
                <w:color w:val="auto"/>
              </w:rPr>
            </w:pPr>
            <w:r>
              <w:rPr>
                <w:rFonts w:ascii="Arial" w:cs="Arial" w:eastAsia="Arial" w:hAnsi="Arial"/>
                <w:sz w:val="11"/>
                <w:szCs w:val="11"/>
                <w:b w:val="1"/>
                <w:bCs w:val="1"/>
                <w:color w:val="auto"/>
              </w:rPr>
              <w:t>Mibanco</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13,784</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13,633</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13,181</w:t>
            </w:r>
          </w:p>
        </w:tc>
        <w:tc>
          <w:tcPr>
            <w:tcW w:w="580" w:type="dxa"/>
            <w:vAlign w:val="bottom"/>
          </w:tcPr>
          <w:p>
            <w:pPr>
              <w:jc w:val="center"/>
              <w:ind w:left="23"/>
              <w:spacing w:after="0" w:line="122" w:lineRule="exact"/>
              <w:rPr>
                <w:sz w:val="20"/>
                <w:szCs w:val="20"/>
                <w:color w:val="auto"/>
              </w:rPr>
            </w:pPr>
            <w:r>
              <w:rPr>
                <w:rFonts w:ascii="Arial" w:cs="Arial" w:eastAsia="Arial" w:hAnsi="Arial"/>
                <w:sz w:val="11"/>
                <w:szCs w:val="11"/>
                <w:b w:val="1"/>
                <w:bCs w:val="1"/>
                <w:color w:val="auto"/>
              </w:rPr>
              <w:t>12,644</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13,153</w:t>
            </w:r>
          </w:p>
        </w:tc>
        <w:tc>
          <w:tcPr>
            <w:tcW w:w="52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rPr>
              <w:t>12,618</w:t>
            </w:r>
          </w:p>
        </w:tc>
        <w:tc>
          <w:tcPr>
            <w:tcW w:w="540" w:type="dxa"/>
            <w:vAlign w:val="bottom"/>
            <w:shd w:val="clear" w:color="auto" w:fill="E93BAC"/>
          </w:tcPr>
          <w:p>
            <w:pPr>
              <w:jc w:val="center"/>
              <w:spacing w:after="0" w:line="107" w:lineRule="exact"/>
              <w:rPr>
                <w:sz w:val="20"/>
                <w:szCs w:val="20"/>
                <w:color w:val="auto"/>
              </w:rPr>
            </w:pPr>
            <w:r>
              <w:rPr>
                <w:rFonts w:ascii="Arial" w:cs="Arial" w:eastAsia="Arial" w:hAnsi="Arial"/>
                <w:sz w:val="11"/>
                <w:szCs w:val="11"/>
                <w:b w:val="1"/>
                <w:bCs w:val="1"/>
                <w:color w:val="auto"/>
              </w:rPr>
              <w:t>-3.3%</w:t>
            </w:r>
          </w:p>
        </w:tc>
        <w:tc>
          <w:tcPr>
            <w:tcW w:w="560" w:type="dxa"/>
            <w:vAlign w:val="bottom"/>
            <w:shd w:val="clear" w:color="auto" w:fill="E93BAC"/>
          </w:tcPr>
          <w:p>
            <w:pPr>
              <w:jc w:val="center"/>
              <w:spacing w:after="0" w:line="107" w:lineRule="exact"/>
              <w:rPr>
                <w:sz w:val="20"/>
                <w:szCs w:val="20"/>
                <w:color w:val="auto"/>
              </w:rPr>
            </w:pPr>
            <w:r>
              <w:rPr>
                <w:rFonts w:ascii="Arial" w:cs="Arial" w:eastAsia="Arial" w:hAnsi="Arial"/>
                <w:sz w:val="11"/>
                <w:szCs w:val="11"/>
                <w:b w:val="1"/>
                <w:bCs w:val="1"/>
                <w:color w:val="auto"/>
                <w:w w:val="97"/>
              </w:rPr>
              <w:t>-4.4%</w:t>
            </w:r>
          </w:p>
        </w:tc>
        <w:tc>
          <w:tcPr>
            <w:tcW w:w="54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b w:val="1"/>
                <w:bCs w:val="1"/>
                <w:color w:val="auto"/>
              </w:rPr>
              <w:t>-4.1%</w:t>
            </w:r>
          </w:p>
        </w:tc>
        <w:tc>
          <w:tcPr>
            <w:tcW w:w="580" w:type="dxa"/>
            <w:vAlign w:val="bottom"/>
            <w:shd w:val="clear" w:color="auto" w:fill="00D274"/>
          </w:tcPr>
          <w:p>
            <w:pPr>
              <w:jc w:val="center"/>
              <w:spacing w:after="0" w:line="122" w:lineRule="exact"/>
              <w:rPr>
                <w:sz w:val="20"/>
                <w:szCs w:val="20"/>
                <w:color w:val="auto"/>
              </w:rPr>
            </w:pPr>
            <w:r>
              <w:rPr>
                <w:rFonts w:ascii="Arial" w:cs="Arial" w:eastAsia="Arial" w:hAnsi="Arial"/>
                <w:sz w:val="11"/>
                <w:szCs w:val="11"/>
                <w:b w:val="1"/>
                <w:bCs w:val="1"/>
                <w:color w:val="auto"/>
              </w:rPr>
              <w:t>-0.2%</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123</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132</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129</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-2.6%</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4.7%</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96.6%</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tcPr>
          <w:p>
            <w:pPr>
              <w:spacing w:after="0" w:line="107" w:lineRule="exact"/>
              <w:rPr>
                <w:sz w:val="20"/>
                <w:szCs w:val="20"/>
                <w:color w:val="auto"/>
              </w:rPr>
            </w:pPr>
            <w:r>
              <w:rPr>
                <w:rFonts w:ascii="Arial" w:cs="Arial" w:eastAsia="Arial" w:hAnsi="Arial"/>
                <w:sz w:val="11"/>
                <w:szCs w:val="11"/>
                <w:b w:val="1"/>
                <w:bCs w:val="1"/>
                <w:color w:val="auto"/>
              </w:rPr>
              <w:t>Mibanco Colombia</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w w:val="73"/>
              </w:rPr>
              <w:t>-</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73"/>
              </w:rPr>
              <w:t>-</w:t>
            </w:r>
          </w:p>
        </w:tc>
        <w:tc>
          <w:tcPr>
            <w:tcW w:w="6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143"/>
              <w:spacing w:after="0" w:line="107" w:lineRule="exact"/>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223"/>
              <w:spacing w:after="0" w:line="107" w:lineRule="exact"/>
              <w:rPr>
                <w:sz w:val="20"/>
                <w:szCs w:val="20"/>
                <w:color w:val="auto"/>
              </w:rPr>
            </w:pPr>
            <w:r>
              <w:rPr>
                <w:rFonts w:ascii="Arial" w:cs="Arial" w:eastAsia="Arial" w:hAnsi="Arial"/>
                <w:sz w:val="11"/>
                <w:szCs w:val="11"/>
                <w:b w:val="1"/>
                <w:bCs w:val="1"/>
                <w:color w:val="auto"/>
              </w:rPr>
              <w:t>-</w:t>
            </w:r>
          </w:p>
        </w:tc>
        <w:tc>
          <w:tcPr>
            <w:tcW w:w="5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w:t>
            </w: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w:t>
            </w:r>
          </w:p>
        </w:tc>
        <w:tc>
          <w:tcPr>
            <w:tcW w:w="5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w w:val="73"/>
              </w:rPr>
              <w:t>-</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303</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7"/>
              </w:rPr>
              <w:t>421</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7"/>
              </w:rPr>
              <w:t>443</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5"/>
              </w:rPr>
              <w:t>5.3%</w:t>
            </w:r>
          </w:p>
        </w:tc>
        <w:tc>
          <w:tcPr>
            <w:tcW w:w="5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46.6%</w:t>
            </w:r>
          </w:p>
        </w:tc>
        <w:tc>
          <w:tcPr>
            <w:tcW w:w="6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w:t>
            </w:r>
          </w:p>
        </w:tc>
        <w:tc>
          <w:tcPr>
            <w:tcW w:w="6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100.0%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400" w:type="dxa"/>
            <w:vAlign w:val="bottom"/>
          </w:tcPr>
          <w:p>
            <w:pPr>
              <w:spacing w:after="0" w:line="122" w:lineRule="exact"/>
              <w:rPr>
                <w:sz w:val="20"/>
                <w:szCs w:val="20"/>
                <w:color w:val="auto"/>
              </w:rPr>
            </w:pPr>
            <w:r>
              <w:rPr>
                <w:rFonts w:ascii="Arial" w:cs="Arial" w:eastAsia="Arial" w:hAnsi="Arial"/>
                <w:sz w:val="11"/>
                <w:szCs w:val="11"/>
                <w:b w:val="1"/>
                <w:bCs w:val="1"/>
                <w:color w:val="auto"/>
              </w:rPr>
              <w:t>Bolivia</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w w:val="73"/>
              </w:rPr>
              <w:t>-</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73"/>
              </w:rPr>
              <w:t>-</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143"/>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223"/>
              <w:spacing w:after="0" w:line="122" w:lineRule="exact"/>
              <w:rPr>
                <w:sz w:val="20"/>
                <w:szCs w:val="20"/>
                <w:color w:val="auto"/>
              </w:rPr>
            </w:pPr>
            <w:r>
              <w:rPr>
                <w:rFonts w:ascii="Arial" w:cs="Arial" w:eastAsia="Arial" w:hAnsi="Arial"/>
                <w:sz w:val="11"/>
                <w:szCs w:val="11"/>
                <w:b w:val="1"/>
                <w:bCs w:val="1"/>
                <w:color w:val="auto"/>
              </w:rPr>
              <w:t>-</w:t>
            </w:r>
          </w:p>
        </w:tc>
        <w:tc>
          <w:tcPr>
            <w:tcW w:w="5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w w:val="73"/>
              </w:rPr>
              <w:t>-</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2,326</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2,422</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2,443</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0.9%</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5.0%</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ASB</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73"/>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73"/>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525</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469</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465</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-0.8%</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-11.4%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100.0%</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400" w:type="dxa"/>
            <w:vAlign w:val="bottom"/>
          </w:tcPr>
          <w:p>
            <w:pPr>
              <w:spacing w:after="0" w:line="121" w:lineRule="exact"/>
              <w:rPr>
                <w:sz w:val="20"/>
                <w:szCs w:val="20"/>
                <w:color w:val="auto"/>
              </w:rPr>
            </w:pPr>
            <w:r>
              <w:rPr>
                <w:rFonts w:ascii="Arial" w:cs="Arial" w:eastAsia="Arial" w:hAnsi="Arial"/>
                <w:sz w:val="11"/>
                <w:szCs w:val="11"/>
                <w:b w:val="1"/>
                <w:bCs w:val="1"/>
                <w:color w:val="auto"/>
              </w:rPr>
              <w:t>Total loans</w:t>
            </w:r>
          </w:p>
        </w:tc>
        <w:tc>
          <w:tcPr>
            <w:tcW w:w="580" w:type="dxa"/>
            <w:vAlign w:val="bottom"/>
          </w:tcPr>
          <w:p>
            <w:pPr>
              <w:jc w:val="right"/>
              <w:ind w:right="46"/>
              <w:spacing w:after="0" w:line="121" w:lineRule="exact"/>
              <w:rPr>
                <w:sz w:val="20"/>
                <w:szCs w:val="20"/>
                <w:color w:val="auto"/>
              </w:rPr>
            </w:pPr>
            <w:r>
              <w:rPr>
                <w:rFonts w:ascii="Arial" w:cs="Arial" w:eastAsia="Arial" w:hAnsi="Arial"/>
                <w:sz w:val="11"/>
                <w:szCs w:val="11"/>
                <w:b w:val="1"/>
                <w:bCs w:val="1"/>
                <w:color w:val="auto"/>
              </w:rPr>
              <w:t>98,890</w:t>
            </w: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93,529</w:t>
            </w:r>
          </w:p>
        </w:tc>
        <w:tc>
          <w:tcPr>
            <w:tcW w:w="6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92,604</w:t>
            </w:r>
          </w:p>
        </w:tc>
        <w:tc>
          <w:tcPr>
            <w:tcW w:w="580" w:type="dxa"/>
            <w:vAlign w:val="bottom"/>
          </w:tcPr>
          <w:p>
            <w:pPr>
              <w:jc w:val="center"/>
              <w:ind w:left="23"/>
              <w:spacing w:after="0" w:line="121" w:lineRule="exact"/>
              <w:rPr>
                <w:sz w:val="20"/>
                <w:szCs w:val="20"/>
                <w:color w:val="auto"/>
              </w:rPr>
            </w:pPr>
            <w:r>
              <w:rPr>
                <w:rFonts w:ascii="Arial" w:cs="Arial" w:eastAsia="Arial" w:hAnsi="Arial"/>
                <w:sz w:val="11"/>
                <w:szCs w:val="11"/>
                <w:b w:val="1"/>
                <w:bCs w:val="1"/>
                <w:color w:val="auto"/>
              </w:rPr>
              <w:t>88,353</w:t>
            </w:r>
          </w:p>
        </w:tc>
        <w:tc>
          <w:tcPr>
            <w:tcW w:w="6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89,055</w:t>
            </w:r>
          </w:p>
        </w:tc>
        <w:tc>
          <w:tcPr>
            <w:tcW w:w="520" w:type="dxa"/>
            <w:vAlign w:val="bottom"/>
          </w:tcPr>
          <w:p>
            <w:pPr>
              <w:jc w:val="center"/>
              <w:ind w:right="3"/>
              <w:spacing w:after="0" w:line="121" w:lineRule="exact"/>
              <w:rPr>
                <w:sz w:val="20"/>
                <w:szCs w:val="20"/>
                <w:color w:val="auto"/>
              </w:rPr>
            </w:pPr>
            <w:r>
              <w:rPr>
                <w:rFonts w:ascii="Arial" w:cs="Arial" w:eastAsia="Arial" w:hAnsi="Arial"/>
                <w:sz w:val="11"/>
                <w:szCs w:val="11"/>
                <w:b w:val="1"/>
                <w:bCs w:val="1"/>
                <w:color w:val="auto"/>
              </w:rPr>
              <w:t>88,689</w:t>
            </w: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-1.0%</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-6.4%</w:t>
            </w: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-0.4%</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0.4%</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12,766</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13,166</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13,204</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5"/>
              </w:rPr>
              <w:t>0.3%</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3.4%</w:t>
            </w:r>
          </w:p>
        </w:tc>
        <w:tc>
          <w:tcPr>
            <w:tcW w:w="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66.4%</w:t>
            </w:r>
          </w:p>
        </w:tc>
        <w:tc>
          <w:tcPr>
            <w:tcW w:w="6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33.6%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
        <w:spacing w:after="0" w:line="231" w:lineRule="auto"/>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-50165</wp:posOffset>
            </wp:positionV>
            <wp:extent cx="1161415" cy="1860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61415" cy="186055"/>
                    </a:xfrm>
                    <a:prstGeom prst="rect">
                      <a:avLst/>
                    </a:prstGeom>
                    <a:noFill/>
                  </pic:spPr>
                </pic:pic>
              </a:graphicData>
            </a:graphic>
          </wp:anchor>
        </w:drawing>
      </w:r>
    </w:p>
    <w:p>
      <w:pPr>
        <w:ind w:left="162" w:hanging="162"/>
        <w:spacing w:after="0" w:line="231" w:lineRule="auto"/>
        <w:tabs>
          <w:tab w:leader="none" w:pos="162"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Workout unit and other banking. For Quarter-end balance figures, please refer to “12. Annexes – 12.2 Loan Portfolio Quality”.</w:t>
      </w:r>
    </w:p>
    <w:p>
      <w:pPr>
        <w:ind w:left="162" w:hanging="162"/>
        <w:spacing w:after="0"/>
        <w:tabs>
          <w:tab w:leader="none" w:pos="162"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167" w:lineRule="exact"/>
        <w:rPr>
          <w:sz w:val="20"/>
          <w:szCs w:val="20"/>
          <w:color w:val="auto"/>
        </w:rPr>
      </w:pPr>
    </w:p>
    <w:p>
      <w:pPr>
        <w:jc w:val="both"/>
        <w:ind w:left="2" w:right="20"/>
        <w:spacing w:after="0" w:line="279" w:lineRule="auto"/>
        <w:rPr>
          <w:sz w:val="20"/>
          <w:szCs w:val="20"/>
          <w:color w:val="auto"/>
        </w:rPr>
      </w:pPr>
      <w:r>
        <w:rPr>
          <w:rFonts w:ascii="Arial" w:cs="Arial" w:eastAsia="Arial" w:hAnsi="Arial"/>
          <w:sz w:val="16"/>
          <w:szCs w:val="16"/>
          <w:color w:val="auto"/>
        </w:rPr>
        <w:t xml:space="preserve">At the end of December 2023, the dollarization level of structural loans rose 55 bps </w:t>
      </w:r>
      <w:r>
        <w:rPr>
          <w:rFonts w:ascii="Arial" w:cs="Arial" w:eastAsia="Arial" w:hAnsi="Arial"/>
          <w:sz w:val="16"/>
          <w:szCs w:val="16"/>
          <w:b w:val="1"/>
          <w:bCs w:val="1"/>
          <w:color w:val="auto"/>
        </w:rPr>
        <w:t>QoQ</w:t>
      </w:r>
      <w:r>
        <w:rPr>
          <w:rFonts w:ascii="Arial" w:cs="Arial" w:eastAsia="Arial" w:hAnsi="Arial"/>
          <w:sz w:val="16"/>
          <w:szCs w:val="16"/>
          <w:color w:val="auto"/>
        </w:rPr>
        <w:t xml:space="preserve"> (35.9% in Dec 23). This result was driven mainly by loan growth via Middle Market Banking, which was attributable to the same dynamics as those seen QoQ.</w:t>
      </w:r>
    </w:p>
    <w:p>
      <w:pPr>
        <w:spacing w:after="0" w:line="121"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the dollarization level of the structural portfolio fell 5bps, spurred by growth in Retail Banking products, where disbursements are generally made in</w:t>
      </w:r>
      <w:r>
        <w:rPr>
          <w:rFonts w:ascii="Arial" w:cs="Arial" w:eastAsia="Arial" w:hAnsi="Arial"/>
          <w:sz w:val="16"/>
          <w:szCs w:val="16"/>
          <w:b w:val="1"/>
          <w:bCs w:val="1"/>
          <w:color w:val="auto"/>
        </w:rPr>
        <w:t xml:space="preserve"> </w:t>
      </w:r>
      <w:r>
        <w:rPr>
          <w:rFonts w:ascii="Arial" w:cs="Arial" w:eastAsia="Arial" w:hAnsi="Arial"/>
          <w:sz w:val="16"/>
          <w:szCs w:val="16"/>
          <w:color w:val="auto"/>
        </w:rPr>
        <w:t>soles, and by a reduction in loans via Wholesale Banking, whose disbursements are typically in US Dollars. The decline in Wholesale loans was attributable to a drop in the demand for loans in a context marked by les private investment.</w:t>
      </w:r>
    </w:p>
    <w:p>
      <w:pPr>
        <w:spacing w:after="0" w:line="134"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140" w:right="319" w:bottom="1440" w:gutter="0" w:footer="0" w:header="0"/>
        </w:sectPr>
      </w:pPr>
    </w:p>
    <w:bookmarkStart w:id="22" w:name="page23"/>
    <w:bookmarkEnd w:id="22"/>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FFFFFF"/>
        </w:rPr>
        <w:t>01. Loan Portfolio</w:t>
      </w:r>
    </w:p>
    <w:p>
      <w:pPr>
        <w:spacing w:after="0" w:line="27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Evolution of the Dollarization Level of Structural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126365</wp:posOffset>
            </wp:positionV>
            <wp:extent cx="5419090" cy="1788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9090" cy="178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2" w:hanging="162"/>
        <w:spacing w:after="0"/>
        <w:tabs>
          <w:tab w:leader="none" w:pos="162"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FC share of Credicorp’s loan portfolio is calculated including BCP Bolivia and ASB Bank Corp., however the chart shows only the loan books of BCP Stand-alone and Mibanco.</w:t>
      </w:r>
    </w:p>
    <w:p>
      <w:pPr>
        <w:spacing w:after="0" w:line="5" w:lineRule="exact"/>
        <w:rPr>
          <w:rFonts w:ascii="Arial" w:cs="Arial" w:eastAsia="Arial" w:hAnsi="Arial"/>
          <w:sz w:val="11"/>
          <w:szCs w:val="11"/>
          <w:color w:val="auto"/>
        </w:rPr>
      </w:pPr>
    </w:p>
    <w:p>
      <w:pPr>
        <w:ind w:left="2" w:right="1960" w:hanging="2"/>
        <w:spacing w:after="0" w:line="254" w:lineRule="auto"/>
        <w:tabs>
          <w:tab w:leader="none" w:pos="173"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year with the historic maximum level of dollarization for Wholesale Banking was 2012, for Mibanco was 2016, for Credit Card was in 2021 and for the rest of segments was 2009. * For dollarization figures in the quarter-end period, please refer to “12. Annexes – 12.2 Loan Portfolio Quality</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Evolution of Loans in Quarter-end Balances</w:t>
      </w:r>
    </w:p>
    <w:p>
      <w:pPr>
        <w:spacing w:after="0" w:line="182"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color w:val="auto"/>
        </w:rPr>
        <w:t>Structural loans rose 0.3% in quarter-end balances, driven by the same factors as those seen in the analysis of loans in average daily balances. If we incorporate the contraction in the PG portfolio in the analysis, total loans decreased 0.1% QoQ, given that amortizations in government programs were not offset by the growth in structural loans.</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the YoY evolution, structural loans rose 1.6% and total loans fell 2.5%, respectively, due to amortizations in government programs.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1.2. Portfolio Quality</w:t>
      </w:r>
    </w:p>
    <w:p>
      <w:pPr>
        <w:spacing w:after="0" w:line="182" w:lineRule="exact"/>
        <w:rPr>
          <w:sz w:val="20"/>
          <w:szCs w:val="20"/>
          <w:color w:val="auto"/>
        </w:rPr>
      </w:pPr>
    </w:p>
    <w:p>
      <w:pPr>
        <w:ind w:left="3322"/>
        <w:spacing w:after="0"/>
        <w:rPr>
          <w:sz w:val="20"/>
          <w:szCs w:val="20"/>
          <w:color w:val="auto"/>
        </w:rPr>
      </w:pPr>
      <w:r>
        <w:rPr>
          <w:rFonts w:ascii="Arial" w:cs="Arial" w:eastAsia="Arial" w:hAnsi="Arial"/>
          <w:sz w:val="16"/>
          <w:szCs w:val="16"/>
          <w:b w:val="1"/>
          <w:bCs w:val="1"/>
          <w:color w:val="auto"/>
        </w:rPr>
        <w:t>Quality of the Structural Portfolio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5655" cy="1370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655" cy="1370330"/>
                    </a:xfrm>
                    <a:prstGeom prst="rect">
                      <a:avLst/>
                    </a:prstGeom>
                    <a:noFill/>
                  </pic:spPr>
                </pic:pic>
              </a:graphicData>
            </a:graphic>
          </wp:anchor>
        </w:drawing>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119"/>
        </w:trPr>
        <w:tc>
          <w:tcPr>
            <w:tcW w:w="100" w:type="dxa"/>
            <w:vAlign w:val="bottom"/>
            <w:tcBorders>
              <w:top w:val="single" w:sz="8" w:color="auto"/>
            </w:tcBorders>
            <w:shd w:val="clear" w:color="auto" w:fill="2AD2C9"/>
          </w:tcPr>
          <w:p>
            <w:pPr>
              <w:spacing w:after="0"/>
              <w:rPr>
                <w:sz w:val="10"/>
                <w:szCs w:val="10"/>
                <w:color w:val="auto"/>
              </w:rPr>
            </w:pPr>
          </w:p>
        </w:tc>
        <w:tc>
          <w:tcPr>
            <w:tcW w:w="4200" w:type="dxa"/>
            <w:vAlign w:val="bottom"/>
            <w:tcBorders>
              <w:top w:val="single" w:sz="8" w:color="auto"/>
            </w:tcBorders>
            <w:shd w:val="clear" w:color="auto" w:fill="2AD2C9"/>
          </w:tcPr>
          <w:p>
            <w:pPr>
              <w:spacing w:after="0" w:line="119" w:lineRule="exact"/>
              <w:rPr>
                <w:sz w:val="20"/>
                <w:szCs w:val="20"/>
                <w:color w:val="auto"/>
              </w:rPr>
            </w:pPr>
            <w:r>
              <w:rPr>
                <w:rFonts w:ascii="Arial" w:cs="Arial" w:eastAsia="Arial" w:hAnsi="Arial"/>
                <w:sz w:val="11"/>
                <w:szCs w:val="11"/>
                <w:b w:val="1"/>
                <w:bCs w:val="1"/>
                <w:color w:val="FFFFFF"/>
              </w:rPr>
              <w:t>Structural Portfolio quality and Delinquency ratios</w:t>
            </w:r>
          </w:p>
        </w:tc>
        <w:tc>
          <w:tcPr>
            <w:tcW w:w="2000" w:type="dxa"/>
            <w:vAlign w:val="bottom"/>
            <w:tcBorders>
              <w:top w:val="single" w:sz="8" w:color="auto"/>
            </w:tcBorders>
            <w:shd w:val="clear" w:color="auto" w:fill="2AD2C9"/>
          </w:tcPr>
          <w:p>
            <w:pPr>
              <w:spacing w:after="0"/>
              <w:rPr>
                <w:sz w:val="10"/>
                <w:szCs w:val="10"/>
                <w:color w:val="auto"/>
              </w:rPr>
            </w:pPr>
          </w:p>
        </w:tc>
        <w:tc>
          <w:tcPr>
            <w:tcW w:w="124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As of</w:t>
            </w:r>
          </w:p>
        </w:tc>
        <w:tc>
          <w:tcPr>
            <w:tcW w:w="1300" w:type="dxa"/>
            <w:vAlign w:val="bottom"/>
            <w:tcBorders>
              <w:top w:val="single" w:sz="8" w:color="auto"/>
            </w:tcBorders>
            <w:shd w:val="clear" w:color="auto" w:fill="2AD2C9"/>
          </w:tcPr>
          <w:p>
            <w:pPr>
              <w:spacing w:after="0"/>
              <w:rPr>
                <w:sz w:val="10"/>
                <w:szCs w:val="10"/>
                <w:color w:val="auto"/>
              </w:rPr>
            </w:pPr>
          </w:p>
        </w:tc>
        <w:tc>
          <w:tcPr>
            <w:tcW w:w="840" w:type="dxa"/>
            <w:vAlign w:val="bottom"/>
            <w:tcBorders>
              <w:top w:val="single" w:sz="8" w:color="auto"/>
            </w:tcBorders>
            <w:shd w:val="clear" w:color="auto" w:fill="2AD2C9"/>
          </w:tcPr>
          <w:p>
            <w:pPr>
              <w:spacing w:after="0"/>
              <w:rPr>
                <w:sz w:val="10"/>
                <w:szCs w:val="10"/>
                <w:color w:val="auto"/>
              </w:rPr>
            </w:pPr>
          </w:p>
        </w:tc>
        <w:tc>
          <w:tcPr>
            <w:tcW w:w="1560" w:type="dxa"/>
            <w:vAlign w:val="bottom"/>
            <w:tcBorders>
              <w:top w:val="single" w:sz="8" w:color="auto"/>
            </w:tcBorders>
            <w:vMerge w:val="restart"/>
            <w:shd w:val="clear" w:color="auto" w:fill="2AD2C9"/>
          </w:tcPr>
          <w:p>
            <w:pPr>
              <w:ind w:left="60"/>
              <w:spacing w:after="0"/>
              <w:rPr>
                <w:sz w:val="20"/>
                <w:szCs w:val="20"/>
                <w:color w:val="auto"/>
              </w:rPr>
            </w:pPr>
            <w:r>
              <w:rPr>
                <w:rFonts w:ascii="Arial" w:cs="Arial" w:eastAsia="Arial" w:hAnsi="Arial"/>
                <w:sz w:val="11"/>
                <w:szCs w:val="11"/>
                <w:b w:val="1"/>
                <w:bCs w:val="1"/>
                <w:color w:val="FFFFFF"/>
              </w:rPr>
              <w:t>% change</w:t>
            </w: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2AD2C9"/>
          </w:tcPr>
          <w:p>
            <w:pPr>
              <w:spacing w:after="0"/>
              <w:rPr>
                <w:sz w:val="8"/>
                <w:szCs w:val="8"/>
                <w:color w:val="auto"/>
              </w:rPr>
            </w:pPr>
          </w:p>
        </w:tc>
        <w:tc>
          <w:tcPr>
            <w:tcW w:w="4200" w:type="dxa"/>
            <w:vAlign w:val="bottom"/>
            <w:vMerge w:val="restart"/>
            <w:shd w:val="clear" w:color="auto" w:fill="2AD2C9"/>
          </w:tcPr>
          <w:p>
            <w:pPr>
              <w:spacing w:after="0" w:line="122" w:lineRule="exact"/>
              <w:rPr>
                <w:sz w:val="20"/>
                <w:szCs w:val="20"/>
                <w:color w:val="auto"/>
              </w:rPr>
            </w:pPr>
            <w:r>
              <w:rPr>
                <w:rFonts w:ascii="Arial" w:cs="Arial" w:eastAsia="Arial" w:hAnsi="Arial"/>
                <w:sz w:val="11"/>
                <w:szCs w:val="11"/>
                <w:b w:val="1"/>
                <w:bCs w:val="1"/>
                <w:color w:val="FFFFFF"/>
              </w:rPr>
              <w:t>S/000</w:t>
            </w:r>
          </w:p>
        </w:tc>
        <w:tc>
          <w:tcPr>
            <w:tcW w:w="2000" w:type="dxa"/>
            <w:vAlign w:val="bottom"/>
            <w:shd w:val="clear" w:color="auto" w:fill="2AD2C9"/>
          </w:tcPr>
          <w:p>
            <w:pPr>
              <w:spacing w:after="0"/>
              <w:rPr>
                <w:sz w:val="8"/>
                <w:szCs w:val="8"/>
                <w:color w:val="auto"/>
              </w:rPr>
            </w:pPr>
          </w:p>
        </w:tc>
        <w:tc>
          <w:tcPr>
            <w:tcW w:w="1240" w:type="dxa"/>
            <w:vAlign w:val="bottom"/>
            <w:vMerge w:val="continue"/>
            <w:shd w:val="clear" w:color="auto" w:fill="2AD2C9"/>
          </w:tcPr>
          <w:p>
            <w:pPr>
              <w:spacing w:after="0"/>
              <w:rPr>
                <w:sz w:val="8"/>
                <w:szCs w:val="8"/>
                <w:color w:val="auto"/>
              </w:rPr>
            </w:pPr>
          </w:p>
        </w:tc>
        <w:tc>
          <w:tcPr>
            <w:tcW w:w="1300" w:type="dxa"/>
            <w:vAlign w:val="bottom"/>
            <w:shd w:val="clear" w:color="auto" w:fill="2AD2C9"/>
          </w:tcPr>
          <w:p>
            <w:pPr>
              <w:spacing w:after="0"/>
              <w:rPr>
                <w:sz w:val="8"/>
                <w:szCs w:val="8"/>
                <w:color w:val="auto"/>
              </w:rPr>
            </w:pPr>
          </w:p>
        </w:tc>
        <w:tc>
          <w:tcPr>
            <w:tcW w:w="840" w:type="dxa"/>
            <w:vAlign w:val="bottom"/>
            <w:shd w:val="clear" w:color="auto" w:fill="2AD2C9"/>
          </w:tcPr>
          <w:p>
            <w:pPr>
              <w:spacing w:after="0"/>
              <w:rPr>
                <w:sz w:val="8"/>
                <w:szCs w:val="8"/>
                <w:color w:val="auto"/>
              </w:rPr>
            </w:pPr>
          </w:p>
        </w:tc>
        <w:tc>
          <w:tcPr>
            <w:tcW w:w="1560" w:type="dxa"/>
            <w:vAlign w:val="bottom"/>
            <w:vMerge w:val="continue"/>
            <w:shd w:val="clear" w:color="auto" w:fill="2AD2C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00" w:type="dxa"/>
            <w:vAlign w:val="bottom"/>
            <w:shd w:val="clear" w:color="auto" w:fill="2AD2C9"/>
          </w:tcPr>
          <w:p>
            <w:pPr>
              <w:spacing w:after="0"/>
              <w:rPr>
                <w:sz w:val="2"/>
                <w:szCs w:val="2"/>
                <w:color w:val="auto"/>
              </w:rPr>
            </w:pPr>
          </w:p>
        </w:tc>
        <w:tc>
          <w:tcPr>
            <w:tcW w:w="4200" w:type="dxa"/>
            <w:vAlign w:val="bottom"/>
            <w:vMerge w:val="continue"/>
            <w:shd w:val="clear" w:color="auto" w:fill="2AD2C9"/>
          </w:tcPr>
          <w:p>
            <w:pPr>
              <w:spacing w:after="0"/>
              <w:rPr>
                <w:sz w:val="2"/>
                <w:szCs w:val="2"/>
                <w:color w:val="auto"/>
              </w:rPr>
            </w:pPr>
          </w:p>
        </w:tc>
        <w:tc>
          <w:tcPr>
            <w:tcW w:w="2000" w:type="dxa"/>
            <w:vAlign w:val="bottom"/>
            <w:vMerge w:val="restart"/>
            <w:shd w:val="clear" w:color="auto" w:fill="2AD2C9"/>
          </w:tcPr>
          <w:p>
            <w:pPr>
              <w:ind w:left="1200"/>
              <w:spacing w:after="0"/>
              <w:rPr>
                <w:sz w:val="20"/>
                <w:szCs w:val="20"/>
                <w:color w:val="auto"/>
              </w:rPr>
            </w:pPr>
            <w:r>
              <w:rPr>
                <w:rFonts w:ascii="Arial" w:cs="Arial" w:eastAsia="Arial" w:hAnsi="Arial"/>
                <w:sz w:val="11"/>
                <w:szCs w:val="11"/>
                <w:b w:val="1"/>
                <w:bCs w:val="1"/>
                <w:color w:val="FFFFFF"/>
              </w:rPr>
              <w:t>Dec 22</w:t>
            </w:r>
          </w:p>
        </w:tc>
        <w:tc>
          <w:tcPr>
            <w:tcW w:w="1240" w:type="dxa"/>
            <w:vAlign w:val="bottom"/>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Sep 23</w:t>
            </w:r>
          </w:p>
        </w:tc>
        <w:tc>
          <w:tcPr>
            <w:tcW w:w="1300" w:type="dxa"/>
            <w:vAlign w:val="bottom"/>
            <w:vMerge w:val="restart"/>
            <w:shd w:val="clear" w:color="auto" w:fill="2AD2C9"/>
          </w:tcPr>
          <w:p>
            <w:pPr>
              <w:ind w:left="440"/>
              <w:spacing w:after="0"/>
              <w:rPr>
                <w:sz w:val="20"/>
                <w:szCs w:val="20"/>
                <w:color w:val="auto"/>
              </w:rPr>
            </w:pPr>
            <w:r>
              <w:rPr>
                <w:rFonts w:ascii="Arial" w:cs="Arial" w:eastAsia="Arial" w:hAnsi="Arial"/>
                <w:sz w:val="11"/>
                <w:szCs w:val="11"/>
                <w:b w:val="1"/>
                <w:bCs w:val="1"/>
                <w:color w:val="FFFFFF"/>
              </w:rPr>
              <w:t>Dec 23</w:t>
            </w:r>
          </w:p>
        </w:tc>
        <w:tc>
          <w:tcPr>
            <w:tcW w:w="840" w:type="dxa"/>
            <w:vAlign w:val="bottom"/>
            <w:vMerge w:val="restart"/>
            <w:shd w:val="clear" w:color="auto" w:fill="2AD2C9"/>
          </w:tcPr>
          <w:p>
            <w:pPr>
              <w:jc w:val="center"/>
              <w:ind w:left="223"/>
              <w:spacing w:after="0"/>
              <w:rPr>
                <w:sz w:val="20"/>
                <w:szCs w:val="20"/>
                <w:color w:val="auto"/>
              </w:rPr>
            </w:pPr>
            <w:r>
              <w:rPr>
                <w:rFonts w:ascii="Arial" w:cs="Arial" w:eastAsia="Arial" w:hAnsi="Arial"/>
                <w:sz w:val="11"/>
                <w:szCs w:val="11"/>
                <w:b w:val="1"/>
                <w:bCs w:val="1"/>
                <w:color w:val="FFFFFF"/>
              </w:rPr>
              <w:t>QoQ</w:t>
            </w:r>
          </w:p>
        </w:tc>
        <w:tc>
          <w:tcPr>
            <w:tcW w:w="1560" w:type="dxa"/>
            <w:vAlign w:val="bottom"/>
            <w:vMerge w:val="restart"/>
            <w:shd w:val="clear" w:color="auto" w:fill="2AD2C9"/>
          </w:tcPr>
          <w:p>
            <w:pPr>
              <w:jc w:val="center"/>
              <w:ind w:left="263"/>
              <w:spacing w:after="0"/>
              <w:rPr>
                <w:sz w:val="20"/>
                <w:szCs w:val="20"/>
                <w:color w:val="auto"/>
              </w:rPr>
            </w:pPr>
            <w:r>
              <w:rPr>
                <w:rFonts w:ascii="Arial" w:cs="Arial" w:eastAsia="Arial" w:hAnsi="Arial"/>
                <w:sz w:val="11"/>
                <w:szCs w:val="11"/>
                <w:b w:val="1"/>
                <w:bCs w:val="1"/>
                <w:color w:val="FFFFFF"/>
                <w:w w:val="93"/>
              </w:rPr>
              <w:t>YoY</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00" w:type="dxa"/>
            <w:vAlign w:val="bottom"/>
            <w:tcBorders>
              <w:bottom w:val="single" w:sz="8" w:color="auto"/>
            </w:tcBorders>
            <w:shd w:val="clear" w:color="auto" w:fill="2AD2C9"/>
          </w:tcPr>
          <w:p>
            <w:pPr>
              <w:spacing w:after="0"/>
              <w:rPr>
                <w:sz w:val="11"/>
                <w:szCs w:val="11"/>
                <w:color w:val="auto"/>
              </w:rPr>
            </w:pPr>
          </w:p>
        </w:tc>
        <w:tc>
          <w:tcPr>
            <w:tcW w:w="4200" w:type="dxa"/>
            <w:vAlign w:val="bottom"/>
            <w:tcBorders>
              <w:bottom w:val="single" w:sz="8" w:color="auto"/>
            </w:tcBorders>
            <w:shd w:val="clear" w:color="auto" w:fill="2AD2C9"/>
          </w:tcPr>
          <w:p>
            <w:pPr>
              <w:spacing w:after="0" w:line="125" w:lineRule="exact"/>
              <w:rPr>
                <w:sz w:val="20"/>
                <w:szCs w:val="20"/>
                <w:color w:val="auto"/>
              </w:rPr>
            </w:pPr>
            <w:r>
              <w:rPr>
                <w:rFonts w:ascii="Arial" w:cs="Arial" w:eastAsia="Arial" w:hAnsi="Arial"/>
                <w:sz w:val="11"/>
                <w:szCs w:val="11"/>
                <w:color w:val="2AD2C9"/>
              </w:rPr>
              <w:t>Back to index</w:t>
            </w:r>
          </w:p>
        </w:tc>
        <w:tc>
          <w:tcPr>
            <w:tcW w:w="2000" w:type="dxa"/>
            <w:vAlign w:val="bottom"/>
            <w:tcBorders>
              <w:bottom w:val="single" w:sz="8" w:color="auto"/>
            </w:tcBorders>
            <w:vMerge w:val="continue"/>
            <w:shd w:val="clear" w:color="auto" w:fill="2AD2C9"/>
          </w:tcPr>
          <w:p>
            <w:pPr>
              <w:spacing w:after="0"/>
              <w:rPr>
                <w:sz w:val="11"/>
                <w:szCs w:val="11"/>
                <w:color w:val="auto"/>
              </w:rPr>
            </w:pPr>
          </w:p>
        </w:tc>
        <w:tc>
          <w:tcPr>
            <w:tcW w:w="1240" w:type="dxa"/>
            <w:vAlign w:val="bottom"/>
            <w:tcBorders>
              <w:bottom w:val="single" w:sz="8" w:color="auto"/>
            </w:tcBorders>
            <w:vMerge w:val="continue"/>
            <w:shd w:val="clear" w:color="auto" w:fill="2AD2C9"/>
          </w:tcPr>
          <w:p>
            <w:pPr>
              <w:spacing w:after="0"/>
              <w:rPr>
                <w:sz w:val="11"/>
                <w:szCs w:val="11"/>
                <w:color w:val="auto"/>
              </w:rPr>
            </w:pPr>
          </w:p>
        </w:tc>
        <w:tc>
          <w:tcPr>
            <w:tcW w:w="1300" w:type="dxa"/>
            <w:vAlign w:val="bottom"/>
            <w:tcBorders>
              <w:bottom w:val="single" w:sz="8" w:color="auto"/>
            </w:tcBorders>
            <w:vMerge w:val="continue"/>
            <w:shd w:val="clear" w:color="auto" w:fill="2AD2C9"/>
          </w:tcPr>
          <w:p>
            <w:pPr>
              <w:spacing w:after="0"/>
              <w:rPr>
                <w:sz w:val="11"/>
                <w:szCs w:val="11"/>
                <w:color w:val="auto"/>
              </w:rPr>
            </w:pPr>
          </w:p>
        </w:tc>
        <w:tc>
          <w:tcPr>
            <w:tcW w:w="840" w:type="dxa"/>
            <w:vAlign w:val="bottom"/>
            <w:tcBorders>
              <w:bottom w:val="single" w:sz="8" w:color="auto"/>
            </w:tcBorders>
            <w:vMerge w:val="continue"/>
            <w:shd w:val="clear" w:color="auto" w:fill="2AD2C9"/>
          </w:tcPr>
          <w:p>
            <w:pPr>
              <w:spacing w:after="0"/>
              <w:rPr>
                <w:sz w:val="11"/>
                <w:szCs w:val="11"/>
                <w:color w:val="auto"/>
              </w:rPr>
            </w:pPr>
          </w:p>
        </w:tc>
        <w:tc>
          <w:tcPr>
            <w:tcW w:w="1560" w:type="dxa"/>
            <w:vAlign w:val="bottom"/>
            <w:tcBorders>
              <w:bottom w:val="single" w:sz="8" w:color="auto"/>
            </w:tcBorders>
            <w:vMerge w:val="continue"/>
            <w:shd w:val="clear" w:color="auto" w:fill="2AD2C9"/>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Structural loans (Quarter-end balance)</w:t>
            </w:r>
          </w:p>
        </w:tc>
        <w:tc>
          <w:tcPr>
            <w:tcW w:w="2000" w:type="dxa"/>
            <w:vAlign w:val="bottom"/>
            <w:tcBorders>
              <w:bottom w:val="single" w:sz="8" w:color="auto"/>
            </w:tcBorders>
          </w:tcPr>
          <w:p>
            <w:pPr>
              <w:jc w:val="center"/>
              <w:ind w:left="723"/>
              <w:spacing w:after="0"/>
              <w:rPr>
                <w:sz w:val="20"/>
                <w:szCs w:val="20"/>
                <w:color w:val="auto"/>
              </w:rPr>
            </w:pPr>
            <w:r>
              <w:rPr>
                <w:rFonts w:ascii="Arial" w:cs="Arial" w:eastAsia="Arial" w:hAnsi="Arial"/>
                <w:sz w:val="11"/>
                <w:szCs w:val="11"/>
                <w:b w:val="1"/>
                <w:bCs w:val="1"/>
                <w:color w:val="auto"/>
              </w:rPr>
              <w:t>139,115,242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140,949,490</w:t>
            </w:r>
          </w:p>
        </w:tc>
        <w:tc>
          <w:tcPr>
            <w:tcW w:w="13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141,380,548</w:t>
            </w:r>
          </w:p>
        </w:tc>
        <w:tc>
          <w:tcPr>
            <w:tcW w:w="84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0.3%</w:t>
            </w:r>
          </w:p>
        </w:tc>
        <w:tc>
          <w:tcPr>
            <w:tcW w:w="1560" w:type="dxa"/>
            <w:vAlign w:val="bottom"/>
            <w:tcBorders>
              <w:bottom w:val="single" w:sz="8" w:color="auto"/>
            </w:tcBorders>
          </w:tcPr>
          <w:p>
            <w:pPr>
              <w:jc w:val="center"/>
              <w:ind w:left="283"/>
              <w:spacing w:after="0"/>
              <w:rPr>
                <w:sz w:val="20"/>
                <w:szCs w:val="20"/>
                <w:color w:val="auto"/>
              </w:rPr>
            </w:pPr>
            <w:r>
              <w:rPr>
                <w:rFonts w:ascii="Arial" w:cs="Arial" w:eastAsia="Arial" w:hAnsi="Arial"/>
                <w:sz w:val="11"/>
                <w:szCs w:val="11"/>
                <w:b w:val="1"/>
                <w:bCs w:val="1"/>
                <w:color w:val="auto"/>
              </w:rPr>
              <w:t>1.6%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Structural Allowance for loan losses</w:t>
            </w:r>
          </w:p>
        </w:tc>
        <w:tc>
          <w:tcPr>
            <w:tcW w:w="2000" w:type="dxa"/>
            <w:vAlign w:val="bottom"/>
            <w:tcBorders>
              <w:bottom w:val="single" w:sz="8" w:color="auto"/>
            </w:tcBorders>
          </w:tcPr>
          <w:p>
            <w:pPr>
              <w:jc w:val="center"/>
              <w:ind w:left="723"/>
              <w:spacing w:after="0"/>
              <w:rPr>
                <w:sz w:val="20"/>
                <w:szCs w:val="20"/>
                <w:color w:val="auto"/>
              </w:rPr>
            </w:pPr>
            <w:r>
              <w:rPr>
                <w:rFonts w:ascii="Arial" w:cs="Arial" w:eastAsia="Arial" w:hAnsi="Arial"/>
                <w:sz w:val="11"/>
                <w:szCs w:val="11"/>
                <w:color w:val="auto"/>
              </w:rPr>
              <w:t>7,733,575</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7,941,933</w:t>
            </w:r>
          </w:p>
        </w:tc>
        <w:tc>
          <w:tcPr>
            <w:tcW w:w="13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rPr>
              <w:t>8,158,704</w:t>
            </w:r>
          </w:p>
        </w:tc>
        <w:tc>
          <w:tcPr>
            <w:tcW w:w="84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color w:val="auto"/>
              </w:rPr>
              <w:t>2.7%</w:t>
            </w:r>
          </w:p>
        </w:tc>
        <w:tc>
          <w:tcPr>
            <w:tcW w:w="1560" w:type="dxa"/>
            <w:vAlign w:val="bottom"/>
            <w:tcBorders>
              <w:bottom w:val="single" w:sz="8" w:color="auto"/>
            </w:tcBorders>
          </w:tcPr>
          <w:p>
            <w:pPr>
              <w:jc w:val="center"/>
              <w:ind w:left="283"/>
              <w:spacing w:after="0"/>
              <w:rPr>
                <w:sz w:val="20"/>
                <w:szCs w:val="20"/>
                <w:color w:val="auto"/>
              </w:rPr>
            </w:pPr>
            <w:r>
              <w:rPr>
                <w:rFonts w:ascii="Arial" w:cs="Arial" w:eastAsia="Arial" w:hAnsi="Arial"/>
                <w:sz w:val="11"/>
                <w:szCs w:val="11"/>
                <w:color w:val="auto"/>
              </w:rPr>
              <w:t>5.5%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Structural Write-offs</w:t>
            </w:r>
          </w:p>
        </w:tc>
        <w:tc>
          <w:tcPr>
            <w:tcW w:w="2000" w:type="dxa"/>
            <w:vAlign w:val="bottom"/>
            <w:tcBorders>
              <w:bottom w:val="single" w:sz="8" w:color="auto"/>
            </w:tcBorders>
          </w:tcPr>
          <w:p>
            <w:pPr>
              <w:jc w:val="center"/>
              <w:ind w:left="723"/>
              <w:spacing w:after="0"/>
              <w:rPr>
                <w:sz w:val="20"/>
                <w:szCs w:val="20"/>
                <w:color w:val="auto"/>
              </w:rPr>
            </w:pPr>
            <w:r>
              <w:rPr>
                <w:rFonts w:ascii="Arial" w:cs="Arial" w:eastAsia="Arial" w:hAnsi="Arial"/>
                <w:sz w:val="11"/>
                <w:szCs w:val="11"/>
                <w:color w:val="auto"/>
              </w:rPr>
              <w:t>754,326</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1,018,084</w:t>
            </w:r>
          </w:p>
        </w:tc>
        <w:tc>
          <w:tcPr>
            <w:tcW w:w="13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rPr>
              <w:t>879,401</w:t>
            </w:r>
          </w:p>
        </w:tc>
        <w:tc>
          <w:tcPr>
            <w:tcW w:w="84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color w:val="auto"/>
              </w:rPr>
              <w:t>-13.6%</w:t>
            </w:r>
          </w:p>
        </w:tc>
        <w:tc>
          <w:tcPr>
            <w:tcW w:w="1560" w:type="dxa"/>
            <w:vAlign w:val="bottom"/>
            <w:tcBorders>
              <w:bottom w:val="single" w:sz="8" w:color="auto"/>
            </w:tcBorders>
          </w:tcPr>
          <w:p>
            <w:pPr>
              <w:jc w:val="center"/>
              <w:ind w:left="263"/>
              <w:spacing w:after="0"/>
              <w:rPr>
                <w:sz w:val="20"/>
                <w:szCs w:val="20"/>
                <w:color w:val="auto"/>
              </w:rPr>
            </w:pPr>
            <w:r>
              <w:rPr>
                <w:rFonts w:ascii="Arial" w:cs="Arial" w:eastAsia="Arial" w:hAnsi="Arial"/>
                <w:sz w:val="11"/>
                <w:szCs w:val="11"/>
                <w:color w:val="auto"/>
              </w:rPr>
              <w:t>16.6%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1"/>
                <w:szCs w:val="11"/>
                <w:color w:val="auto"/>
              </w:rPr>
              <w:t>Structural IOLs</w:t>
            </w:r>
          </w:p>
        </w:tc>
        <w:tc>
          <w:tcPr>
            <w:tcW w:w="2000" w:type="dxa"/>
            <w:vAlign w:val="bottom"/>
          </w:tcPr>
          <w:p>
            <w:pPr>
              <w:jc w:val="center"/>
              <w:ind w:left="723"/>
              <w:spacing w:after="0"/>
              <w:rPr>
                <w:sz w:val="20"/>
                <w:szCs w:val="20"/>
                <w:color w:val="auto"/>
              </w:rPr>
            </w:pPr>
            <w:r>
              <w:rPr>
                <w:rFonts w:ascii="Arial" w:cs="Arial" w:eastAsia="Arial" w:hAnsi="Arial"/>
                <w:sz w:val="11"/>
                <w:szCs w:val="11"/>
                <w:color w:val="auto"/>
              </w:rPr>
              <w:t>4,791,245</w:t>
            </w:r>
          </w:p>
        </w:tc>
        <w:tc>
          <w:tcPr>
            <w:tcW w:w="1240" w:type="dxa"/>
            <w:vAlign w:val="bottom"/>
          </w:tcPr>
          <w:p>
            <w:pPr>
              <w:jc w:val="center"/>
              <w:spacing w:after="0"/>
              <w:rPr>
                <w:sz w:val="20"/>
                <w:szCs w:val="20"/>
                <w:color w:val="auto"/>
              </w:rPr>
            </w:pPr>
            <w:r>
              <w:rPr>
                <w:rFonts w:ascii="Arial" w:cs="Arial" w:eastAsia="Arial" w:hAnsi="Arial"/>
                <w:sz w:val="11"/>
                <w:szCs w:val="11"/>
                <w:color w:val="auto"/>
              </w:rPr>
              <w:t>5,578,985</w:t>
            </w:r>
          </w:p>
        </w:tc>
        <w:tc>
          <w:tcPr>
            <w:tcW w:w="1300" w:type="dxa"/>
            <w:vAlign w:val="bottom"/>
          </w:tcPr>
          <w:p>
            <w:pPr>
              <w:jc w:val="center"/>
              <w:ind w:right="3"/>
              <w:spacing w:after="0"/>
              <w:rPr>
                <w:sz w:val="20"/>
                <w:szCs w:val="20"/>
                <w:color w:val="auto"/>
              </w:rPr>
            </w:pPr>
            <w:r>
              <w:rPr>
                <w:rFonts w:ascii="Arial" w:cs="Arial" w:eastAsia="Arial" w:hAnsi="Arial"/>
                <w:sz w:val="11"/>
                <w:szCs w:val="11"/>
                <w:color w:val="auto"/>
              </w:rPr>
              <w:t>5,560,513</w:t>
            </w:r>
          </w:p>
        </w:tc>
        <w:tc>
          <w:tcPr>
            <w:tcW w:w="840" w:type="dxa"/>
            <w:vAlign w:val="bottom"/>
          </w:tcPr>
          <w:p>
            <w:pPr>
              <w:jc w:val="center"/>
              <w:ind w:left="203"/>
              <w:spacing w:after="0"/>
              <w:rPr>
                <w:sz w:val="20"/>
                <w:szCs w:val="20"/>
                <w:color w:val="auto"/>
              </w:rPr>
            </w:pPr>
            <w:r>
              <w:rPr>
                <w:rFonts w:ascii="Arial" w:cs="Arial" w:eastAsia="Arial" w:hAnsi="Arial"/>
                <w:sz w:val="11"/>
                <w:szCs w:val="11"/>
                <w:color w:val="auto"/>
              </w:rPr>
              <w:t>-0.3%</w:t>
            </w:r>
          </w:p>
        </w:tc>
        <w:tc>
          <w:tcPr>
            <w:tcW w:w="1560" w:type="dxa"/>
            <w:vAlign w:val="bottom"/>
          </w:tcPr>
          <w:p>
            <w:pPr>
              <w:jc w:val="center"/>
              <w:ind w:left="263"/>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1"/>
                <w:szCs w:val="11"/>
                <w:color w:val="auto"/>
              </w:rPr>
              <w:t>Structural Refinanced loans</w:t>
            </w:r>
          </w:p>
        </w:tc>
        <w:tc>
          <w:tcPr>
            <w:tcW w:w="2000" w:type="dxa"/>
            <w:vAlign w:val="bottom"/>
          </w:tcPr>
          <w:p>
            <w:pPr>
              <w:jc w:val="center"/>
              <w:ind w:left="723"/>
              <w:spacing w:after="0"/>
              <w:rPr>
                <w:sz w:val="20"/>
                <w:szCs w:val="20"/>
                <w:color w:val="auto"/>
              </w:rPr>
            </w:pPr>
            <w:r>
              <w:rPr>
                <w:rFonts w:ascii="Arial" w:cs="Arial" w:eastAsia="Arial" w:hAnsi="Arial"/>
                <w:sz w:val="11"/>
                <w:szCs w:val="11"/>
                <w:color w:val="auto"/>
              </w:rPr>
              <w:t>2,098,748</w:t>
            </w:r>
          </w:p>
        </w:tc>
        <w:tc>
          <w:tcPr>
            <w:tcW w:w="1240" w:type="dxa"/>
            <w:vAlign w:val="bottom"/>
          </w:tcPr>
          <w:p>
            <w:pPr>
              <w:jc w:val="center"/>
              <w:spacing w:after="0"/>
              <w:rPr>
                <w:sz w:val="20"/>
                <w:szCs w:val="20"/>
                <w:color w:val="auto"/>
              </w:rPr>
            </w:pPr>
            <w:r>
              <w:rPr>
                <w:rFonts w:ascii="Arial" w:cs="Arial" w:eastAsia="Arial" w:hAnsi="Arial"/>
                <w:sz w:val="11"/>
                <w:szCs w:val="11"/>
                <w:color w:val="auto"/>
              </w:rPr>
              <w:t>2,253,098</w:t>
            </w:r>
          </w:p>
        </w:tc>
        <w:tc>
          <w:tcPr>
            <w:tcW w:w="1300" w:type="dxa"/>
            <w:vAlign w:val="bottom"/>
          </w:tcPr>
          <w:p>
            <w:pPr>
              <w:jc w:val="center"/>
              <w:ind w:right="3"/>
              <w:spacing w:after="0"/>
              <w:rPr>
                <w:sz w:val="20"/>
                <w:szCs w:val="20"/>
                <w:color w:val="auto"/>
              </w:rPr>
            </w:pPr>
            <w:r>
              <w:rPr>
                <w:rFonts w:ascii="Arial" w:cs="Arial" w:eastAsia="Arial" w:hAnsi="Arial"/>
                <w:sz w:val="11"/>
                <w:szCs w:val="11"/>
                <w:color w:val="auto"/>
              </w:rPr>
              <w:t>2,406,058</w:t>
            </w:r>
          </w:p>
        </w:tc>
        <w:tc>
          <w:tcPr>
            <w:tcW w:w="840" w:type="dxa"/>
            <w:vAlign w:val="bottom"/>
          </w:tcPr>
          <w:p>
            <w:pPr>
              <w:jc w:val="center"/>
              <w:ind w:left="203"/>
              <w:spacing w:after="0"/>
              <w:rPr>
                <w:sz w:val="20"/>
                <w:szCs w:val="20"/>
                <w:color w:val="auto"/>
              </w:rPr>
            </w:pPr>
            <w:r>
              <w:rPr>
                <w:rFonts w:ascii="Arial" w:cs="Arial" w:eastAsia="Arial" w:hAnsi="Arial"/>
                <w:sz w:val="11"/>
                <w:szCs w:val="11"/>
                <w:color w:val="auto"/>
              </w:rPr>
              <w:t>6.8%</w:t>
            </w:r>
          </w:p>
        </w:tc>
        <w:tc>
          <w:tcPr>
            <w:tcW w:w="1560" w:type="dxa"/>
            <w:vAlign w:val="bottom"/>
          </w:tcPr>
          <w:p>
            <w:pPr>
              <w:jc w:val="center"/>
              <w:ind w:left="263"/>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Structural NPLs</w:t>
            </w:r>
          </w:p>
        </w:tc>
        <w:tc>
          <w:tcPr>
            <w:tcW w:w="2000" w:type="dxa"/>
            <w:vAlign w:val="bottom"/>
            <w:tcBorders>
              <w:bottom w:val="single" w:sz="8" w:color="auto"/>
            </w:tcBorders>
          </w:tcPr>
          <w:p>
            <w:pPr>
              <w:jc w:val="center"/>
              <w:ind w:left="723"/>
              <w:spacing w:after="0"/>
              <w:rPr>
                <w:sz w:val="20"/>
                <w:szCs w:val="20"/>
                <w:color w:val="auto"/>
              </w:rPr>
            </w:pPr>
            <w:r>
              <w:rPr>
                <w:rFonts w:ascii="Arial" w:cs="Arial" w:eastAsia="Arial" w:hAnsi="Arial"/>
                <w:sz w:val="11"/>
                <w:szCs w:val="11"/>
                <w:color w:val="auto"/>
              </w:rPr>
              <w:t>6,889,993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7,832,083</w:t>
            </w:r>
          </w:p>
        </w:tc>
        <w:tc>
          <w:tcPr>
            <w:tcW w:w="13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rPr>
              <w:t>7,966,571</w:t>
            </w:r>
          </w:p>
        </w:tc>
        <w:tc>
          <w:tcPr>
            <w:tcW w:w="84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color w:val="auto"/>
              </w:rPr>
              <w:t>1.7%</w:t>
            </w:r>
          </w:p>
        </w:tc>
        <w:tc>
          <w:tcPr>
            <w:tcW w:w="1560" w:type="dxa"/>
            <w:vAlign w:val="bottom"/>
            <w:tcBorders>
              <w:bottom w:val="single" w:sz="8" w:color="auto"/>
            </w:tcBorders>
          </w:tcPr>
          <w:p>
            <w:pPr>
              <w:jc w:val="center"/>
              <w:ind w:left="263"/>
              <w:spacing w:after="0"/>
              <w:rPr>
                <w:sz w:val="20"/>
                <w:szCs w:val="20"/>
                <w:color w:val="auto"/>
              </w:rPr>
            </w:pPr>
            <w:r>
              <w:rPr>
                <w:rFonts w:ascii="Arial" w:cs="Arial" w:eastAsia="Arial" w:hAnsi="Arial"/>
                <w:sz w:val="11"/>
                <w:szCs w:val="11"/>
                <w:color w:val="auto"/>
              </w:rPr>
              <w:t>15.6%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1"/>
                <w:szCs w:val="11"/>
                <w:b w:val="1"/>
                <w:bCs w:val="1"/>
                <w:color w:val="auto"/>
              </w:rPr>
              <w:t>Structural IOL ratio</w:t>
            </w:r>
          </w:p>
        </w:tc>
        <w:tc>
          <w:tcPr>
            <w:tcW w:w="2000" w:type="dxa"/>
            <w:vAlign w:val="bottom"/>
          </w:tcPr>
          <w:p>
            <w:pPr>
              <w:jc w:val="center"/>
              <w:ind w:left="723"/>
              <w:spacing w:after="0"/>
              <w:rPr>
                <w:sz w:val="20"/>
                <w:szCs w:val="20"/>
                <w:color w:val="auto"/>
              </w:rPr>
            </w:pPr>
            <w:r>
              <w:rPr>
                <w:rFonts w:ascii="Arial" w:cs="Arial" w:eastAsia="Arial" w:hAnsi="Arial"/>
                <w:sz w:val="11"/>
                <w:szCs w:val="11"/>
                <w:b w:val="1"/>
                <w:bCs w:val="1"/>
                <w:color w:val="auto"/>
              </w:rPr>
              <w:t>3.4%</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4.0%</w:t>
            </w:r>
          </w:p>
        </w:tc>
        <w:tc>
          <w:tcPr>
            <w:tcW w:w="1300" w:type="dxa"/>
            <w:vAlign w:val="bottom"/>
          </w:tcPr>
          <w:p>
            <w:pPr>
              <w:jc w:val="center"/>
              <w:ind w:right="3"/>
              <w:spacing w:after="0"/>
              <w:rPr>
                <w:sz w:val="20"/>
                <w:szCs w:val="20"/>
                <w:color w:val="auto"/>
              </w:rPr>
            </w:pPr>
            <w:r>
              <w:rPr>
                <w:rFonts w:ascii="Arial" w:cs="Arial" w:eastAsia="Arial" w:hAnsi="Arial"/>
                <w:sz w:val="11"/>
                <w:szCs w:val="11"/>
                <w:b w:val="1"/>
                <w:bCs w:val="1"/>
                <w:color w:val="auto"/>
                <w:w w:val="95"/>
              </w:rPr>
              <w:t>3.9%</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-3 bps</w:t>
            </w:r>
          </w:p>
        </w:tc>
        <w:tc>
          <w:tcPr>
            <w:tcW w:w="1560" w:type="dxa"/>
            <w:vAlign w:val="bottom"/>
          </w:tcPr>
          <w:p>
            <w:pPr>
              <w:jc w:val="center"/>
              <w:ind w:left="283"/>
              <w:spacing w:after="0"/>
              <w:rPr>
                <w:sz w:val="20"/>
                <w:szCs w:val="20"/>
                <w:color w:val="auto"/>
              </w:rPr>
            </w:pPr>
            <w:r>
              <w:rPr>
                <w:rFonts w:ascii="Arial" w:cs="Arial" w:eastAsia="Arial" w:hAnsi="Arial"/>
                <w:sz w:val="11"/>
                <w:szCs w:val="11"/>
                <w:color w:val="auto"/>
              </w:rPr>
              <w:t>49 bps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1"/>
                <w:szCs w:val="11"/>
                <w:b w:val="1"/>
                <w:bCs w:val="1"/>
                <w:color w:val="auto"/>
              </w:rPr>
              <w:t>Structural NPL ratio</w:t>
            </w:r>
          </w:p>
        </w:tc>
        <w:tc>
          <w:tcPr>
            <w:tcW w:w="2000" w:type="dxa"/>
            <w:vAlign w:val="bottom"/>
          </w:tcPr>
          <w:p>
            <w:pPr>
              <w:jc w:val="center"/>
              <w:ind w:left="723"/>
              <w:spacing w:after="0"/>
              <w:rPr>
                <w:sz w:val="20"/>
                <w:szCs w:val="20"/>
                <w:color w:val="auto"/>
              </w:rPr>
            </w:pPr>
            <w:r>
              <w:rPr>
                <w:rFonts w:ascii="Arial" w:cs="Arial" w:eastAsia="Arial" w:hAnsi="Arial"/>
                <w:sz w:val="11"/>
                <w:szCs w:val="11"/>
                <w:b w:val="1"/>
                <w:bCs w:val="1"/>
                <w:color w:val="auto"/>
              </w:rPr>
              <w:t>5.0%</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5.6%</w:t>
            </w:r>
          </w:p>
        </w:tc>
        <w:tc>
          <w:tcPr>
            <w:tcW w:w="1300" w:type="dxa"/>
            <w:vAlign w:val="bottom"/>
          </w:tcPr>
          <w:p>
            <w:pPr>
              <w:jc w:val="center"/>
              <w:ind w:right="3"/>
              <w:spacing w:after="0"/>
              <w:rPr>
                <w:sz w:val="20"/>
                <w:szCs w:val="20"/>
                <w:color w:val="auto"/>
              </w:rPr>
            </w:pPr>
            <w:r>
              <w:rPr>
                <w:rFonts w:ascii="Arial" w:cs="Arial" w:eastAsia="Arial" w:hAnsi="Arial"/>
                <w:sz w:val="11"/>
                <w:szCs w:val="11"/>
                <w:b w:val="1"/>
                <w:bCs w:val="1"/>
                <w:color w:val="auto"/>
                <w:w w:val="95"/>
              </w:rPr>
              <w:t>5.6%</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 bps</w:t>
            </w:r>
          </w:p>
        </w:tc>
        <w:tc>
          <w:tcPr>
            <w:tcW w:w="1560" w:type="dxa"/>
            <w:vAlign w:val="bottom"/>
          </w:tcPr>
          <w:p>
            <w:pPr>
              <w:jc w:val="center"/>
              <w:ind w:left="283"/>
              <w:spacing w:after="0"/>
              <w:rPr>
                <w:sz w:val="20"/>
                <w:szCs w:val="20"/>
                <w:color w:val="auto"/>
              </w:rPr>
            </w:pPr>
            <w:r>
              <w:rPr>
                <w:rFonts w:ascii="Arial" w:cs="Arial" w:eastAsia="Arial" w:hAnsi="Arial"/>
                <w:sz w:val="11"/>
                <w:szCs w:val="11"/>
                <w:color w:val="auto"/>
              </w:rPr>
              <w:t>68 bps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1"/>
                <w:szCs w:val="11"/>
                <w:b w:val="1"/>
                <w:bCs w:val="1"/>
                <w:color w:val="auto"/>
              </w:rPr>
              <w:t>Structural Allowance for loan losses over Structural loans</w:t>
            </w:r>
          </w:p>
        </w:tc>
        <w:tc>
          <w:tcPr>
            <w:tcW w:w="2000" w:type="dxa"/>
            <w:vAlign w:val="bottom"/>
          </w:tcPr>
          <w:p>
            <w:pPr>
              <w:jc w:val="center"/>
              <w:ind w:left="723"/>
              <w:spacing w:after="0"/>
              <w:rPr>
                <w:sz w:val="20"/>
                <w:szCs w:val="20"/>
                <w:color w:val="auto"/>
              </w:rPr>
            </w:pPr>
            <w:r>
              <w:rPr>
                <w:rFonts w:ascii="Arial" w:cs="Arial" w:eastAsia="Arial" w:hAnsi="Arial"/>
                <w:sz w:val="11"/>
                <w:szCs w:val="11"/>
                <w:b w:val="1"/>
                <w:bCs w:val="1"/>
                <w:color w:val="auto"/>
              </w:rPr>
              <w:t>5.6%</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5.6%</w:t>
            </w:r>
          </w:p>
        </w:tc>
        <w:tc>
          <w:tcPr>
            <w:tcW w:w="1300" w:type="dxa"/>
            <w:vAlign w:val="bottom"/>
          </w:tcPr>
          <w:p>
            <w:pPr>
              <w:jc w:val="center"/>
              <w:ind w:right="3"/>
              <w:spacing w:after="0"/>
              <w:rPr>
                <w:sz w:val="20"/>
                <w:szCs w:val="20"/>
                <w:color w:val="auto"/>
              </w:rPr>
            </w:pPr>
            <w:r>
              <w:rPr>
                <w:rFonts w:ascii="Arial" w:cs="Arial" w:eastAsia="Arial" w:hAnsi="Arial"/>
                <w:sz w:val="11"/>
                <w:szCs w:val="11"/>
                <w:b w:val="1"/>
                <w:bCs w:val="1"/>
                <w:color w:val="auto"/>
                <w:w w:val="95"/>
              </w:rPr>
              <w:t>5.8%</w:t>
            </w:r>
          </w:p>
        </w:tc>
        <w:tc>
          <w:tcPr>
            <w:tcW w:w="840" w:type="dxa"/>
            <w:vAlign w:val="bottom"/>
          </w:tcPr>
          <w:p>
            <w:pPr>
              <w:jc w:val="center"/>
              <w:ind w:left="203"/>
              <w:spacing w:after="0"/>
              <w:rPr>
                <w:sz w:val="20"/>
                <w:szCs w:val="20"/>
                <w:color w:val="auto"/>
              </w:rPr>
            </w:pPr>
            <w:r>
              <w:rPr>
                <w:rFonts w:ascii="Arial" w:cs="Arial" w:eastAsia="Arial" w:hAnsi="Arial"/>
                <w:sz w:val="11"/>
                <w:szCs w:val="11"/>
                <w:color w:val="auto"/>
              </w:rPr>
              <w:t>14 bps</w:t>
            </w:r>
          </w:p>
        </w:tc>
        <w:tc>
          <w:tcPr>
            <w:tcW w:w="1560" w:type="dxa"/>
            <w:vAlign w:val="bottom"/>
          </w:tcPr>
          <w:p>
            <w:pPr>
              <w:jc w:val="center"/>
              <w:ind w:left="283"/>
              <w:spacing w:after="0"/>
              <w:rPr>
                <w:sz w:val="20"/>
                <w:szCs w:val="20"/>
                <w:color w:val="auto"/>
              </w:rPr>
            </w:pPr>
            <w:r>
              <w:rPr>
                <w:rFonts w:ascii="Arial" w:cs="Arial" w:eastAsia="Arial" w:hAnsi="Arial"/>
                <w:sz w:val="11"/>
                <w:szCs w:val="11"/>
                <w:color w:val="auto"/>
              </w:rPr>
              <w:t>21 bps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1"/>
                <w:szCs w:val="11"/>
                <w:color w:val="auto"/>
              </w:rPr>
              <w:t>Structural Coverage ratio of NPLs</w:t>
            </w:r>
          </w:p>
        </w:tc>
        <w:tc>
          <w:tcPr>
            <w:tcW w:w="2000" w:type="dxa"/>
            <w:vAlign w:val="bottom"/>
          </w:tcPr>
          <w:p>
            <w:pPr>
              <w:jc w:val="center"/>
              <w:ind w:left="723"/>
              <w:spacing w:after="0"/>
              <w:rPr>
                <w:sz w:val="20"/>
                <w:szCs w:val="20"/>
                <w:color w:val="auto"/>
              </w:rPr>
            </w:pPr>
            <w:r>
              <w:rPr>
                <w:rFonts w:ascii="Arial" w:cs="Arial" w:eastAsia="Arial" w:hAnsi="Arial"/>
                <w:sz w:val="11"/>
                <w:szCs w:val="11"/>
                <w:color w:val="auto"/>
              </w:rPr>
              <w:t>112.2%</w:t>
            </w:r>
          </w:p>
        </w:tc>
        <w:tc>
          <w:tcPr>
            <w:tcW w:w="1240" w:type="dxa"/>
            <w:vAlign w:val="bottom"/>
          </w:tcPr>
          <w:p>
            <w:pPr>
              <w:jc w:val="center"/>
              <w:spacing w:after="0"/>
              <w:rPr>
                <w:sz w:val="20"/>
                <w:szCs w:val="20"/>
                <w:color w:val="auto"/>
              </w:rPr>
            </w:pPr>
            <w:r>
              <w:rPr>
                <w:rFonts w:ascii="Arial" w:cs="Arial" w:eastAsia="Arial" w:hAnsi="Arial"/>
                <w:sz w:val="11"/>
                <w:szCs w:val="11"/>
                <w:color w:val="auto"/>
              </w:rPr>
              <w:t>101.4%</w:t>
            </w:r>
          </w:p>
        </w:tc>
        <w:tc>
          <w:tcPr>
            <w:tcW w:w="1300" w:type="dxa"/>
            <w:vAlign w:val="bottom"/>
          </w:tcPr>
          <w:p>
            <w:pPr>
              <w:jc w:val="center"/>
              <w:ind w:right="3"/>
              <w:spacing w:after="0"/>
              <w:rPr>
                <w:sz w:val="20"/>
                <w:szCs w:val="20"/>
                <w:color w:val="auto"/>
              </w:rPr>
            </w:pPr>
            <w:r>
              <w:rPr>
                <w:rFonts w:ascii="Arial" w:cs="Arial" w:eastAsia="Arial" w:hAnsi="Arial"/>
                <w:sz w:val="11"/>
                <w:szCs w:val="11"/>
                <w:color w:val="auto"/>
              </w:rPr>
              <w:t>102.4%</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101 bps</w:t>
            </w:r>
          </w:p>
        </w:tc>
        <w:tc>
          <w:tcPr>
            <w:tcW w:w="1560" w:type="dxa"/>
            <w:vAlign w:val="bottom"/>
          </w:tcPr>
          <w:p>
            <w:pPr>
              <w:jc w:val="center"/>
              <w:ind w:left="263"/>
              <w:spacing w:after="0"/>
              <w:rPr>
                <w:sz w:val="20"/>
                <w:szCs w:val="20"/>
                <w:color w:val="auto"/>
              </w:rPr>
            </w:pPr>
            <w:r>
              <w:rPr>
                <w:rFonts w:ascii="Arial" w:cs="Arial" w:eastAsia="Arial" w:hAnsi="Arial"/>
                <w:sz w:val="11"/>
                <w:szCs w:val="11"/>
                <w:color w:val="auto"/>
              </w:rPr>
              <w:t>-983 bps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
        <w:spacing w:after="0"/>
        <w:rPr>
          <w:sz w:val="20"/>
          <w:szCs w:val="20"/>
          <w:color w:val="auto"/>
        </w:rPr>
      </w:pPr>
      <w:r>
        <w:rPr>
          <w:rFonts w:ascii="Arial" w:cs="Arial" w:eastAsia="Arial" w:hAnsi="Arial"/>
          <w:sz w:val="11"/>
          <w:szCs w:val="11"/>
          <w:color w:val="auto"/>
        </w:rPr>
        <w:t>(1) The Structural Portfolio excludes Government Programs (GP) effects.</w:t>
      </w:r>
    </w:p>
    <w:p>
      <w:pPr>
        <w:spacing w:after="0" w:line="177" w:lineRule="exact"/>
        <w:rPr>
          <w:sz w:val="20"/>
          <w:szCs w:val="20"/>
          <w:color w:val="auto"/>
        </w:rPr>
      </w:pPr>
    </w:p>
    <w:p>
      <w:pPr>
        <w:jc w:val="both"/>
        <w:ind w:left="2" w:right="20"/>
        <w:spacing w:after="0" w:line="264"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4Q23</w:t>
      </w:r>
      <w:r>
        <w:rPr>
          <w:rFonts w:ascii="Arial" w:cs="Arial" w:eastAsia="Arial" w:hAnsi="Arial"/>
          <w:sz w:val="16"/>
          <w:szCs w:val="16"/>
          <w:color w:val="auto"/>
        </w:rPr>
        <w:t xml:space="preserve">, Structural Non-Performing Loans (NPL) registered slight growth of 1.7% QoQ. This evolution was primarily driven by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which registered further deterioration of old vintages. Throughout the year, payment capacity of clients in </w:t>
      </w:r>
      <w:r>
        <w:rPr>
          <w:rFonts w:ascii="Arial" w:cs="Arial" w:eastAsia="Arial" w:hAnsi="Arial"/>
          <w:sz w:val="16"/>
          <w:szCs w:val="16"/>
          <w:b w:val="1"/>
          <w:bCs w:val="1"/>
          <w:color w:val="auto"/>
        </w:rPr>
        <w:t>Personal Banking</w:t>
      </w:r>
      <w:r>
        <w:rPr>
          <w:rFonts w:ascii="Arial" w:cs="Arial" w:eastAsia="Arial" w:hAnsi="Arial"/>
          <w:sz w:val="16"/>
          <w:szCs w:val="16"/>
          <w:color w:val="auto"/>
        </w:rPr>
        <w:t xml:space="preserve"> was impacted by a recessive environment, which led to growth in delinquency that was concentrated primarily in tranches for loans overdue more than 120 days in </w:t>
      </w:r>
      <w:r>
        <w:rPr>
          <w:rFonts w:ascii="Arial" w:cs="Arial" w:eastAsia="Arial" w:hAnsi="Arial"/>
          <w:sz w:val="16"/>
          <w:szCs w:val="16"/>
          <w:b w:val="1"/>
          <w:bCs w:val="1"/>
          <w:color w:val="auto"/>
        </w:rPr>
        <w:t>Consumer and Credit Cards</w:t>
      </w:r>
      <w:r>
        <w:rPr>
          <w:rFonts w:ascii="Arial" w:cs="Arial" w:eastAsia="Arial" w:hAnsi="Arial"/>
          <w:sz w:val="16"/>
          <w:szCs w:val="16"/>
          <w:color w:val="auto"/>
        </w:rPr>
        <w:t>.</w:t>
      </w:r>
    </w:p>
    <w:p>
      <w:pPr>
        <w:spacing w:after="0" w:line="124" w:lineRule="exact"/>
        <w:rPr>
          <w:sz w:val="20"/>
          <w:szCs w:val="20"/>
          <w:color w:val="auto"/>
        </w:rPr>
      </w:pPr>
    </w:p>
    <w:p>
      <w:pPr>
        <w:jc w:val="both"/>
        <w:ind w:left="2" w:right="20"/>
        <w:spacing w:after="0" w:line="289" w:lineRule="auto"/>
        <w:rPr>
          <w:sz w:val="20"/>
          <w:szCs w:val="20"/>
          <w:color w:val="auto"/>
        </w:rPr>
      </w:pPr>
      <w:r>
        <w:rPr>
          <w:rFonts w:ascii="Arial" w:cs="Arial" w:eastAsia="Arial" w:hAnsi="Arial"/>
          <w:sz w:val="16"/>
          <w:szCs w:val="16"/>
          <w:color w:val="auto"/>
        </w:rPr>
        <w:t xml:space="preserve">YoY, Structural NPLs rose 15.6%, driven by the same factores seen in the QoQ evolution; a deterioration in loans with higher tickets at Mibanco; as well as newly delinquent loans and refinancing for some clients in </w:t>
      </w:r>
      <w:r>
        <w:rPr>
          <w:rFonts w:ascii="Arial" w:cs="Arial" w:eastAsia="Arial" w:hAnsi="Arial"/>
          <w:sz w:val="16"/>
          <w:szCs w:val="16"/>
          <w:b w:val="1"/>
          <w:bCs w:val="1"/>
          <w:color w:val="auto"/>
        </w:rPr>
        <w:t>Wholesale Banking</w:t>
      </w:r>
      <w:r>
        <w:rPr>
          <w:rFonts w:ascii="Arial" w:cs="Arial" w:eastAsia="Arial" w:hAnsi="Arial"/>
          <w:sz w:val="16"/>
          <w:szCs w:val="16"/>
          <w:color w:val="auto"/>
        </w:rPr>
        <w:t>.</w:t>
      </w:r>
    </w:p>
    <w:p>
      <w:pPr>
        <w:spacing w:after="0" w:line="101"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313" w:right="319" w:bottom="1440" w:gutter="0" w:footer="0" w:header="0"/>
        </w:sectPr>
      </w:pPr>
    </w:p>
    <w:bookmarkStart w:id="23" w:name="page24"/>
    <w:bookmarkEnd w:id="23"/>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01. Loan Portfolio</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Structural NPL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126365</wp:posOffset>
            </wp:positionV>
            <wp:extent cx="5419090" cy="277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19090" cy="277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the QoQ analysis, the Structural NPL volume increased due to a deterioration in client payment capacity in an adverse macroeconomic scenario. The segments that contributed to this uptick were:</w:t>
      </w:r>
    </w:p>
    <w:p>
      <w:pPr>
        <w:spacing w:after="0" w:line="2" w:lineRule="exact"/>
        <w:rPr>
          <w:sz w:val="20"/>
          <w:szCs w:val="20"/>
          <w:color w:val="auto"/>
        </w:rPr>
      </w:pPr>
    </w:p>
    <w:p>
      <w:pPr>
        <w:jc w:val="both"/>
        <w:ind w:left="580" w:right="20" w:hanging="290"/>
        <w:spacing w:after="0" w:line="238"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SME-Pyme</w:t>
      </w:r>
      <w:r>
        <w:rPr>
          <w:rFonts w:ascii="Arial" w:cs="Arial" w:eastAsia="Arial" w:hAnsi="Arial"/>
          <w:sz w:val="16"/>
          <w:szCs w:val="16"/>
          <w:color w:val="auto"/>
        </w:rPr>
        <w:t>, which continued to register deterioration in vintages prior to adjustments in credit guidelines; this deterioration was concentrated in</w:t>
      </w:r>
      <w:r>
        <w:rPr>
          <w:rFonts w:ascii="Arial" w:cs="Arial" w:eastAsia="Arial" w:hAnsi="Arial"/>
          <w:sz w:val="16"/>
          <w:szCs w:val="16"/>
          <w:b w:val="1"/>
          <w:bCs w:val="1"/>
          <w:color w:val="auto"/>
        </w:rPr>
        <w:t xml:space="preserve"> </w:t>
      </w:r>
      <w:r>
        <w:rPr>
          <w:rFonts w:ascii="Arial" w:cs="Arial" w:eastAsia="Arial" w:hAnsi="Arial"/>
          <w:sz w:val="16"/>
          <w:szCs w:val="16"/>
          <w:color w:val="auto"/>
        </w:rPr>
        <w:t>profiles with higher risk. For loans disbursed after adjustments were made, indicators of early delinquency began to improve in the last few months of the year.</w:t>
      </w:r>
    </w:p>
    <w:p>
      <w:pPr>
        <w:spacing w:after="0" w:line="1" w:lineRule="exact"/>
        <w:rPr>
          <w:rFonts w:ascii="Arial" w:cs="Arial" w:eastAsia="Arial" w:hAnsi="Arial"/>
          <w:sz w:val="16"/>
          <w:szCs w:val="16"/>
          <w:color w:val="auto"/>
        </w:rPr>
      </w:pPr>
    </w:p>
    <w:p>
      <w:pPr>
        <w:ind w:left="580" w:hanging="290"/>
        <w:spacing w:after="0" w:line="238"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Consumer and Credit Cards</w:t>
      </w:r>
      <w:r>
        <w:rPr>
          <w:rFonts w:ascii="Arial" w:cs="Arial" w:eastAsia="Arial" w:hAnsi="Arial"/>
          <w:sz w:val="16"/>
          <w:szCs w:val="16"/>
          <w:color w:val="auto"/>
        </w:rPr>
        <w:t>, where growth in NPLs was concentrated in tranches for loans overdue more than 120 days.</w:t>
      </w:r>
    </w:p>
    <w:p>
      <w:pPr>
        <w:ind w:left="580" w:hanging="290"/>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where delinquency was concentrated in loans with higher tickets. This quarter, credit guidelines were further tightened.</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aforementioned was partially offset by payments of overdue loans and recovery of judicial loans, both associated with corporate clients in Wholesale Banking.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growth in the NPL volume was driven by:</w:t>
      </w:r>
    </w:p>
    <w:p>
      <w:pPr>
        <w:spacing w:after="0" w:line="182" w:lineRule="exact"/>
        <w:rPr>
          <w:sz w:val="20"/>
          <w:szCs w:val="20"/>
          <w:color w:val="auto"/>
        </w:rPr>
      </w:pPr>
    </w:p>
    <w:p>
      <w:pPr>
        <w:ind w:left="580" w:right="20" w:hanging="290"/>
        <w:spacing w:after="0" w:line="248"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SME-Pyme</w:t>
      </w:r>
      <w:r>
        <w:rPr>
          <w:rFonts w:ascii="Arial" w:cs="Arial" w:eastAsia="Arial" w:hAnsi="Arial"/>
          <w:sz w:val="16"/>
          <w:szCs w:val="16"/>
          <w:color w:val="auto"/>
        </w:rPr>
        <w:t>, driven by the same factors as those seen QoQ, where delinquency was concentrated in clients with smaller tickets (&lt; a S/90 mil) and</w:t>
      </w:r>
      <w:r>
        <w:rPr>
          <w:rFonts w:ascii="Arial" w:cs="Arial" w:eastAsia="Arial" w:hAnsi="Arial"/>
          <w:sz w:val="16"/>
          <w:szCs w:val="16"/>
          <w:b w:val="1"/>
          <w:bCs w:val="1"/>
          <w:color w:val="auto"/>
        </w:rPr>
        <w:t xml:space="preserve"> </w:t>
      </w:r>
      <w:r>
        <w:rPr>
          <w:rFonts w:ascii="Arial" w:cs="Arial" w:eastAsia="Arial" w:hAnsi="Arial"/>
          <w:sz w:val="16"/>
          <w:szCs w:val="16"/>
          <w:color w:val="auto"/>
        </w:rPr>
        <w:t>higher risk.</w:t>
      </w:r>
    </w:p>
    <w:p>
      <w:pPr>
        <w:spacing w:after="0" w:line="1" w:lineRule="exact"/>
        <w:rPr>
          <w:rFonts w:ascii="Arial" w:cs="Arial" w:eastAsia="Arial" w:hAnsi="Arial"/>
          <w:sz w:val="16"/>
          <w:szCs w:val="16"/>
          <w:color w:val="auto"/>
        </w:rPr>
      </w:pPr>
    </w:p>
    <w:p>
      <w:pPr>
        <w:ind w:left="580" w:hanging="290"/>
        <w:spacing w:after="0" w:line="238"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Individuals:</w:t>
      </w:r>
    </w:p>
    <w:p>
      <w:pPr>
        <w:ind w:left="1160" w:hanging="285"/>
        <w:spacing w:after="0" w:line="238" w:lineRule="auto"/>
        <w:tabs>
          <w:tab w:leader="none" w:pos="1160" w:val="left"/>
        </w:tabs>
        <w:numPr>
          <w:ilvl w:val="1"/>
          <w:numId w:val="25"/>
        </w:numPr>
        <w:rPr>
          <w:rFonts w:ascii="Arial" w:cs="Arial" w:eastAsia="Arial" w:hAnsi="Arial"/>
          <w:sz w:val="16"/>
          <w:szCs w:val="16"/>
          <w:color w:val="auto"/>
        </w:rPr>
      </w:pPr>
      <w:r>
        <w:rPr>
          <w:rFonts w:ascii="Arial" w:cs="Arial" w:eastAsia="Arial" w:hAnsi="Arial"/>
          <w:sz w:val="16"/>
          <w:szCs w:val="16"/>
          <w:b w:val="1"/>
          <w:bCs w:val="1"/>
          <w:color w:val="auto"/>
        </w:rPr>
        <w:t>Consumer and Credit Cards</w:t>
      </w:r>
      <w:r>
        <w:rPr>
          <w:rFonts w:ascii="Arial" w:cs="Arial" w:eastAsia="Arial" w:hAnsi="Arial"/>
          <w:sz w:val="16"/>
          <w:szCs w:val="16"/>
          <w:color w:val="auto"/>
        </w:rPr>
        <w:t>, due to the same dynamics as those seen QoQ.</w:t>
      </w:r>
    </w:p>
    <w:p>
      <w:pPr>
        <w:ind w:left="1160" w:hanging="285"/>
        <w:spacing w:after="0"/>
        <w:tabs>
          <w:tab w:leader="none" w:pos="1160" w:val="left"/>
        </w:tabs>
        <w:numPr>
          <w:ilvl w:val="1"/>
          <w:numId w:val="25"/>
        </w:numPr>
        <w:rPr>
          <w:rFonts w:ascii="Arial" w:cs="Arial" w:eastAsia="Arial" w:hAnsi="Arial"/>
          <w:sz w:val="16"/>
          <w:szCs w:val="16"/>
          <w:color w:val="auto"/>
        </w:rPr>
      </w:pPr>
      <w:r>
        <w:rPr>
          <w:rFonts w:ascii="Arial" w:cs="Arial" w:eastAsia="Arial" w:hAnsi="Arial"/>
          <w:sz w:val="16"/>
          <w:szCs w:val="16"/>
          <w:b w:val="1"/>
          <w:bCs w:val="1"/>
          <w:color w:val="auto"/>
        </w:rPr>
        <w:t>Mortgage</w:t>
      </w:r>
      <w:r>
        <w:rPr>
          <w:rFonts w:ascii="Arial" w:cs="Arial" w:eastAsia="Arial" w:hAnsi="Arial"/>
          <w:sz w:val="16"/>
          <w:szCs w:val="16"/>
          <w:color w:val="auto"/>
        </w:rPr>
        <w:t>, attributable to the growth in refinanced loans disbursed in 3Q23 that had benefitted from loan reprogramming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pandemic.</w:t>
      </w:r>
    </w:p>
    <w:p>
      <w:pPr>
        <w:spacing w:after="0" w:line="181" w:lineRule="exact"/>
        <w:rPr>
          <w:rFonts w:ascii="Arial" w:cs="Arial" w:eastAsia="Arial" w:hAnsi="Arial"/>
          <w:sz w:val="16"/>
          <w:szCs w:val="16"/>
          <w:color w:val="auto"/>
        </w:rPr>
      </w:pPr>
    </w:p>
    <w:p>
      <w:pPr>
        <w:jc w:val="both"/>
        <w:ind w:left="580" w:right="20" w:hanging="290"/>
        <w:spacing w:after="0" w:line="238"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Wholesale Banking</w:t>
      </w:r>
      <w:r>
        <w:rPr>
          <w:rFonts w:ascii="Arial" w:cs="Arial" w:eastAsia="Arial" w:hAnsi="Arial"/>
          <w:sz w:val="16"/>
          <w:szCs w:val="16"/>
          <w:color w:val="auto"/>
        </w:rPr>
        <w:t>, due to growth in overdue loans and an uptick in refinancing throughout the year for clients in the commercial real estate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tourism sectors, both of which were severely impacted by the pandemic and continued to experience distress due to an adverse marcoeconomic context. It is important to note that these loans are backed by extensive guarantees (collateral) and were previously provisioned.</w:t>
      </w:r>
    </w:p>
    <w:p>
      <w:pPr>
        <w:spacing w:after="0" w:line="1" w:lineRule="exact"/>
        <w:rPr>
          <w:rFonts w:ascii="Arial" w:cs="Arial" w:eastAsia="Arial" w:hAnsi="Arial"/>
          <w:sz w:val="16"/>
          <w:szCs w:val="16"/>
          <w:color w:val="auto"/>
        </w:rPr>
      </w:pPr>
    </w:p>
    <w:p>
      <w:pPr>
        <w:ind w:left="580" w:hanging="290"/>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due to the same dynamics seen QoQ and impacted by a recessive environment and the consequent impact on payment capacities.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the aforementioned context, the Structural NPL ratio rose 7 bps QoQ and 68 bps YoY to stand at 5.6%.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24" w:name="page25"/>
    <w:bookmarkEnd w:id="24"/>
    <w:p>
      <w:pPr>
        <w:jc w:val="right"/>
        <w:spacing w:after="0"/>
        <w:tabs>
          <w:tab w:leader="none" w:pos="2200" w:val="left"/>
        </w:tabs>
        <w:rPr>
          <w:sz w:val="20"/>
          <w:szCs w:val="20"/>
          <w:color w:val="auto"/>
        </w:rPr>
      </w:pPr>
      <w:r>
        <w:rPr>
          <w:rFonts w:ascii="Arial" w:cs="Arial" w:eastAsia="Arial" w:hAnsi="Arial"/>
          <w:sz w:val="18"/>
          <w:szCs w:val="18"/>
          <w:color w:val="A6A6A6"/>
        </w:rPr>
        <w:t>|</w:t>
      </w:r>
      <w:r>
        <w:rPr>
          <w:sz w:val="20"/>
          <w:szCs w:val="20"/>
          <w:color w:val="auto"/>
        </w:rPr>
        <w:tab/>
      </w:r>
      <w:r>
        <w:rPr>
          <w:rFonts w:ascii="Arial" w:cs="Arial" w:eastAsia="Arial" w:hAnsi="Arial"/>
          <w:sz w:val="17"/>
          <w:szCs w:val="17"/>
          <w:b w:val="1"/>
          <w:bCs w:val="1"/>
          <w:color w:val="A6A6A6"/>
        </w:rPr>
        <w:t>Earning Release 4Q / 2023</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01. Loan Portfolio</w:t>
      </w:r>
    </w:p>
    <w:p>
      <w:pPr>
        <w:spacing w:after="0" w:line="273"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Write-offfs in the Structural Loan Portfolio</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(in Quarter-end balances–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116205</wp:posOffset>
            </wp:positionV>
            <wp:extent cx="2663190" cy="12230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63190"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Coverage Ratio of Structural NPL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126365</wp:posOffset>
            </wp:positionV>
            <wp:extent cx="2686685" cy="1564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6685" cy="156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40" w:right="740" w:hanging="396"/>
        <w:spacing w:after="0" w:line="279" w:lineRule="auto"/>
        <w:rPr>
          <w:sz w:val="20"/>
          <w:szCs w:val="20"/>
          <w:color w:val="auto"/>
        </w:rPr>
      </w:pPr>
      <w:r>
        <w:rPr>
          <w:rFonts w:ascii="Arial" w:cs="Arial" w:eastAsia="Arial" w:hAnsi="Arial"/>
          <w:sz w:val="16"/>
          <w:szCs w:val="16"/>
          <w:b w:val="1"/>
          <w:bCs w:val="1"/>
          <w:color w:val="auto"/>
        </w:rPr>
        <w:t xml:space="preserve">NPL Loans in the Government Loan Portfolio </w:t>
      </w:r>
      <w:r>
        <w:rPr>
          <w:rFonts w:ascii="Arial" w:cs="Arial" w:eastAsia="Arial" w:hAnsi="Arial"/>
          <w:sz w:val="16"/>
          <w:szCs w:val="16"/>
          <w:color w:val="auto"/>
        </w:rPr>
        <w:t>(in Quarter-end balances–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87630</wp:posOffset>
            </wp:positionV>
            <wp:extent cx="2794635" cy="1254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1254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-256540</wp:posOffset>
            </wp:positionV>
            <wp:extent cx="7145655" cy="657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5655" cy="65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write-offs of structural loans remained at high levels but nonetheless</w:t>
      </w:r>
      <w:r>
        <w:rPr>
          <w:rFonts w:ascii="Arial" w:cs="Arial" w:eastAsia="Arial" w:hAnsi="Arial"/>
          <w:sz w:val="16"/>
          <w:szCs w:val="16"/>
          <w:b w:val="1"/>
          <w:bCs w:val="1"/>
          <w:color w:val="auto"/>
        </w:rPr>
        <w:t xml:space="preserve"> </w:t>
      </w:r>
      <w:r>
        <w:rPr>
          <w:rFonts w:ascii="Arial" w:cs="Arial" w:eastAsia="Arial" w:hAnsi="Arial"/>
          <w:sz w:val="16"/>
          <w:szCs w:val="16"/>
          <w:color w:val="auto"/>
        </w:rPr>
        <w:t>fell 13.6%. This reflects the fact that a higher number of write-offs were reported last quarter in the SME-Pyme, Consumer and Credit Card segments as well as at Mibanco.</w:t>
      </w:r>
    </w:p>
    <w:p>
      <w:pPr>
        <w:spacing w:after="0" w:line="14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growth in write-offs of structural loans (+16.6%) was driven by</w:t>
      </w:r>
      <w:r>
        <w:rPr>
          <w:rFonts w:ascii="Arial" w:cs="Arial" w:eastAsia="Arial" w:hAnsi="Arial"/>
          <w:sz w:val="16"/>
          <w:szCs w:val="16"/>
          <w:b w:val="1"/>
          <w:bCs w:val="1"/>
          <w:color w:val="auto"/>
        </w:rPr>
        <w:t xml:space="preserve"> Credit Cards, Consumer </w:t>
      </w:r>
      <w:r>
        <w:rPr>
          <w:rFonts w:ascii="Arial" w:cs="Arial" w:eastAsia="Arial" w:hAnsi="Arial"/>
          <w:sz w:val="16"/>
          <w:szCs w:val="16"/>
          <w:color w:val="auto"/>
        </w:rPr>
        <w:t>and</w:t>
      </w:r>
      <w:r>
        <w:rPr>
          <w:rFonts w:ascii="Arial" w:cs="Arial" w:eastAsia="Arial" w:hAnsi="Arial"/>
          <w:sz w:val="16"/>
          <w:szCs w:val="16"/>
          <w:b w:val="1"/>
          <w:bCs w:val="1"/>
          <w:color w:val="auto"/>
        </w:rPr>
        <w:t xml:space="preserve"> SME-Pyme</w:t>
      </w:r>
      <w:r>
        <w:rPr>
          <w:rFonts w:ascii="Arial" w:cs="Arial" w:eastAsia="Arial" w:hAnsi="Arial"/>
          <w:sz w:val="16"/>
          <w:szCs w:val="16"/>
          <w:color w:val="auto"/>
        </w:rPr>
        <w:t>. This increase corresponds to write-offs of loans from the highest-risk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the Coverage Ratio for NPL loans rose 101 bps. This evolution was</w:t>
      </w:r>
      <w:r>
        <w:rPr>
          <w:rFonts w:ascii="Arial" w:cs="Arial" w:eastAsia="Arial" w:hAnsi="Arial"/>
          <w:sz w:val="16"/>
          <w:szCs w:val="16"/>
          <w:b w:val="1"/>
          <w:bCs w:val="1"/>
          <w:color w:val="auto"/>
        </w:rPr>
        <w:t xml:space="preserve"> </w:t>
      </w:r>
      <w:r>
        <w:rPr>
          <w:rFonts w:ascii="Arial" w:cs="Arial" w:eastAsia="Arial" w:hAnsi="Arial"/>
          <w:sz w:val="16"/>
          <w:szCs w:val="16"/>
          <w:color w:val="auto"/>
        </w:rPr>
        <w:t>driven primarily by provisions set aside for the El Niño Phenomenon</w:t>
      </w:r>
      <w:r>
        <w:rPr>
          <w:rFonts w:ascii="Arial" w:cs="Arial" w:eastAsia="Arial" w:hAnsi="Arial"/>
          <w:sz w:val="16"/>
          <w:szCs w:val="16"/>
          <w:b w:val="1"/>
          <w:bCs w:val="1"/>
          <w:color w:val="auto"/>
        </w:rPr>
        <w:t>.</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the Coverage Ratio for NPL loans fell 9.83 pp, driven primarily by</w:t>
      </w:r>
      <w:r>
        <w:rPr>
          <w:rFonts w:ascii="Arial" w:cs="Arial" w:eastAsia="Arial" w:hAnsi="Arial"/>
          <w:sz w:val="16"/>
          <w:szCs w:val="16"/>
          <w:b w:val="1"/>
          <w:bCs w:val="1"/>
          <w:color w:val="auto"/>
        </w:rPr>
        <w:t xml:space="preserve"> Wholesale Banking, </w:t>
      </w:r>
      <w:r>
        <w:rPr>
          <w:rFonts w:ascii="Arial" w:cs="Arial" w:eastAsia="Arial" w:hAnsi="Arial"/>
          <w:sz w:val="16"/>
          <w:szCs w:val="16"/>
          <w:color w:val="auto"/>
        </w:rPr>
        <w:t>where the structural NPL volume rose significantly</w:t>
      </w:r>
      <w:r>
        <w:rPr>
          <w:rFonts w:ascii="Arial" w:cs="Arial" w:eastAsia="Arial" w:hAnsi="Arial"/>
          <w:sz w:val="16"/>
          <w:szCs w:val="16"/>
          <w:b w:val="1"/>
          <w:bCs w:val="1"/>
          <w:color w:val="auto"/>
        </w:rPr>
        <w:t xml:space="preserve"> </w:t>
      </w:r>
      <w:r>
        <w:rPr>
          <w:rFonts w:ascii="Arial" w:cs="Arial" w:eastAsia="Arial" w:hAnsi="Arial"/>
          <w:sz w:val="16"/>
          <w:szCs w:val="16"/>
          <w:color w:val="auto"/>
        </w:rPr>
        <w:t>over the year due to an uptick in refinanced and overdue loans. Nevertheless, these loans did not trigger higher provisions because they are backed by collateral whose value far exceeds the borrower’s total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NPLs in the Government Loan portfolio (GP) dropped due to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 in the execution of loan honoring processes for Reactiva loans, mainly in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These loans are backed by State guarantees. To execute payment processes, loans must be more than 90 days past due. Average guarantees stand at 84%, 91% and 97% for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Retail Banking and Mibanco </w:t>
      </w:r>
      <w:r>
        <w:rPr>
          <w:rFonts w:ascii="Arial" w:cs="Arial" w:eastAsia="Arial" w:hAnsi="Arial"/>
          <w:sz w:val="16"/>
          <w:szCs w:val="16"/>
          <w:color w:val="auto"/>
        </w:rPr>
        <w:t>respectively. At the end of December 2023,</w:t>
      </w:r>
      <w:r>
        <w:rPr>
          <w:rFonts w:ascii="Arial" w:cs="Arial" w:eastAsia="Arial" w:hAnsi="Arial"/>
          <w:sz w:val="16"/>
          <w:szCs w:val="16"/>
          <w:b w:val="1"/>
          <w:bCs w:val="1"/>
          <w:color w:val="auto"/>
        </w:rPr>
        <w:t xml:space="preserve"> </w:t>
      </w:r>
      <w:r>
        <w:rPr>
          <w:rFonts w:ascii="Arial" w:cs="Arial" w:eastAsia="Arial" w:hAnsi="Arial"/>
          <w:sz w:val="16"/>
          <w:szCs w:val="16"/>
          <w:color w:val="auto"/>
        </w:rPr>
        <w:t>a total S/ 1,769 million was collected through honoring processes to execute State guarantees.</w:t>
      </w:r>
    </w:p>
    <w:p>
      <w:pPr>
        <w:spacing w:after="0" w:line="200" w:lineRule="exact"/>
        <w:rPr>
          <w:sz w:val="20"/>
          <w:szCs w:val="20"/>
          <w:color w:val="auto"/>
        </w:rPr>
      </w:pPr>
    </w:p>
    <w:p>
      <w:pPr>
        <w:sectPr>
          <w:pgSz w:w="11900" w:h="16838" w:orient="portrait"/>
          <w:cols w:equalWidth="0" w:num="2">
            <w:col w:w="5160" w:space="680"/>
            <w:col w:w="5420"/>
          </w:cols>
          <w:pgMar w:left="320" w:top="49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type w:val="continuous"/>
        </w:sectPr>
      </w:pPr>
    </w:p>
    <w:bookmarkStart w:id="25" w:name="page26"/>
    <w:bookmarkEnd w:id="25"/>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444"/>
        </w:trPr>
        <w:tc>
          <w:tcPr>
            <w:tcW w:w="2840" w:type="dxa"/>
            <w:vAlign w:val="bottom"/>
            <w:tcBorders>
              <w:left w:val="single" w:sz="8" w:color="auto"/>
            </w:tcBorders>
            <w:shd w:val="clear" w:color="auto" w:fill="000000"/>
          </w:tcPr>
          <w:p>
            <w:pPr>
              <w:ind w:left="2720"/>
              <w:spacing w:after="0"/>
              <w:rPr>
                <w:sz w:val="20"/>
                <w:szCs w:val="20"/>
                <w:color w:val="auto"/>
              </w:rPr>
            </w:pPr>
            <w:r>
              <w:rPr>
                <w:rFonts w:ascii="Arial" w:cs="Arial" w:eastAsia="Arial" w:hAnsi="Arial"/>
                <w:sz w:val="18"/>
                <w:szCs w:val="18"/>
                <w:color w:val="A6A6A6"/>
              </w:rPr>
              <w:t>|</w:t>
            </w:r>
          </w:p>
        </w:tc>
        <w:tc>
          <w:tcPr>
            <w:tcW w:w="3460" w:type="dxa"/>
            <w:vAlign w:val="bottom"/>
            <w:gridSpan w:val="2"/>
            <w:shd w:val="clear" w:color="auto" w:fill="000000"/>
          </w:tcPr>
          <w:p>
            <w:pPr>
              <w:ind w:left="100"/>
              <w:spacing w:after="0"/>
              <w:rPr>
                <w:sz w:val="20"/>
                <w:szCs w:val="20"/>
                <w:color w:val="auto"/>
              </w:rPr>
            </w:pPr>
            <w:r>
              <w:rPr>
                <w:rFonts w:ascii="Arial" w:cs="Arial" w:eastAsia="Arial" w:hAnsi="Arial"/>
                <w:sz w:val="18"/>
                <w:szCs w:val="18"/>
                <w:b w:val="1"/>
                <w:bCs w:val="1"/>
                <w:color w:val="A6A6A6"/>
              </w:rPr>
              <w:t>Earning Release 4Q / 2023</w:t>
            </w:r>
          </w:p>
        </w:tc>
        <w:tc>
          <w:tcPr>
            <w:tcW w:w="1200" w:type="dxa"/>
            <w:vAlign w:val="bottom"/>
            <w:shd w:val="clear" w:color="auto" w:fill="000000"/>
          </w:tcPr>
          <w:p>
            <w:pPr>
              <w:spacing w:after="0"/>
              <w:rPr>
                <w:sz w:val="24"/>
                <w:szCs w:val="24"/>
                <w:color w:val="auto"/>
              </w:rPr>
            </w:pPr>
          </w:p>
        </w:tc>
        <w:tc>
          <w:tcPr>
            <w:tcW w:w="3760" w:type="dxa"/>
            <w:vAlign w:val="bottom"/>
            <w:tcBorders>
              <w:right w:val="single" w:sz="8" w:color="auto"/>
            </w:tcBorders>
            <w:gridSpan w:val="3"/>
            <w:shd w:val="clear" w:color="auto" w:fill="000000"/>
          </w:tcPr>
          <w:p>
            <w:pPr>
              <w:ind w:left="20"/>
              <w:spacing w:after="0"/>
              <w:rPr>
                <w:sz w:val="20"/>
                <w:szCs w:val="20"/>
                <w:color w:val="auto"/>
              </w:rPr>
            </w:pPr>
            <w:r>
              <w:rPr>
                <w:rFonts w:ascii="Arial" w:cs="Arial" w:eastAsia="Arial" w:hAnsi="Arial"/>
                <w:sz w:val="18"/>
                <w:szCs w:val="18"/>
                <w:b w:val="1"/>
                <w:bCs w:val="1"/>
                <w:color w:val="E93BAC"/>
              </w:rPr>
              <w:t>Analysis of 4Q23 Consolidated Results</w:t>
            </w:r>
          </w:p>
        </w:tc>
      </w:tr>
      <w:tr>
        <w:trPr>
          <w:trHeight w:val="202"/>
        </w:trPr>
        <w:tc>
          <w:tcPr>
            <w:tcW w:w="2840" w:type="dxa"/>
            <w:vAlign w:val="bottom"/>
            <w:tcBorders>
              <w:left w:val="single" w:sz="8" w:color="auto"/>
            </w:tcBorders>
            <w:shd w:val="clear" w:color="auto" w:fill="000000"/>
          </w:tcPr>
          <w:p>
            <w:pPr>
              <w:spacing w:after="0"/>
              <w:rPr>
                <w:sz w:val="17"/>
                <w:szCs w:val="17"/>
                <w:color w:val="auto"/>
              </w:rPr>
            </w:pPr>
          </w:p>
        </w:tc>
        <w:tc>
          <w:tcPr>
            <w:tcW w:w="2240" w:type="dxa"/>
            <w:vAlign w:val="bottom"/>
            <w:tcBorders>
              <w:right w:val="single" w:sz="8" w:color="auto"/>
            </w:tcBorders>
            <w:shd w:val="clear" w:color="auto" w:fill="000000"/>
          </w:tcPr>
          <w:p>
            <w:pPr>
              <w:spacing w:after="0"/>
              <w:rPr>
                <w:sz w:val="17"/>
                <w:szCs w:val="17"/>
                <w:color w:val="auto"/>
              </w:rPr>
            </w:pPr>
          </w:p>
        </w:tc>
        <w:tc>
          <w:tcPr>
            <w:tcW w:w="1220" w:type="dxa"/>
            <w:vAlign w:val="bottom"/>
            <w:shd w:val="clear" w:color="auto" w:fill="000000"/>
          </w:tcPr>
          <w:p>
            <w:pPr>
              <w:spacing w:after="0"/>
              <w:rPr>
                <w:sz w:val="17"/>
                <w:szCs w:val="17"/>
                <w:color w:val="auto"/>
              </w:rPr>
            </w:pPr>
          </w:p>
        </w:tc>
        <w:tc>
          <w:tcPr>
            <w:tcW w:w="1200" w:type="dxa"/>
            <w:vAlign w:val="bottom"/>
            <w:shd w:val="clear" w:color="auto" w:fill="000000"/>
          </w:tcPr>
          <w:p>
            <w:pPr>
              <w:spacing w:after="0"/>
              <w:rPr>
                <w:sz w:val="17"/>
                <w:szCs w:val="17"/>
                <w:color w:val="auto"/>
              </w:rPr>
            </w:pPr>
          </w:p>
        </w:tc>
        <w:tc>
          <w:tcPr>
            <w:tcW w:w="1300" w:type="dxa"/>
            <w:vAlign w:val="bottom"/>
            <w:tcBorders>
              <w:right w:val="single" w:sz="8" w:color="auto"/>
            </w:tcBorders>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1580" w:type="dxa"/>
            <w:vAlign w:val="bottom"/>
            <w:tcBorders>
              <w:right w:val="single" w:sz="8" w:color="auto"/>
            </w:tcBorders>
            <w:shd w:val="clear" w:color="auto" w:fill="000000"/>
          </w:tcPr>
          <w:p>
            <w:pPr>
              <w:spacing w:after="0"/>
              <w:rPr>
                <w:sz w:val="17"/>
                <w:szCs w:val="17"/>
                <w:color w:val="auto"/>
              </w:rPr>
            </w:pPr>
          </w:p>
        </w:tc>
      </w:tr>
      <w:tr>
        <w:trPr>
          <w:trHeight w:val="322"/>
        </w:trPr>
        <w:tc>
          <w:tcPr>
            <w:tcW w:w="2840" w:type="dxa"/>
            <w:vAlign w:val="bottom"/>
            <w:tcBorders>
              <w:left w:val="single" w:sz="8" w:color="E93BAB"/>
            </w:tcBorders>
            <w:shd w:val="clear" w:color="auto" w:fill="E93BAB"/>
          </w:tcPr>
          <w:p>
            <w:pPr>
              <w:ind w:left="80"/>
              <w:spacing w:after="0"/>
              <w:rPr>
                <w:sz w:val="20"/>
                <w:szCs w:val="20"/>
                <w:color w:val="auto"/>
              </w:rPr>
            </w:pPr>
            <w:r>
              <w:rPr>
                <w:rFonts w:ascii="Arial" w:cs="Arial" w:eastAsia="Arial" w:hAnsi="Arial"/>
                <w:sz w:val="18"/>
                <w:szCs w:val="18"/>
                <w:b w:val="1"/>
                <w:bCs w:val="1"/>
                <w:color w:val="FFFFFF"/>
              </w:rPr>
              <w:t>01. Loan Portfolio</w:t>
            </w:r>
          </w:p>
        </w:tc>
        <w:tc>
          <w:tcPr>
            <w:tcW w:w="2240" w:type="dxa"/>
            <w:vAlign w:val="bottom"/>
            <w:tcBorders>
              <w:right w:val="single" w:sz="8" w:color="E93BAB"/>
            </w:tcBorders>
            <w:shd w:val="clear" w:color="auto" w:fill="E93BAB"/>
          </w:tcPr>
          <w:p>
            <w:pPr>
              <w:spacing w:after="0"/>
              <w:rPr>
                <w:sz w:val="24"/>
                <w:szCs w:val="24"/>
                <w:color w:val="auto"/>
              </w:rPr>
            </w:pPr>
          </w:p>
        </w:tc>
        <w:tc>
          <w:tcPr>
            <w:tcW w:w="1220" w:type="dxa"/>
            <w:vAlign w:val="bottom"/>
            <w:shd w:val="clear" w:color="auto" w:fill="E93BAB"/>
          </w:tcPr>
          <w:p>
            <w:pPr>
              <w:spacing w:after="0"/>
              <w:rPr>
                <w:sz w:val="24"/>
                <w:szCs w:val="24"/>
                <w:color w:val="auto"/>
              </w:rPr>
            </w:pPr>
          </w:p>
        </w:tc>
        <w:tc>
          <w:tcPr>
            <w:tcW w:w="1200" w:type="dxa"/>
            <w:vAlign w:val="bottom"/>
            <w:shd w:val="clear" w:color="auto" w:fill="E93BAB"/>
          </w:tcPr>
          <w:p>
            <w:pPr>
              <w:spacing w:after="0"/>
              <w:rPr>
                <w:sz w:val="24"/>
                <w:szCs w:val="24"/>
                <w:color w:val="auto"/>
              </w:rPr>
            </w:pPr>
          </w:p>
        </w:tc>
        <w:tc>
          <w:tcPr>
            <w:tcW w:w="1300" w:type="dxa"/>
            <w:vAlign w:val="bottom"/>
            <w:tcBorders>
              <w:right w:val="single" w:sz="8" w:color="E93BAB"/>
            </w:tcBorders>
            <w:shd w:val="clear" w:color="auto" w:fill="E93BAB"/>
          </w:tcPr>
          <w:p>
            <w:pPr>
              <w:spacing w:after="0"/>
              <w:rPr>
                <w:sz w:val="24"/>
                <w:szCs w:val="24"/>
                <w:color w:val="auto"/>
              </w:rPr>
            </w:pPr>
          </w:p>
        </w:tc>
        <w:tc>
          <w:tcPr>
            <w:tcW w:w="880" w:type="dxa"/>
            <w:vAlign w:val="bottom"/>
            <w:shd w:val="clear" w:color="auto" w:fill="E93BAB"/>
          </w:tcPr>
          <w:p>
            <w:pPr>
              <w:spacing w:after="0"/>
              <w:rPr>
                <w:sz w:val="24"/>
                <w:szCs w:val="24"/>
                <w:color w:val="auto"/>
              </w:rPr>
            </w:pPr>
          </w:p>
        </w:tc>
        <w:tc>
          <w:tcPr>
            <w:tcW w:w="1580" w:type="dxa"/>
            <w:vAlign w:val="bottom"/>
            <w:tcBorders>
              <w:right w:val="single" w:sz="8" w:color="E93BAB"/>
            </w:tcBorders>
            <w:shd w:val="clear" w:color="auto" w:fill="E93BAB"/>
          </w:tcPr>
          <w:p>
            <w:pPr>
              <w:spacing w:after="0"/>
              <w:rPr>
                <w:sz w:val="24"/>
                <w:szCs w:val="24"/>
                <w:color w:val="auto"/>
              </w:rPr>
            </w:pPr>
          </w:p>
        </w:tc>
      </w:tr>
      <w:tr>
        <w:trPr>
          <w:trHeight w:val="68"/>
        </w:trPr>
        <w:tc>
          <w:tcPr>
            <w:tcW w:w="2840" w:type="dxa"/>
            <w:vAlign w:val="bottom"/>
            <w:tcBorders>
              <w:left w:val="single" w:sz="8" w:color="E93BAB"/>
            </w:tcBorders>
            <w:shd w:val="clear" w:color="auto" w:fill="E93BAB"/>
          </w:tcPr>
          <w:p>
            <w:pPr>
              <w:spacing w:after="0"/>
              <w:rPr>
                <w:sz w:val="5"/>
                <w:szCs w:val="5"/>
                <w:color w:val="auto"/>
              </w:rPr>
            </w:pPr>
          </w:p>
        </w:tc>
        <w:tc>
          <w:tcPr>
            <w:tcW w:w="2240" w:type="dxa"/>
            <w:vAlign w:val="bottom"/>
            <w:tcBorders>
              <w:right w:val="single" w:sz="8" w:color="E93BAB"/>
            </w:tcBorders>
            <w:shd w:val="clear" w:color="auto" w:fill="E93BAB"/>
          </w:tcPr>
          <w:p>
            <w:pPr>
              <w:spacing w:after="0"/>
              <w:rPr>
                <w:sz w:val="5"/>
                <w:szCs w:val="5"/>
                <w:color w:val="auto"/>
              </w:rPr>
            </w:pPr>
          </w:p>
        </w:tc>
        <w:tc>
          <w:tcPr>
            <w:tcW w:w="2420" w:type="dxa"/>
            <w:vAlign w:val="bottom"/>
            <w:gridSpan w:val="2"/>
            <w:shd w:val="clear" w:color="auto" w:fill="E93BAB"/>
          </w:tcPr>
          <w:p>
            <w:pPr>
              <w:spacing w:after="0"/>
              <w:rPr>
                <w:sz w:val="5"/>
                <w:szCs w:val="5"/>
                <w:color w:val="auto"/>
              </w:rPr>
            </w:pPr>
          </w:p>
        </w:tc>
        <w:tc>
          <w:tcPr>
            <w:tcW w:w="1300" w:type="dxa"/>
            <w:vAlign w:val="bottom"/>
            <w:tcBorders>
              <w:right w:val="single" w:sz="8" w:color="E93BAB"/>
            </w:tcBorders>
            <w:shd w:val="clear" w:color="auto" w:fill="E93BAB"/>
          </w:tcPr>
          <w:p>
            <w:pPr>
              <w:spacing w:after="0"/>
              <w:rPr>
                <w:sz w:val="5"/>
                <w:szCs w:val="5"/>
                <w:color w:val="auto"/>
              </w:rPr>
            </w:pPr>
          </w:p>
        </w:tc>
        <w:tc>
          <w:tcPr>
            <w:tcW w:w="880" w:type="dxa"/>
            <w:vAlign w:val="bottom"/>
            <w:shd w:val="clear" w:color="auto" w:fill="E93BAB"/>
          </w:tcPr>
          <w:p>
            <w:pPr>
              <w:spacing w:after="0"/>
              <w:rPr>
                <w:sz w:val="5"/>
                <w:szCs w:val="5"/>
                <w:color w:val="auto"/>
              </w:rPr>
            </w:pPr>
          </w:p>
        </w:tc>
        <w:tc>
          <w:tcPr>
            <w:tcW w:w="1580" w:type="dxa"/>
            <w:vAlign w:val="bottom"/>
            <w:tcBorders>
              <w:right w:val="single" w:sz="8" w:color="E93BAB"/>
            </w:tcBorders>
            <w:shd w:val="clear" w:color="auto" w:fill="E93BAB"/>
          </w:tcPr>
          <w:p>
            <w:pPr>
              <w:spacing w:after="0"/>
              <w:rPr>
                <w:sz w:val="5"/>
                <w:szCs w:val="5"/>
                <w:color w:val="auto"/>
              </w:rPr>
            </w:pPr>
          </w:p>
        </w:tc>
      </w:tr>
      <w:tr>
        <w:trPr>
          <w:trHeight w:val="389"/>
        </w:trPr>
        <w:tc>
          <w:tcPr>
            <w:tcW w:w="2840" w:type="dxa"/>
            <w:vAlign w:val="bottom"/>
          </w:tcPr>
          <w:p>
            <w:pPr>
              <w:spacing w:after="0"/>
              <w:rPr>
                <w:sz w:val="24"/>
                <w:szCs w:val="24"/>
                <w:color w:val="auto"/>
              </w:rPr>
            </w:pPr>
          </w:p>
        </w:tc>
        <w:tc>
          <w:tcPr>
            <w:tcW w:w="4660" w:type="dxa"/>
            <w:vAlign w:val="bottom"/>
            <w:gridSpan w:val="3"/>
          </w:tcPr>
          <w:p>
            <w:pPr>
              <w:ind w:left="920"/>
              <w:spacing w:after="0"/>
              <w:rPr>
                <w:sz w:val="20"/>
                <w:szCs w:val="20"/>
                <w:color w:val="auto"/>
              </w:rPr>
            </w:pPr>
            <w:r>
              <w:rPr>
                <w:rFonts w:ascii="Arial" w:cs="Arial" w:eastAsia="Arial" w:hAnsi="Arial"/>
                <w:sz w:val="16"/>
                <w:szCs w:val="16"/>
                <w:b w:val="1"/>
                <w:bCs w:val="1"/>
                <w:color w:val="auto"/>
              </w:rPr>
              <w:t>Total Portfolio Quality (in Quarter-end Balances)</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9"/>
        </w:trPr>
        <w:tc>
          <w:tcPr>
            <w:tcW w:w="28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126"/>
        </w:trPr>
        <w:tc>
          <w:tcPr>
            <w:tcW w:w="2840" w:type="dxa"/>
            <w:vAlign w:val="bottom"/>
            <w:tcBorders>
              <w:left w:val="single" w:sz="8" w:color="auto"/>
            </w:tcBorders>
            <w:shd w:val="clear" w:color="auto" w:fill="2AD2C9"/>
          </w:tcPr>
          <w:p>
            <w:pPr>
              <w:ind w:left="60"/>
              <w:spacing w:after="0"/>
              <w:rPr>
                <w:sz w:val="20"/>
                <w:szCs w:val="20"/>
                <w:color w:val="auto"/>
              </w:rPr>
            </w:pPr>
            <w:r>
              <w:rPr>
                <w:rFonts w:ascii="Arial" w:cs="Arial" w:eastAsia="Arial" w:hAnsi="Arial"/>
                <w:sz w:val="11"/>
                <w:szCs w:val="11"/>
                <w:b w:val="1"/>
                <w:bCs w:val="1"/>
                <w:color w:val="FFFFFF"/>
              </w:rPr>
              <w:t>Loan Portfolio quality and Delinquency ratios</w:t>
            </w:r>
          </w:p>
        </w:tc>
        <w:tc>
          <w:tcPr>
            <w:tcW w:w="2240" w:type="dxa"/>
            <w:vAlign w:val="bottom"/>
            <w:tcBorders>
              <w:right w:val="single" w:sz="8" w:color="auto"/>
            </w:tcBorders>
            <w:shd w:val="clear" w:color="auto" w:fill="2AD2C9"/>
          </w:tcPr>
          <w:p>
            <w:pPr>
              <w:spacing w:after="0"/>
              <w:rPr>
                <w:sz w:val="10"/>
                <w:szCs w:val="10"/>
                <w:color w:val="auto"/>
              </w:rPr>
            </w:pPr>
          </w:p>
        </w:tc>
        <w:tc>
          <w:tcPr>
            <w:tcW w:w="1220" w:type="dxa"/>
            <w:vAlign w:val="bottom"/>
            <w:shd w:val="clear" w:color="auto" w:fill="2AD2C9"/>
          </w:tcPr>
          <w:p>
            <w:pPr>
              <w:spacing w:after="0"/>
              <w:rPr>
                <w:sz w:val="10"/>
                <w:szCs w:val="10"/>
                <w:color w:val="auto"/>
              </w:rPr>
            </w:pPr>
          </w:p>
        </w:tc>
        <w:tc>
          <w:tcPr>
            <w:tcW w:w="1200" w:type="dxa"/>
            <w:vAlign w:val="bottom"/>
            <w:shd w:val="clear" w:color="auto" w:fill="2AD2C9"/>
          </w:tcPr>
          <w:p>
            <w:pPr>
              <w:jc w:val="center"/>
              <w:spacing w:after="0"/>
              <w:rPr>
                <w:sz w:val="20"/>
                <w:szCs w:val="20"/>
                <w:color w:val="auto"/>
              </w:rPr>
            </w:pPr>
            <w:r>
              <w:rPr>
                <w:rFonts w:ascii="Arial" w:cs="Arial" w:eastAsia="Arial" w:hAnsi="Arial"/>
                <w:sz w:val="11"/>
                <w:szCs w:val="11"/>
                <w:b w:val="1"/>
                <w:bCs w:val="1"/>
                <w:color w:val="FFFFFF"/>
              </w:rPr>
              <w:t>As of</w:t>
            </w:r>
          </w:p>
        </w:tc>
        <w:tc>
          <w:tcPr>
            <w:tcW w:w="1300" w:type="dxa"/>
            <w:vAlign w:val="bottom"/>
            <w:tcBorders>
              <w:right w:val="single" w:sz="8" w:color="auto"/>
            </w:tcBorders>
            <w:shd w:val="clear" w:color="auto" w:fill="2AD2C9"/>
          </w:tcPr>
          <w:p>
            <w:pPr>
              <w:spacing w:after="0"/>
              <w:rPr>
                <w:sz w:val="10"/>
                <w:szCs w:val="10"/>
                <w:color w:val="auto"/>
              </w:rPr>
            </w:pPr>
          </w:p>
        </w:tc>
        <w:tc>
          <w:tcPr>
            <w:tcW w:w="880" w:type="dxa"/>
            <w:vAlign w:val="bottom"/>
            <w:shd w:val="clear" w:color="auto" w:fill="2AD2C9"/>
          </w:tcPr>
          <w:p>
            <w:pPr>
              <w:spacing w:after="0"/>
              <w:rPr>
                <w:sz w:val="10"/>
                <w:szCs w:val="10"/>
                <w:color w:val="auto"/>
              </w:rPr>
            </w:pPr>
          </w:p>
        </w:tc>
        <w:tc>
          <w:tcPr>
            <w:tcW w:w="1580" w:type="dxa"/>
            <w:vAlign w:val="bottom"/>
            <w:tcBorders>
              <w:right w:val="single" w:sz="8" w:color="auto"/>
            </w:tcBorders>
            <w:shd w:val="clear" w:color="auto" w:fill="2AD2C9"/>
          </w:tcPr>
          <w:p>
            <w:pPr>
              <w:ind w:left="60"/>
              <w:spacing w:after="0"/>
              <w:rPr>
                <w:sz w:val="20"/>
                <w:szCs w:val="20"/>
                <w:color w:val="auto"/>
              </w:rPr>
            </w:pPr>
            <w:r>
              <w:rPr>
                <w:rFonts w:ascii="Arial" w:cs="Arial" w:eastAsia="Arial" w:hAnsi="Arial"/>
                <w:sz w:val="11"/>
                <w:szCs w:val="11"/>
                <w:b w:val="1"/>
                <w:bCs w:val="1"/>
                <w:color w:val="FFFFFF"/>
              </w:rPr>
              <w:t>% change</w:t>
            </w:r>
          </w:p>
        </w:tc>
      </w:tr>
      <w:tr>
        <w:trPr>
          <w:trHeight w:val="134"/>
        </w:trPr>
        <w:tc>
          <w:tcPr>
            <w:tcW w:w="2840" w:type="dxa"/>
            <w:vAlign w:val="bottom"/>
            <w:tcBorders>
              <w:left w:val="single" w:sz="8" w:color="auto"/>
              <w:bottom w:val="single" w:sz="8" w:color="auto"/>
            </w:tcBorders>
            <w:shd w:val="clear" w:color="auto" w:fill="2AD2C9"/>
          </w:tcPr>
          <w:p>
            <w:pPr>
              <w:ind w:left="60"/>
              <w:spacing w:after="0"/>
              <w:rPr>
                <w:sz w:val="20"/>
                <w:szCs w:val="20"/>
                <w:color w:val="auto"/>
              </w:rPr>
            </w:pPr>
            <w:r>
              <w:rPr>
                <w:rFonts w:ascii="Arial" w:cs="Arial" w:eastAsia="Arial" w:hAnsi="Arial"/>
                <w:sz w:val="11"/>
                <w:szCs w:val="11"/>
                <w:b w:val="1"/>
                <w:bCs w:val="1"/>
                <w:color w:val="FFFFFF"/>
              </w:rPr>
              <w:t>S/ 000</w:t>
            </w:r>
          </w:p>
        </w:tc>
        <w:tc>
          <w:tcPr>
            <w:tcW w:w="2240" w:type="dxa"/>
            <w:vAlign w:val="bottom"/>
            <w:tcBorders>
              <w:bottom w:val="single" w:sz="8" w:color="auto"/>
              <w:right w:val="single" w:sz="8" w:color="auto"/>
            </w:tcBorders>
            <w:shd w:val="clear" w:color="auto" w:fill="2AD2C9"/>
          </w:tcPr>
          <w:p>
            <w:pPr>
              <w:spacing w:after="0"/>
              <w:rPr>
                <w:sz w:val="11"/>
                <w:szCs w:val="11"/>
                <w:color w:val="auto"/>
              </w:rPr>
            </w:pPr>
          </w:p>
        </w:tc>
        <w:tc>
          <w:tcPr>
            <w:tcW w:w="1220" w:type="dxa"/>
            <w:vAlign w:val="bottom"/>
            <w:tcBorders>
              <w:bottom w:val="single" w:sz="8" w:color="auto"/>
            </w:tcBorders>
            <w:shd w:val="clear" w:color="auto" w:fill="2AD2C9"/>
          </w:tcPr>
          <w:p>
            <w:pPr>
              <w:ind w:left="420"/>
              <w:spacing w:after="0"/>
              <w:rPr>
                <w:sz w:val="20"/>
                <w:szCs w:val="20"/>
                <w:color w:val="auto"/>
              </w:rPr>
            </w:pPr>
            <w:r>
              <w:rPr>
                <w:rFonts w:ascii="Arial" w:cs="Arial" w:eastAsia="Arial" w:hAnsi="Arial"/>
                <w:sz w:val="11"/>
                <w:szCs w:val="11"/>
                <w:b w:val="1"/>
                <w:bCs w:val="1"/>
                <w:color w:val="FFFFFF"/>
              </w:rPr>
              <w:t>Dec 22</w:t>
            </w:r>
          </w:p>
        </w:tc>
        <w:tc>
          <w:tcPr>
            <w:tcW w:w="12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Sep 23</w:t>
            </w:r>
          </w:p>
        </w:tc>
        <w:tc>
          <w:tcPr>
            <w:tcW w:w="1300" w:type="dxa"/>
            <w:vAlign w:val="bottom"/>
            <w:tcBorders>
              <w:bottom w:val="single" w:sz="8" w:color="auto"/>
              <w:right w:val="single" w:sz="8" w:color="auto"/>
            </w:tcBorders>
            <w:shd w:val="clear" w:color="auto" w:fill="2AD2C9"/>
          </w:tcPr>
          <w:p>
            <w:pPr>
              <w:ind w:left="480"/>
              <w:spacing w:after="0"/>
              <w:rPr>
                <w:sz w:val="20"/>
                <w:szCs w:val="20"/>
                <w:color w:val="auto"/>
              </w:rPr>
            </w:pPr>
            <w:r>
              <w:rPr>
                <w:rFonts w:ascii="Arial" w:cs="Arial" w:eastAsia="Arial" w:hAnsi="Arial"/>
                <w:sz w:val="11"/>
                <w:szCs w:val="11"/>
                <w:b w:val="1"/>
                <w:bCs w:val="1"/>
                <w:color w:val="FFFFFF"/>
              </w:rPr>
              <w:t>Dec 23</w:t>
            </w:r>
          </w:p>
        </w:tc>
        <w:tc>
          <w:tcPr>
            <w:tcW w:w="880" w:type="dxa"/>
            <w:vAlign w:val="bottom"/>
            <w:tcBorders>
              <w:bottom w:val="single" w:sz="8" w:color="auto"/>
            </w:tcBorders>
            <w:shd w:val="clear" w:color="auto" w:fill="2AD2C9"/>
          </w:tcPr>
          <w:p>
            <w:pPr>
              <w:jc w:val="center"/>
              <w:ind w:left="263"/>
              <w:spacing w:after="0"/>
              <w:rPr>
                <w:sz w:val="20"/>
                <w:szCs w:val="20"/>
                <w:color w:val="auto"/>
              </w:rPr>
            </w:pPr>
            <w:r>
              <w:rPr>
                <w:rFonts w:ascii="Arial" w:cs="Arial" w:eastAsia="Arial" w:hAnsi="Arial"/>
                <w:sz w:val="11"/>
                <w:szCs w:val="11"/>
                <w:b w:val="1"/>
                <w:bCs w:val="1"/>
                <w:color w:val="FFFFFF"/>
              </w:rPr>
              <w:t>QoQ</w:t>
            </w:r>
          </w:p>
        </w:tc>
        <w:tc>
          <w:tcPr>
            <w:tcW w:w="1580" w:type="dxa"/>
            <w:vAlign w:val="bottom"/>
            <w:tcBorders>
              <w:bottom w:val="single" w:sz="8" w:color="auto"/>
              <w:right w:val="single" w:sz="8" w:color="auto"/>
            </w:tcBorders>
            <w:shd w:val="clear" w:color="auto" w:fill="2AD2C9"/>
          </w:tcPr>
          <w:p>
            <w:pPr>
              <w:jc w:val="center"/>
              <w:ind w:left="243"/>
              <w:spacing w:after="0"/>
              <w:rPr>
                <w:sz w:val="20"/>
                <w:szCs w:val="20"/>
                <w:color w:val="auto"/>
              </w:rPr>
            </w:pPr>
            <w:r>
              <w:rPr>
                <w:rFonts w:ascii="Arial" w:cs="Arial" w:eastAsia="Arial" w:hAnsi="Arial"/>
                <w:sz w:val="11"/>
                <w:szCs w:val="11"/>
                <w:b w:val="1"/>
                <w:bCs w:val="1"/>
                <w:color w:val="FFFFFF"/>
                <w:w w:val="93"/>
              </w:rPr>
              <w:t>YoY</w:t>
            </w:r>
          </w:p>
        </w:tc>
      </w:tr>
      <w:tr>
        <w:trPr>
          <w:trHeight w:val="126"/>
        </w:trPr>
        <w:tc>
          <w:tcPr>
            <w:tcW w:w="28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1"/>
                <w:szCs w:val="11"/>
                <w:b w:val="1"/>
                <w:bCs w:val="1"/>
                <w:color w:val="auto"/>
              </w:rPr>
              <w:t>Total loans (Quarter-end balance)</w:t>
            </w:r>
          </w:p>
        </w:tc>
        <w:tc>
          <w:tcPr>
            <w:tcW w:w="22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148,626,374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145,129,260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144,976,051</w:t>
            </w:r>
          </w:p>
        </w:tc>
        <w:tc>
          <w:tcPr>
            <w:tcW w:w="88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rPr>
              <w:t>-0.1%</w:t>
            </w:r>
          </w:p>
        </w:tc>
        <w:tc>
          <w:tcPr>
            <w:tcW w:w="1580" w:type="dxa"/>
            <w:vAlign w:val="bottom"/>
            <w:tcBorders>
              <w:bottom w:val="single" w:sz="8" w:color="auto"/>
              <w:right w:val="single" w:sz="8" w:color="auto"/>
            </w:tcBorders>
          </w:tcPr>
          <w:p>
            <w:pPr>
              <w:jc w:val="center"/>
              <w:ind w:left="263"/>
              <w:spacing w:after="0"/>
              <w:rPr>
                <w:sz w:val="20"/>
                <w:szCs w:val="20"/>
                <w:color w:val="auto"/>
              </w:rPr>
            </w:pPr>
            <w:r>
              <w:rPr>
                <w:rFonts w:ascii="Arial" w:cs="Arial" w:eastAsia="Arial" w:hAnsi="Arial"/>
                <w:sz w:val="11"/>
                <w:szCs w:val="11"/>
                <w:b w:val="1"/>
                <w:bCs w:val="1"/>
                <w:color w:val="auto"/>
              </w:rPr>
              <w:t>-2.5%</w:t>
            </w:r>
          </w:p>
        </w:tc>
      </w:tr>
      <w:tr>
        <w:trPr>
          <w:trHeight w:val="126"/>
        </w:trPr>
        <w:tc>
          <w:tcPr>
            <w:tcW w:w="28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1"/>
                <w:szCs w:val="11"/>
                <w:color w:val="auto"/>
              </w:rPr>
              <w:t>Allowance for loan losses</w:t>
            </w:r>
          </w:p>
        </w:tc>
        <w:tc>
          <w:tcPr>
            <w:tcW w:w="22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7,872,402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8,056,216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8,277,916</w:t>
            </w:r>
          </w:p>
        </w:tc>
        <w:tc>
          <w:tcPr>
            <w:tcW w:w="88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color w:val="auto"/>
              </w:rPr>
              <w:t>2.8%</w:t>
            </w:r>
          </w:p>
        </w:tc>
        <w:tc>
          <w:tcPr>
            <w:tcW w:w="1580" w:type="dxa"/>
            <w:vAlign w:val="bottom"/>
            <w:tcBorders>
              <w:bottom w:val="single" w:sz="8" w:color="auto"/>
              <w:right w:val="single" w:sz="8" w:color="auto"/>
            </w:tcBorders>
          </w:tcPr>
          <w:p>
            <w:pPr>
              <w:jc w:val="center"/>
              <w:ind w:left="263"/>
              <w:spacing w:after="0"/>
              <w:rPr>
                <w:sz w:val="20"/>
                <w:szCs w:val="20"/>
                <w:color w:val="auto"/>
              </w:rPr>
            </w:pPr>
            <w:r>
              <w:rPr>
                <w:rFonts w:ascii="Arial" w:cs="Arial" w:eastAsia="Arial" w:hAnsi="Arial"/>
                <w:sz w:val="11"/>
                <w:szCs w:val="11"/>
                <w:color w:val="auto"/>
              </w:rPr>
              <w:t>5.2%</w:t>
            </w:r>
          </w:p>
        </w:tc>
      </w:tr>
      <w:tr>
        <w:trPr>
          <w:trHeight w:val="126"/>
        </w:trPr>
        <w:tc>
          <w:tcPr>
            <w:tcW w:w="28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1"/>
                <w:szCs w:val="11"/>
                <w:color w:val="auto"/>
              </w:rPr>
              <w:t>Write-offs</w:t>
            </w:r>
          </w:p>
        </w:tc>
        <w:tc>
          <w:tcPr>
            <w:tcW w:w="22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754,326</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1,018,084</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879,401</w:t>
            </w:r>
          </w:p>
        </w:tc>
        <w:tc>
          <w:tcPr>
            <w:tcW w:w="880" w:type="dxa"/>
            <w:vAlign w:val="bottom"/>
            <w:tcBorders>
              <w:bottom w:val="single" w:sz="8" w:color="auto"/>
            </w:tcBorders>
          </w:tcPr>
          <w:p>
            <w:pPr>
              <w:jc w:val="center"/>
              <w:ind w:left="263"/>
              <w:spacing w:after="0"/>
              <w:rPr>
                <w:sz w:val="20"/>
                <w:szCs w:val="20"/>
                <w:color w:val="auto"/>
              </w:rPr>
            </w:pPr>
            <w:r>
              <w:rPr>
                <w:rFonts w:ascii="Arial" w:cs="Arial" w:eastAsia="Arial" w:hAnsi="Arial"/>
                <w:sz w:val="11"/>
                <w:szCs w:val="11"/>
                <w:color w:val="auto"/>
              </w:rPr>
              <w:t>-13.6%</w:t>
            </w:r>
          </w:p>
        </w:tc>
        <w:tc>
          <w:tcPr>
            <w:tcW w:w="1580" w:type="dxa"/>
            <w:vAlign w:val="bottom"/>
            <w:tcBorders>
              <w:bottom w:val="single" w:sz="8" w:color="auto"/>
              <w:right w:val="single" w:sz="8" w:color="auto"/>
            </w:tcBorders>
          </w:tcPr>
          <w:p>
            <w:pPr>
              <w:jc w:val="center"/>
              <w:ind w:left="243"/>
              <w:spacing w:after="0"/>
              <w:rPr>
                <w:sz w:val="20"/>
                <w:szCs w:val="20"/>
                <w:color w:val="auto"/>
              </w:rPr>
            </w:pPr>
            <w:r>
              <w:rPr>
                <w:rFonts w:ascii="Arial" w:cs="Arial" w:eastAsia="Arial" w:hAnsi="Arial"/>
                <w:sz w:val="11"/>
                <w:szCs w:val="11"/>
                <w:color w:val="auto"/>
              </w:rPr>
              <w:t>16.6%</w:t>
            </w:r>
          </w:p>
        </w:tc>
      </w:tr>
      <w:tr>
        <w:trPr>
          <w:trHeight w:val="118"/>
        </w:trPr>
        <w:tc>
          <w:tcPr>
            <w:tcW w:w="2840" w:type="dxa"/>
            <w:vAlign w:val="bottom"/>
            <w:tcBorders>
              <w:left w:val="single" w:sz="8" w:color="auto"/>
            </w:tcBorders>
          </w:tcPr>
          <w:p>
            <w:pPr>
              <w:ind w:left="60"/>
              <w:spacing w:after="0" w:line="118" w:lineRule="exact"/>
              <w:rPr>
                <w:sz w:val="20"/>
                <w:szCs w:val="20"/>
                <w:color w:val="auto"/>
              </w:rPr>
            </w:pPr>
            <w:r>
              <w:rPr>
                <w:rFonts w:ascii="Arial" w:cs="Arial" w:eastAsia="Arial" w:hAnsi="Arial"/>
                <w:sz w:val="9"/>
                <w:szCs w:val="9"/>
                <w:color w:val="auto"/>
              </w:rPr>
              <w:t xml:space="preserve">Internal overdue loans (IOLs) </w:t>
            </w:r>
            <w:r>
              <w:rPr>
                <w:rFonts w:ascii="Arial" w:cs="Arial" w:eastAsia="Arial" w:hAnsi="Arial"/>
                <w:sz w:val="13"/>
                <w:szCs w:val="13"/>
                <w:color w:val="auto"/>
                <w:vertAlign w:val="superscript"/>
              </w:rPr>
              <w:t>(1)(2)</w:t>
            </w:r>
          </w:p>
        </w:tc>
        <w:tc>
          <w:tcPr>
            <w:tcW w:w="224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Arial" w:cs="Arial" w:eastAsia="Arial" w:hAnsi="Arial"/>
                <w:sz w:val="11"/>
                <w:szCs w:val="11"/>
                <w:color w:val="auto"/>
              </w:rPr>
              <w:t>5,939,744</w:t>
            </w:r>
          </w:p>
        </w:tc>
        <w:tc>
          <w:tcPr>
            <w:tcW w:w="1200" w:type="dxa"/>
            <w:vAlign w:val="bottom"/>
          </w:tcPr>
          <w:p>
            <w:pPr>
              <w:jc w:val="center"/>
              <w:spacing w:after="0" w:line="118" w:lineRule="exact"/>
              <w:rPr>
                <w:sz w:val="20"/>
                <w:szCs w:val="20"/>
                <w:color w:val="auto"/>
              </w:rPr>
            </w:pPr>
            <w:r>
              <w:rPr>
                <w:rFonts w:ascii="Arial" w:cs="Arial" w:eastAsia="Arial" w:hAnsi="Arial"/>
                <w:sz w:val="11"/>
                <w:szCs w:val="11"/>
                <w:color w:val="auto"/>
              </w:rPr>
              <w:t>6,406,345</w:t>
            </w:r>
          </w:p>
        </w:tc>
        <w:tc>
          <w:tcPr>
            <w:tcW w:w="130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1"/>
                <w:szCs w:val="11"/>
                <w:color w:val="auto"/>
              </w:rPr>
              <w:t>6,126,487</w:t>
            </w:r>
          </w:p>
        </w:tc>
        <w:tc>
          <w:tcPr>
            <w:tcW w:w="880" w:type="dxa"/>
            <w:vAlign w:val="bottom"/>
          </w:tcPr>
          <w:p>
            <w:pPr>
              <w:jc w:val="center"/>
              <w:ind w:left="243"/>
              <w:spacing w:after="0" w:line="118" w:lineRule="exact"/>
              <w:rPr>
                <w:sz w:val="20"/>
                <w:szCs w:val="20"/>
                <w:color w:val="auto"/>
              </w:rPr>
            </w:pPr>
            <w:r>
              <w:rPr>
                <w:rFonts w:ascii="Arial" w:cs="Arial" w:eastAsia="Arial" w:hAnsi="Arial"/>
                <w:sz w:val="11"/>
                <w:szCs w:val="11"/>
                <w:color w:val="auto"/>
              </w:rPr>
              <w:t>-4.4%</w:t>
            </w:r>
          </w:p>
        </w:tc>
        <w:tc>
          <w:tcPr>
            <w:tcW w:w="1580" w:type="dxa"/>
            <w:vAlign w:val="bottom"/>
            <w:tcBorders>
              <w:right w:val="single" w:sz="8" w:color="auto"/>
            </w:tcBorders>
          </w:tcPr>
          <w:p>
            <w:pPr>
              <w:jc w:val="center"/>
              <w:ind w:left="263"/>
              <w:spacing w:after="0" w:line="118" w:lineRule="exact"/>
              <w:rPr>
                <w:sz w:val="20"/>
                <w:szCs w:val="20"/>
                <w:color w:val="auto"/>
              </w:rPr>
            </w:pPr>
            <w:r>
              <w:rPr>
                <w:rFonts w:ascii="Arial" w:cs="Arial" w:eastAsia="Arial" w:hAnsi="Arial"/>
                <w:sz w:val="11"/>
                <w:szCs w:val="11"/>
                <w:color w:val="auto"/>
              </w:rPr>
              <w:t>3.1%</w:t>
            </w:r>
          </w:p>
        </w:tc>
      </w:tr>
      <w:tr>
        <w:trPr>
          <w:trHeight w:val="134"/>
        </w:trPr>
        <w:tc>
          <w:tcPr>
            <w:tcW w:w="2840" w:type="dxa"/>
            <w:vAlign w:val="bottom"/>
            <w:tcBorders>
              <w:left w:val="single" w:sz="8" w:color="auto"/>
            </w:tcBorders>
          </w:tcPr>
          <w:p>
            <w:pPr>
              <w:ind w:left="60"/>
              <w:spacing w:after="0" w:line="134" w:lineRule="exact"/>
              <w:rPr>
                <w:sz w:val="20"/>
                <w:szCs w:val="20"/>
                <w:color w:val="auto"/>
              </w:rPr>
            </w:pPr>
            <w:r>
              <w:rPr>
                <w:rFonts w:ascii="Arial" w:cs="Arial" w:eastAsia="Arial" w:hAnsi="Arial"/>
                <w:sz w:val="10"/>
                <w:szCs w:val="10"/>
                <w:color w:val="auto"/>
              </w:rPr>
              <w:t xml:space="preserve">Internal overdue loans over 90-days </w:t>
            </w:r>
            <w:r>
              <w:rPr>
                <w:rFonts w:ascii="Arial" w:cs="Arial" w:eastAsia="Arial" w:hAnsi="Arial"/>
                <w:sz w:val="15"/>
                <w:szCs w:val="15"/>
                <w:color w:val="auto"/>
                <w:vertAlign w:val="superscript"/>
              </w:rPr>
              <w:t>(1)</w:t>
            </w:r>
          </w:p>
        </w:tc>
        <w:tc>
          <w:tcPr>
            <w:tcW w:w="2240" w:type="dxa"/>
            <w:vAlign w:val="bottom"/>
            <w:tcBorders>
              <w:right w:val="single" w:sz="8" w:color="auto"/>
            </w:tcBorders>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4,620,461</w:t>
            </w:r>
          </w:p>
        </w:tc>
        <w:tc>
          <w:tcPr>
            <w:tcW w:w="1200" w:type="dxa"/>
            <w:vAlign w:val="bottom"/>
          </w:tcPr>
          <w:p>
            <w:pPr>
              <w:jc w:val="center"/>
              <w:spacing w:after="0"/>
              <w:rPr>
                <w:sz w:val="20"/>
                <w:szCs w:val="20"/>
                <w:color w:val="auto"/>
              </w:rPr>
            </w:pPr>
            <w:r>
              <w:rPr>
                <w:rFonts w:ascii="Arial" w:cs="Arial" w:eastAsia="Arial" w:hAnsi="Arial"/>
                <w:sz w:val="11"/>
                <w:szCs w:val="11"/>
                <w:color w:val="auto"/>
              </w:rPr>
              <w:t>5,133,832</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5,018,489</w:t>
            </w:r>
          </w:p>
        </w:tc>
        <w:tc>
          <w:tcPr>
            <w:tcW w:w="880" w:type="dxa"/>
            <w:vAlign w:val="bottom"/>
          </w:tcPr>
          <w:p>
            <w:pPr>
              <w:jc w:val="center"/>
              <w:ind w:left="243"/>
              <w:spacing w:after="0"/>
              <w:rPr>
                <w:sz w:val="20"/>
                <w:szCs w:val="20"/>
                <w:color w:val="auto"/>
              </w:rPr>
            </w:pPr>
            <w:r>
              <w:rPr>
                <w:rFonts w:ascii="Arial" w:cs="Arial" w:eastAsia="Arial" w:hAnsi="Arial"/>
                <w:sz w:val="11"/>
                <w:szCs w:val="11"/>
                <w:color w:val="auto"/>
              </w:rPr>
              <w:t>-2.2%</w:t>
            </w:r>
          </w:p>
        </w:tc>
        <w:tc>
          <w:tcPr>
            <w:tcW w:w="1580" w:type="dxa"/>
            <w:vAlign w:val="bottom"/>
            <w:tcBorders>
              <w:right w:val="single" w:sz="8" w:color="auto"/>
            </w:tcBorders>
          </w:tcPr>
          <w:p>
            <w:pPr>
              <w:jc w:val="center"/>
              <w:ind w:left="263"/>
              <w:spacing w:after="0"/>
              <w:rPr>
                <w:sz w:val="20"/>
                <w:szCs w:val="20"/>
                <w:color w:val="auto"/>
              </w:rPr>
            </w:pPr>
            <w:r>
              <w:rPr>
                <w:rFonts w:ascii="Arial" w:cs="Arial" w:eastAsia="Arial" w:hAnsi="Arial"/>
                <w:sz w:val="11"/>
                <w:szCs w:val="11"/>
                <w:color w:val="auto"/>
              </w:rPr>
              <w:t>8.6%</w:t>
            </w:r>
          </w:p>
        </w:tc>
      </w:tr>
      <w:tr>
        <w:trPr>
          <w:trHeight w:val="134"/>
        </w:trPr>
        <w:tc>
          <w:tcPr>
            <w:tcW w:w="2840" w:type="dxa"/>
            <w:vAlign w:val="bottom"/>
            <w:tcBorders>
              <w:left w:val="single" w:sz="8" w:color="auto"/>
            </w:tcBorders>
          </w:tcPr>
          <w:p>
            <w:pPr>
              <w:ind w:left="60"/>
              <w:spacing w:after="0" w:line="134" w:lineRule="exact"/>
              <w:rPr>
                <w:sz w:val="20"/>
                <w:szCs w:val="20"/>
                <w:color w:val="auto"/>
              </w:rPr>
            </w:pPr>
            <w:r>
              <w:rPr>
                <w:rFonts w:ascii="Arial" w:cs="Arial" w:eastAsia="Arial" w:hAnsi="Arial"/>
                <w:sz w:val="10"/>
                <w:szCs w:val="10"/>
                <w:color w:val="auto"/>
              </w:rPr>
              <w:t xml:space="preserve">Refinanced Loans </w:t>
            </w:r>
            <w:r>
              <w:rPr>
                <w:rFonts w:ascii="Arial" w:cs="Arial" w:eastAsia="Arial" w:hAnsi="Arial"/>
                <w:sz w:val="15"/>
                <w:szCs w:val="15"/>
                <w:color w:val="auto"/>
                <w:vertAlign w:val="superscript"/>
              </w:rPr>
              <w:t>(2)</w:t>
            </w:r>
          </w:p>
        </w:tc>
        <w:tc>
          <w:tcPr>
            <w:tcW w:w="2240" w:type="dxa"/>
            <w:vAlign w:val="bottom"/>
            <w:tcBorders>
              <w:right w:val="single" w:sz="8" w:color="auto"/>
            </w:tcBorders>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2,098,748</w:t>
            </w:r>
          </w:p>
        </w:tc>
        <w:tc>
          <w:tcPr>
            <w:tcW w:w="1200" w:type="dxa"/>
            <w:vAlign w:val="bottom"/>
          </w:tcPr>
          <w:p>
            <w:pPr>
              <w:jc w:val="center"/>
              <w:spacing w:after="0"/>
              <w:rPr>
                <w:sz w:val="20"/>
                <w:szCs w:val="20"/>
                <w:color w:val="auto"/>
              </w:rPr>
            </w:pPr>
            <w:r>
              <w:rPr>
                <w:rFonts w:ascii="Arial" w:cs="Arial" w:eastAsia="Arial" w:hAnsi="Arial"/>
                <w:sz w:val="11"/>
                <w:szCs w:val="11"/>
                <w:color w:val="auto"/>
              </w:rPr>
              <w:t>2,253,098</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2,406,058</w:t>
            </w:r>
          </w:p>
        </w:tc>
        <w:tc>
          <w:tcPr>
            <w:tcW w:w="880" w:type="dxa"/>
            <w:vAlign w:val="bottom"/>
          </w:tcPr>
          <w:p>
            <w:pPr>
              <w:jc w:val="center"/>
              <w:ind w:left="243"/>
              <w:spacing w:after="0"/>
              <w:rPr>
                <w:sz w:val="20"/>
                <w:szCs w:val="20"/>
                <w:color w:val="auto"/>
              </w:rPr>
            </w:pPr>
            <w:r>
              <w:rPr>
                <w:rFonts w:ascii="Arial" w:cs="Arial" w:eastAsia="Arial" w:hAnsi="Arial"/>
                <w:sz w:val="11"/>
                <w:szCs w:val="11"/>
                <w:color w:val="auto"/>
              </w:rPr>
              <w:t>6.8%</w:t>
            </w:r>
          </w:p>
        </w:tc>
        <w:tc>
          <w:tcPr>
            <w:tcW w:w="1580" w:type="dxa"/>
            <w:vAlign w:val="bottom"/>
            <w:tcBorders>
              <w:right w:val="single" w:sz="8" w:color="auto"/>
            </w:tcBorders>
          </w:tcPr>
          <w:p>
            <w:pPr>
              <w:jc w:val="center"/>
              <w:ind w:left="243"/>
              <w:spacing w:after="0"/>
              <w:rPr>
                <w:sz w:val="20"/>
                <w:szCs w:val="20"/>
                <w:color w:val="auto"/>
              </w:rPr>
            </w:pPr>
            <w:r>
              <w:rPr>
                <w:rFonts w:ascii="Arial" w:cs="Arial" w:eastAsia="Arial" w:hAnsi="Arial"/>
                <w:sz w:val="11"/>
                <w:szCs w:val="11"/>
                <w:color w:val="auto"/>
              </w:rPr>
              <w:t>14.6%</w:t>
            </w:r>
          </w:p>
        </w:tc>
      </w:tr>
      <w:tr>
        <w:trPr>
          <w:trHeight w:val="142"/>
        </w:trPr>
        <w:tc>
          <w:tcPr>
            <w:tcW w:w="2840" w:type="dxa"/>
            <w:vAlign w:val="bottom"/>
            <w:tcBorders>
              <w:left w:val="single" w:sz="8" w:color="auto"/>
              <w:bottom w:val="single" w:sz="8" w:color="auto"/>
            </w:tcBorders>
          </w:tcPr>
          <w:p>
            <w:pPr>
              <w:ind w:left="60"/>
              <w:spacing w:after="0" w:line="142" w:lineRule="exact"/>
              <w:rPr>
                <w:sz w:val="20"/>
                <w:szCs w:val="20"/>
                <w:color w:val="auto"/>
              </w:rPr>
            </w:pPr>
            <w:r>
              <w:rPr>
                <w:rFonts w:ascii="Arial" w:cs="Arial" w:eastAsia="Arial" w:hAnsi="Arial"/>
                <w:sz w:val="10"/>
                <w:szCs w:val="10"/>
                <w:color w:val="auto"/>
              </w:rPr>
              <w:t xml:space="preserve">Non-performing loans (NPLs) </w:t>
            </w:r>
            <w:r>
              <w:rPr>
                <w:rFonts w:ascii="Arial" w:cs="Arial" w:eastAsia="Arial" w:hAnsi="Arial"/>
                <w:sz w:val="16"/>
                <w:szCs w:val="16"/>
                <w:color w:val="auto"/>
                <w:vertAlign w:val="superscript"/>
              </w:rPr>
              <w:t>(3)</w:t>
            </w:r>
          </w:p>
        </w:tc>
        <w:tc>
          <w:tcPr>
            <w:tcW w:w="2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8,038,492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8,659,443</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8,532,545</w:t>
            </w:r>
          </w:p>
        </w:tc>
        <w:tc>
          <w:tcPr>
            <w:tcW w:w="88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color w:val="auto"/>
              </w:rPr>
              <w:t>-1.5%</w:t>
            </w:r>
          </w:p>
        </w:tc>
        <w:tc>
          <w:tcPr>
            <w:tcW w:w="1580" w:type="dxa"/>
            <w:vAlign w:val="bottom"/>
            <w:tcBorders>
              <w:bottom w:val="single" w:sz="8" w:color="auto"/>
              <w:right w:val="single" w:sz="8" w:color="auto"/>
            </w:tcBorders>
          </w:tcPr>
          <w:p>
            <w:pPr>
              <w:jc w:val="center"/>
              <w:ind w:left="263"/>
              <w:spacing w:after="0"/>
              <w:rPr>
                <w:sz w:val="20"/>
                <w:szCs w:val="20"/>
                <w:color w:val="auto"/>
              </w:rPr>
            </w:pPr>
            <w:r>
              <w:rPr>
                <w:rFonts w:ascii="Arial" w:cs="Arial" w:eastAsia="Arial" w:hAnsi="Arial"/>
                <w:sz w:val="11"/>
                <w:szCs w:val="11"/>
                <w:color w:val="auto"/>
              </w:rPr>
              <w:t>6.1%</w:t>
            </w:r>
          </w:p>
        </w:tc>
      </w:tr>
      <w:tr>
        <w:trPr>
          <w:trHeight w:val="123"/>
        </w:trPr>
        <w:tc>
          <w:tcPr>
            <w:tcW w:w="2840" w:type="dxa"/>
            <w:vAlign w:val="bottom"/>
            <w:tcBorders>
              <w:left w:val="single" w:sz="8" w:color="auto"/>
            </w:tcBorders>
          </w:tcPr>
          <w:p>
            <w:pPr>
              <w:ind w:left="60"/>
              <w:spacing w:after="0" w:line="123" w:lineRule="exact"/>
              <w:rPr>
                <w:sz w:val="20"/>
                <w:szCs w:val="20"/>
                <w:color w:val="auto"/>
              </w:rPr>
            </w:pPr>
            <w:r>
              <w:rPr>
                <w:rFonts w:ascii="Arial" w:cs="Arial" w:eastAsia="Arial" w:hAnsi="Arial"/>
                <w:sz w:val="11"/>
                <w:szCs w:val="11"/>
                <w:b w:val="1"/>
                <w:bCs w:val="1"/>
                <w:color w:val="auto"/>
              </w:rPr>
              <w:t>IOL ratio</w:t>
            </w:r>
          </w:p>
        </w:tc>
        <w:tc>
          <w:tcPr>
            <w:tcW w:w="224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4.0%</w:t>
            </w:r>
          </w:p>
        </w:tc>
        <w:tc>
          <w:tcPr>
            <w:tcW w:w="1200" w:type="dxa"/>
            <w:vAlign w:val="bottom"/>
          </w:tcPr>
          <w:p>
            <w:pPr>
              <w:jc w:val="center"/>
              <w:ind w:left="3"/>
              <w:spacing w:after="0" w:line="123" w:lineRule="exact"/>
              <w:rPr>
                <w:sz w:val="20"/>
                <w:szCs w:val="20"/>
                <w:color w:val="auto"/>
              </w:rPr>
            </w:pPr>
            <w:r>
              <w:rPr>
                <w:rFonts w:ascii="Arial" w:cs="Arial" w:eastAsia="Arial" w:hAnsi="Arial"/>
                <w:sz w:val="11"/>
                <w:szCs w:val="11"/>
                <w:b w:val="1"/>
                <w:bCs w:val="1"/>
                <w:color w:val="auto"/>
              </w:rPr>
              <w:t>4.4%</w:t>
            </w:r>
          </w:p>
        </w:tc>
        <w:tc>
          <w:tcPr>
            <w:tcW w:w="13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1"/>
                <w:szCs w:val="11"/>
                <w:b w:val="1"/>
                <w:bCs w:val="1"/>
                <w:color w:val="auto"/>
                <w:w w:val="95"/>
              </w:rPr>
              <w:t>4.2%</w:t>
            </w:r>
          </w:p>
        </w:tc>
        <w:tc>
          <w:tcPr>
            <w:tcW w:w="880" w:type="dxa"/>
            <w:vAlign w:val="bottom"/>
          </w:tcPr>
          <w:p>
            <w:pPr>
              <w:jc w:val="center"/>
              <w:ind w:left="243"/>
              <w:spacing w:after="0" w:line="123" w:lineRule="exact"/>
              <w:rPr>
                <w:sz w:val="20"/>
                <w:szCs w:val="20"/>
                <w:color w:val="auto"/>
              </w:rPr>
            </w:pPr>
            <w:r>
              <w:rPr>
                <w:rFonts w:ascii="Arial" w:cs="Arial" w:eastAsia="Arial" w:hAnsi="Arial"/>
                <w:sz w:val="11"/>
                <w:szCs w:val="11"/>
                <w:color w:val="auto"/>
              </w:rPr>
              <w:t>-18 bps</w:t>
            </w:r>
          </w:p>
        </w:tc>
        <w:tc>
          <w:tcPr>
            <w:tcW w:w="1580" w:type="dxa"/>
            <w:vAlign w:val="bottom"/>
            <w:tcBorders>
              <w:right w:val="single" w:sz="8" w:color="auto"/>
            </w:tcBorders>
          </w:tcPr>
          <w:p>
            <w:pPr>
              <w:jc w:val="center"/>
              <w:ind w:left="263"/>
              <w:spacing w:after="0" w:line="123" w:lineRule="exact"/>
              <w:rPr>
                <w:sz w:val="20"/>
                <w:szCs w:val="20"/>
                <w:color w:val="auto"/>
              </w:rPr>
            </w:pPr>
            <w:r>
              <w:rPr>
                <w:rFonts w:ascii="Arial" w:cs="Arial" w:eastAsia="Arial" w:hAnsi="Arial"/>
                <w:sz w:val="11"/>
                <w:szCs w:val="11"/>
                <w:color w:val="auto"/>
              </w:rPr>
              <w:t>23 bps</w:t>
            </w:r>
          </w:p>
        </w:tc>
      </w:tr>
      <w:tr>
        <w:trPr>
          <w:trHeight w:val="134"/>
        </w:trPr>
        <w:tc>
          <w:tcPr>
            <w:tcW w:w="2840" w:type="dxa"/>
            <w:vAlign w:val="bottom"/>
            <w:tcBorders>
              <w:left w:val="single" w:sz="8" w:color="auto"/>
            </w:tcBorders>
          </w:tcPr>
          <w:p>
            <w:pPr>
              <w:ind w:left="60"/>
              <w:spacing w:after="0"/>
              <w:rPr>
                <w:sz w:val="20"/>
                <w:szCs w:val="20"/>
                <w:color w:val="auto"/>
              </w:rPr>
            </w:pPr>
            <w:r>
              <w:rPr>
                <w:rFonts w:ascii="Arial" w:cs="Arial" w:eastAsia="Arial" w:hAnsi="Arial"/>
                <w:sz w:val="11"/>
                <w:szCs w:val="11"/>
                <w:b w:val="1"/>
                <w:bCs w:val="1"/>
                <w:color w:val="auto"/>
              </w:rPr>
              <w:t>IOL over 90-days ratio</w:t>
            </w:r>
          </w:p>
        </w:tc>
        <w:tc>
          <w:tcPr>
            <w:tcW w:w="2240" w:type="dxa"/>
            <w:vAlign w:val="bottom"/>
            <w:tcBorders>
              <w:right w:val="single" w:sz="8" w:color="auto"/>
            </w:tcBorders>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rPr>
              <w:t>3.1%</w:t>
            </w:r>
          </w:p>
        </w:tc>
        <w:tc>
          <w:tcPr>
            <w:tcW w:w="1200" w:type="dxa"/>
            <w:vAlign w:val="bottom"/>
          </w:tcPr>
          <w:p>
            <w:pPr>
              <w:jc w:val="center"/>
              <w:ind w:left="3"/>
              <w:spacing w:after="0"/>
              <w:rPr>
                <w:sz w:val="20"/>
                <w:szCs w:val="20"/>
                <w:color w:val="auto"/>
              </w:rPr>
            </w:pPr>
            <w:r>
              <w:rPr>
                <w:rFonts w:ascii="Arial" w:cs="Arial" w:eastAsia="Arial" w:hAnsi="Arial"/>
                <w:sz w:val="11"/>
                <w:szCs w:val="11"/>
                <w:b w:val="1"/>
                <w:bCs w:val="1"/>
                <w:color w:val="auto"/>
              </w:rPr>
              <w:t>3.5%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3.5%</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rPr>
              <w:t>-8 bps</w:t>
            </w:r>
          </w:p>
        </w:tc>
        <w:tc>
          <w:tcPr>
            <w:tcW w:w="1580" w:type="dxa"/>
            <w:vAlign w:val="bottom"/>
            <w:tcBorders>
              <w:right w:val="single" w:sz="8" w:color="auto"/>
            </w:tcBorders>
          </w:tcPr>
          <w:p>
            <w:pPr>
              <w:jc w:val="center"/>
              <w:ind w:left="263"/>
              <w:spacing w:after="0"/>
              <w:rPr>
                <w:sz w:val="20"/>
                <w:szCs w:val="20"/>
                <w:color w:val="auto"/>
              </w:rPr>
            </w:pPr>
            <w:r>
              <w:rPr>
                <w:rFonts w:ascii="Arial" w:cs="Arial" w:eastAsia="Arial" w:hAnsi="Arial"/>
                <w:sz w:val="11"/>
                <w:szCs w:val="11"/>
                <w:color w:val="auto"/>
              </w:rPr>
              <w:t>35 bps</w:t>
            </w:r>
          </w:p>
        </w:tc>
      </w:tr>
      <w:tr>
        <w:trPr>
          <w:trHeight w:val="134"/>
        </w:trPr>
        <w:tc>
          <w:tcPr>
            <w:tcW w:w="2840" w:type="dxa"/>
            <w:vAlign w:val="bottom"/>
            <w:tcBorders>
              <w:left w:val="single" w:sz="8" w:color="auto"/>
            </w:tcBorders>
          </w:tcPr>
          <w:p>
            <w:pPr>
              <w:ind w:left="60"/>
              <w:spacing w:after="0"/>
              <w:rPr>
                <w:sz w:val="20"/>
                <w:szCs w:val="20"/>
                <w:color w:val="auto"/>
              </w:rPr>
            </w:pPr>
            <w:r>
              <w:rPr>
                <w:rFonts w:ascii="Arial" w:cs="Arial" w:eastAsia="Arial" w:hAnsi="Arial"/>
                <w:sz w:val="11"/>
                <w:szCs w:val="11"/>
                <w:b w:val="1"/>
                <w:bCs w:val="1"/>
                <w:color w:val="auto"/>
              </w:rPr>
              <w:t>NPL ratio</w:t>
            </w:r>
          </w:p>
        </w:tc>
        <w:tc>
          <w:tcPr>
            <w:tcW w:w="2240" w:type="dxa"/>
            <w:vAlign w:val="bottom"/>
            <w:tcBorders>
              <w:right w:val="single" w:sz="8" w:color="auto"/>
            </w:tcBorders>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rPr>
              <w:t>5.4%</w:t>
            </w:r>
          </w:p>
        </w:tc>
        <w:tc>
          <w:tcPr>
            <w:tcW w:w="1200" w:type="dxa"/>
            <w:vAlign w:val="bottom"/>
          </w:tcPr>
          <w:p>
            <w:pPr>
              <w:jc w:val="center"/>
              <w:ind w:left="3"/>
              <w:spacing w:after="0"/>
              <w:rPr>
                <w:sz w:val="20"/>
                <w:szCs w:val="20"/>
                <w:color w:val="auto"/>
              </w:rPr>
            </w:pPr>
            <w:r>
              <w:rPr>
                <w:rFonts w:ascii="Arial" w:cs="Arial" w:eastAsia="Arial" w:hAnsi="Arial"/>
                <w:sz w:val="11"/>
                <w:szCs w:val="11"/>
                <w:b w:val="1"/>
                <w:bCs w:val="1"/>
                <w:color w:val="auto"/>
              </w:rPr>
              <w:t>6.0%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5.9%</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rPr>
              <w:t>-8 bps</w:t>
            </w:r>
          </w:p>
        </w:tc>
        <w:tc>
          <w:tcPr>
            <w:tcW w:w="1580" w:type="dxa"/>
            <w:vAlign w:val="bottom"/>
            <w:tcBorders>
              <w:right w:val="single" w:sz="8" w:color="auto"/>
            </w:tcBorders>
          </w:tcPr>
          <w:p>
            <w:pPr>
              <w:jc w:val="center"/>
              <w:ind w:left="263"/>
              <w:spacing w:after="0"/>
              <w:rPr>
                <w:sz w:val="20"/>
                <w:szCs w:val="20"/>
                <w:color w:val="auto"/>
              </w:rPr>
            </w:pPr>
            <w:r>
              <w:rPr>
                <w:rFonts w:ascii="Arial" w:cs="Arial" w:eastAsia="Arial" w:hAnsi="Arial"/>
                <w:sz w:val="11"/>
                <w:szCs w:val="11"/>
                <w:color w:val="auto"/>
              </w:rPr>
              <w:t>48 bps</w:t>
            </w:r>
          </w:p>
        </w:tc>
      </w:tr>
      <w:tr>
        <w:trPr>
          <w:trHeight w:val="134"/>
        </w:trPr>
        <w:tc>
          <w:tcPr>
            <w:tcW w:w="2840" w:type="dxa"/>
            <w:vAlign w:val="bottom"/>
            <w:tcBorders>
              <w:left w:val="single" w:sz="8" w:color="auto"/>
            </w:tcBorders>
          </w:tcPr>
          <w:p>
            <w:pPr>
              <w:ind w:left="60"/>
              <w:spacing w:after="0"/>
              <w:rPr>
                <w:sz w:val="20"/>
                <w:szCs w:val="20"/>
                <w:color w:val="auto"/>
              </w:rPr>
            </w:pPr>
            <w:r>
              <w:rPr>
                <w:rFonts w:ascii="Arial" w:cs="Arial" w:eastAsia="Arial" w:hAnsi="Arial"/>
                <w:sz w:val="11"/>
                <w:szCs w:val="11"/>
                <w:b w:val="1"/>
                <w:bCs w:val="1"/>
                <w:color w:val="auto"/>
              </w:rPr>
              <w:t>Allowance for loan losses over Total loans</w:t>
            </w:r>
          </w:p>
        </w:tc>
        <w:tc>
          <w:tcPr>
            <w:tcW w:w="2240" w:type="dxa"/>
            <w:vAlign w:val="bottom"/>
            <w:tcBorders>
              <w:right w:val="single" w:sz="8" w:color="auto"/>
            </w:tcBorders>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rPr>
              <w:t>5.3%</w:t>
            </w:r>
          </w:p>
        </w:tc>
        <w:tc>
          <w:tcPr>
            <w:tcW w:w="1200" w:type="dxa"/>
            <w:vAlign w:val="bottom"/>
          </w:tcPr>
          <w:p>
            <w:pPr>
              <w:jc w:val="center"/>
              <w:ind w:left="3"/>
              <w:spacing w:after="0"/>
              <w:rPr>
                <w:sz w:val="20"/>
                <w:szCs w:val="20"/>
                <w:color w:val="auto"/>
              </w:rPr>
            </w:pPr>
            <w:r>
              <w:rPr>
                <w:rFonts w:ascii="Arial" w:cs="Arial" w:eastAsia="Arial" w:hAnsi="Arial"/>
                <w:sz w:val="11"/>
                <w:szCs w:val="11"/>
                <w:b w:val="1"/>
                <w:bCs w:val="1"/>
                <w:color w:val="auto"/>
              </w:rPr>
              <w:t>5.6%</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5.7%</w:t>
            </w:r>
          </w:p>
        </w:tc>
        <w:tc>
          <w:tcPr>
            <w:tcW w:w="880" w:type="dxa"/>
            <w:vAlign w:val="bottom"/>
          </w:tcPr>
          <w:p>
            <w:pPr>
              <w:jc w:val="center"/>
              <w:ind w:left="243"/>
              <w:spacing w:after="0"/>
              <w:rPr>
                <w:sz w:val="20"/>
                <w:szCs w:val="20"/>
                <w:color w:val="auto"/>
              </w:rPr>
            </w:pPr>
            <w:r>
              <w:rPr>
                <w:rFonts w:ascii="Arial" w:cs="Arial" w:eastAsia="Arial" w:hAnsi="Arial"/>
                <w:sz w:val="11"/>
                <w:szCs w:val="11"/>
                <w:color w:val="auto"/>
              </w:rPr>
              <w:t>16 bps</w:t>
            </w:r>
          </w:p>
        </w:tc>
        <w:tc>
          <w:tcPr>
            <w:tcW w:w="1580" w:type="dxa"/>
            <w:vAlign w:val="bottom"/>
            <w:tcBorders>
              <w:right w:val="single" w:sz="8" w:color="auto"/>
            </w:tcBorders>
          </w:tcPr>
          <w:p>
            <w:pPr>
              <w:jc w:val="center"/>
              <w:ind w:left="263"/>
              <w:spacing w:after="0"/>
              <w:rPr>
                <w:sz w:val="20"/>
                <w:szCs w:val="20"/>
                <w:color w:val="auto"/>
              </w:rPr>
            </w:pPr>
            <w:r>
              <w:rPr>
                <w:rFonts w:ascii="Arial" w:cs="Arial" w:eastAsia="Arial" w:hAnsi="Arial"/>
                <w:sz w:val="11"/>
                <w:szCs w:val="11"/>
                <w:color w:val="auto"/>
              </w:rPr>
              <w:t>41 bps</w:t>
            </w:r>
          </w:p>
        </w:tc>
      </w:tr>
      <w:tr>
        <w:trPr>
          <w:trHeight w:val="134"/>
        </w:trPr>
        <w:tc>
          <w:tcPr>
            <w:tcW w:w="284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Coverage ratio of IOLs</w:t>
            </w:r>
          </w:p>
        </w:tc>
        <w:tc>
          <w:tcPr>
            <w:tcW w:w="2240" w:type="dxa"/>
            <w:vAlign w:val="bottom"/>
            <w:tcBorders>
              <w:right w:val="single" w:sz="8" w:color="auto"/>
            </w:tcBorders>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132.5%</w:t>
            </w:r>
          </w:p>
        </w:tc>
        <w:tc>
          <w:tcPr>
            <w:tcW w:w="1200" w:type="dxa"/>
            <w:vAlign w:val="bottom"/>
          </w:tcPr>
          <w:p>
            <w:pPr>
              <w:jc w:val="center"/>
              <w:spacing w:after="0"/>
              <w:rPr>
                <w:sz w:val="20"/>
                <w:szCs w:val="20"/>
                <w:color w:val="auto"/>
              </w:rPr>
            </w:pPr>
            <w:r>
              <w:rPr>
                <w:rFonts w:ascii="Arial" w:cs="Arial" w:eastAsia="Arial" w:hAnsi="Arial"/>
                <w:sz w:val="11"/>
                <w:szCs w:val="11"/>
                <w:color w:val="auto"/>
              </w:rPr>
              <w:t>125.8%</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135.1%</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rPr>
              <w:t>937 pbs</w:t>
            </w:r>
          </w:p>
        </w:tc>
        <w:tc>
          <w:tcPr>
            <w:tcW w:w="1580" w:type="dxa"/>
            <w:vAlign w:val="bottom"/>
            <w:tcBorders>
              <w:right w:val="single" w:sz="8" w:color="auto"/>
            </w:tcBorders>
          </w:tcPr>
          <w:p>
            <w:pPr>
              <w:jc w:val="center"/>
              <w:ind w:left="243"/>
              <w:spacing w:after="0"/>
              <w:rPr>
                <w:sz w:val="20"/>
                <w:szCs w:val="20"/>
                <w:color w:val="auto"/>
              </w:rPr>
            </w:pPr>
            <w:r>
              <w:rPr>
                <w:rFonts w:ascii="Arial" w:cs="Arial" w:eastAsia="Arial" w:hAnsi="Arial"/>
                <w:sz w:val="11"/>
                <w:szCs w:val="11"/>
                <w:color w:val="auto"/>
              </w:rPr>
              <w:t>258 bps</w:t>
            </w:r>
          </w:p>
        </w:tc>
      </w:tr>
      <w:tr>
        <w:trPr>
          <w:trHeight w:val="134"/>
        </w:trPr>
        <w:tc>
          <w:tcPr>
            <w:tcW w:w="284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Coverage ratio of IOL 90-days</w:t>
            </w:r>
          </w:p>
        </w:tc>
        <w:tc>
          <w:tcPr>
            <w:tcW w:w="2240" w:type="dxa"/>
            <w:vAlign w:val="bottom"/>
            <w:tcBorders>
              <w:right w:val="single" w:sz="8" w:color="auto"/>
            </w:tcBorders>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170.4%</w:t>
            </w:r>
          </w:p>
        </w:tc>
        <w:tc>
          <w:tcPr>
            <w:tcW w:w="1200" w:type="dxa"/>
            <w:vAlign w:val="bottom"/>
          </w:tcPr>
          <w:p>
            <w:pPr>
              <w:jc w:val="center"/>
              <w:spacing w:after="0"/>
              <w:rPr>
                <w:sz w:val="20"/>
                <w:szCs w:val="20"/>
                <w:color w:val="auto"/>
              </w:rPr>
            </w:pPr>
            <w:r>
              <w:rPr>
                <w:rFonts w:ascii="Arial" w:cs="Arial" w:eastAsia="Arial" w:hAnsi="Arial"/>
                <w:sz w:val="11"/>
                <w:szCs w:val="11"/>
                <w:color w:val="auto"/>
              </w:rPr>
              <w:t>156.9%</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164.9%</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rPr>
              <w:t>803 pbs</w:t>
            </w:r>
          </w:p>
        </w:tc>
        <w:tc>
          <w:tcPr>
            <w:tcW w:w="1580" w:type="dxa"/>
            <w:vAlign w:val="bottom"/>
            <w:tcBorders>
              <w:right w:val="single" w:sz="8" w:color="auto"/>
            </w:tcBorders>
          </w:tcPr>
          <w:p>
            <w:pPr>
              <w:jc w:val="center"/>
              <w:ind w:left="243"/>
              <w:spacing w:after="0"/>
              <w:rPr>
                <w:sz w:val="20"/>
                <w:szCs w:val="20"/>
                <w:color w:val="auto"/>
              </w:rPr>
            </w:pPr>
            <w:r>
              <w:rPr>
                <w:rFonts w:ascii="Arial" w:cs="Arial" w:eastAsia="Arial" w:hAnsi="Arial"/>
                <w:sz w:val="11"/>
                <w:szCs w:val="11"/>
                <w:color w:val="auto"/>
              </w:rPr>
              <w:t>-543 pbs</w:t>
            </w:r>
          </w:p>
        </w:tc>
      </w:tr>
      <w:tr>
        <w:trPr>
          <w:trHeight w:val="137"/>
        </w:trPr>
        <w:tc>
          <w:tcPr>
            <w:tcW w:w="28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1"/>
                <w:szCs w:val="11"/>
                <w:color w:val="auto"/>
              </w:rPr>
              <w:t>Coverage ratio of NPLs</w:t>
            </w:r>
          </w:p>
        </w:tc>
        <w:tc>
          <w:tcPr>
            <w:tcW w:w="224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97.9%</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93.0%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97.0%</w:t>
            </w:r>
          </w:p>
        </w:tc>
        <w:tc>
          <w:tcPr>
            <w:tcW w:w="880" w:type="dxa"/>
            <w:vAlign w:val="bottom"/>
            <w:tcBorders>
              <w:bottom w:val="single" w:sz="8" w:color="auto"/>
            </w:tcBorders>
          </w:tcPr>
          <w:p>
            <w:pPr>
              <w:jc w:val="center"/>
              <w:ind w:left="263"/>
              <w:spacing w:after="0"/>
              <w:rPr>
                <w:sz w:val="20"/>
                <w:szCs w:val="20"/>
                <w:color w:val="auto"/>
              </w:rPr>
            </w:pPr>
            <w:r>
              <w:rPr>
                <w:rFonts w:ascii="Arial" w:cs="Arial" w:eastAsia="Arial" w:hAnsi="Arial"/>
                <w:sz w:val="11"/>
                <w:szCs w:val="11"/>
                <w:color w:val="auto"/>
              </w:rPr>
              <w:t>399 bps</w:t>
            </w:r>
          </w:p>
        </w:tc>
        <w:tc>
          <w:tcPr>
            <w:tcW w:w="1580" w:type="dxa"/>
            <w:vAlign w:val="bottom"/>
            <w:tcBorders>
              <w:bottom w:val="single" w:sz="8" w:color="auto"/>
              <w:right w:val="single" w:sz="8" w:color="auto"/>
            </w:tcBorders>
          </w:tcPr>
          <w:p>
            <w:pPr>
              <w:jc w:val="center"/>
              <w:ind w:left="263"/>
              <w:spacing w:after="0"/>
              <w:rPr>
                <w:sz w:val="20"/>
                <w:szCs w:val="20"/>
                <w:color w:val="auto"/>
              </w:rPr>
            </w:pPr>
            <w:r>
              <w:rPr>
                <w:rFonts w:ascii="Arial" w:cs="Arial" w:eastAsia="Arial" w:hAnsi="Arial"/>
                <w:sz w:val="11"/>
                <w:szCs w:val="11"/>
                <w:color w:val="auto"/>
              </w:rPr>
              <w:t>-91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-2298700</wp:posOffset>
            </wp:positionV>
            <wp:extent cx="1161415" cy="139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87" w:lineRule="exact"/>
        <w:rPr>
          <w:sz w:val="20"/>
          <w:szCs w:val="20"/>
          <w:color w:val="auto"/>
        </w:rPr>
      </w:pPr>
    </w:p>
    <w:p>
      <w:pPr>
        <w:ind w:left="202" w:hanging="202"/>
        <w:spacing w:after="0"/>
        <w:tabs>
          <w:tab w:leader="none" w:pos="202"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Includes Overdue Loans and Loans under legal collection (Quarter-end balances net of deferred earnings).</w:t>
      </w:r>
    </w:p>
    <w:p>
      <w:pPr>
        <w:spacing w:after="0" w:line="5" w:lineRule="exact"/>
        <w:rPr>
          <w:rFonts w:ascii="Arial" w:cs="Arial" w:eastAsia="Arial" w:hAnsi="Arial"/>
          <w:sz w:val="11"/>
          <w:szCs w:val="11"/>
          <w:color w:val="auto"/>
        </w:rPr>
      </w:pPr>
    </w:p>
    <w:p>
      <w:pPr>
        <w:ind w:left="202" w:hanging="202"/>
        <w:spacing w:after="0" w:line="231" w:lineRule="auto"/>
        <w:tabs>
          <w:tab w:leader="none" w:pos="202" w:val="left"/>
        </w:tabs>
        <w:numPr>
          <w:ilvl w:val="0"/>
          <w:numId w:val="26"/>
        </w:numPr>
        <w:rPr>
          <w:rFonts w:ascii="Arial" w:cs="Arial" w:eastAsia="Arial" w:hAnsi="Arial"/>
          <w:sz w:val="11"/>
          <w:szCs w:val="11"/>
          <w:color w:val="auto"/>
        </w:rPr>
      </w:pPr>
      <w:r>
        <w:rPr>
          <w:rFonts w:ascii="Arial" w:cs="Arial" w:eastAsia="Arial" w:hAnsi="Arial"/>
          <w:sz w:val="11"/>
          <w:szCs w:val="11"/>
          <w:color w:val="auto"/>
        </w:rPr>
        <w:t>Figures net of deferred earnings.</w:t>
      </w:r>
    </w:p>
    <w:p>
      <w:pPr>
        <w:ind w:left="202" w:hanging="202"/>
        <w:spacing w:after="0"/>
        <w:tabs>
          <w:tab w:leader="none" w:pos="202" w:val="left"/>
        </w:tabs>
        <w:numPr>
          <w:ilvl w:val="0"/>
          <w:numId w:val="26"/>
        </w:numPr>
        <w:rPr>
          <w:rFonts w:ascii="Arial" w:cs="Arial" w:eastAsia="Arial" w:hAnsi="Arial"/>
          <w:sz w:val="11"/>
          <w:szCs w:val="11"/>
          <w:color w:val="auto"/>
        </w:rPr>
      </w:pPr>
      <w:r>
        <w:rPr>
          <w:rFonts w:ascii="Arial" w:cs="Arial" w:eastAsia="Arial" w:hAnsi="Arial"/>
          <w:sz w:val="11"/>
          <w:szCs w:val="11"/>
          <w:color w:val="auto"/>
        </w:rPr>
        <w:t>Non-performing Loans include Internal Overdue Loans and Refinanced Loans (Quarter-end balances net of deferred earnings)</w:t>
      </w:r>
    </w:p>
    <w:p>
      <w:pPr>
        <w:spacing w:after="0" w:line="167"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color w:val="auto"/>
        </w:rPr>
        <w:t>In the aforementioned context, Credicorp’s NPL ratio fell 8 bps QoQ but rose 48 bps to stand at 5.9% at the end of 4Q23. Coverage for NPLs stood at 97.0%. This represented an uptick of 399 bps QoQ and was in line with growth in the balance for provisions and in execution of Reactiva honoring processes. YoY, the NPL ratio dropped 91 bps, which reflected an increase in the NPL volume.</w:t>
      </w:r>
    </w:p>
    <w:p>
      <w:pPr>
        <w:spacing w:after="0" w:line="134"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322" w:right="319" w:bottom="1440" w:gutter="0" w:footer="0" w:header="0"/>
        </w:sectPr>
      </w:pPr>
    </w:p>
    <w:bookmarkStart w:id="26" w:name="page27"/>
    <w:bookmarkEnd w:id="26"/>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15" w:lineRule="exact"/>
        <w:rPr>
          <w:sz w:val="20"/>
          <w:szCs w:val="20"/>
          <w:color w:val="auto"/>
        </w:rPr>
      </w:pPr>
    </w:p>
    <w:p>
      <w:pPr>
        <w:ind w:left="40"/>
        <w:spacing w:after="0"/>
        <w:rPr>
          <w:sz w:val="20"/>
          <w:szCs w:val="20"/>
          <w:color w:val="auto"/>
        </w:rPr>
      </w:pPr>
      <w:r>
        <w:rPr>
          <w:rFonts w:ascii="Arial" w:cs="Arial" w:eastAsia="Arial" w:hAnsi="Arial"/>
          <w:sz w:val="47"/>
          <w:szCs w:val="47"/>
          <w:b w:val="1"/>
          <w:bCs w:val="1"/>
          <w:color w:val="E93CAC"/>
        </w:rPr>
        <w:t xml:space="preserve">02 </w:t>
      </w:r>
      <w:r>
        <w:rPr>
          <w:rFonts w:ascii="Arial" w:cs="Arial" w:eastAsia="Arial" w:hAnsi="Arial"/>
          <w:sz w:val="29"/>
          <w:szCs w:val="29"/>
          <w:b w:val="1"/>
          <w:bCs w:val="1"/>
          <w:color w:val="E93C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145655" cy="1153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655" cy="1153795"/>
                    </a:xfrm>
                    <a:prstGeom prst="rect">
                      <a:avLst/>
                    </a:prstGeom>
                    <a:noFill/>
                  </pic:spPr>
                </pic:pic>
              </a:graphicData>
            </a:graphic>
          </wp:anchor>
        </w:drawing>
      </w:r>
    </w:p>
    <w:p>
      <w:pPr>
        <w:spacing w:after="0" w:line="373" w:lineRule="exact"/>
        <w:rPr>
          <w:sz w:val="20"/>
          <w:szCs w:val="20"/>
          <w:color w:val="auto"/>
        </w:rPr>
      </w:pPr>
    </w:p>
    <w:p>
      <w:pPr>
        <w:jc w:val="both"/>
        <w:ind w:left="80" w:right="100"/>
        <w:spacing w:after="0" w:line="279" w:lineRule="auto"/>
        <w:rPr>
          <w:sz w:val="20"/>
          <w:szCs w:val="20"/>
          <w:color w:val="auto"/>
        </w:rPr>
      </w:pPr>
      <w:r>
        <w:rPr>
          <w:rFonts w:ascii="Arial" w:cs="Arial" w:eastAsia="Arial" w:hAnsi="Arial"/>
          <w:sz w:val="16"/>
          <w:szCs w:val="16"/>
          <w:color w:val="FFFFFF"/>
        </w:rPr>
        <w:t>QoQ, our deposit base contracted 0.5% (+0.6%, FX neutral). This evolution was driven by 6.9% growth (+8.2%, FX neutral) in Demand Deposits and 6.0% (+7.0%, FX neutral) in Savings Deposits; this was partially offset by a reduction in Time Deposits (- 12.6%).</w:t>
      </w:r>
    </w:p>
    <w:p>
      <w:pPr>
        <w:spacing w:after="0" w:line="121" w:lineRule="exact"/>
        <w:rPr>
          <w:sz w:val="20"/>
          <w:szCs w:val="20"/>
          <w:color w:val="auto"/>
        </w:rPr>
      </w:pPr>
    </w:p>
    <w:p>
      <w:pPr>
        <w:jc w:val="both"/>
        <w:ind w:left="80" w:right="100"/>
        <w:spacing w:after="0" w:line="258" w:lineRule="auto"/>
        <w:rPr>
          <w:sz w:val="20"/>
          <w:szCs w:val="20"/>
          <w:color w:val="auto"/>
        </w:rPr>
      </w:pPr>
      <w:r>
        <w:rPr>
          <w:rFonts w:ascii="Arial" w:cs="Arial" w:eastAsia="Arial" w:hAnsi="Arial"/>
          <w:sz w:val="16"/>
          <w:szCs w:val="16"/>
          <w:color w:val="FFFFFF"/>
        </w:rPr>
        <w:t>YoY, the balance for low-cost deposits fell 2.5%, which represented a less significant decline that that seen systemwide. This evolution was driven by a reduction in balances for Savings and Demand Deposits at BCP and Mibanco, which reflected on-going fund migration mainly by wholesale and retail clients to higher-yield deposits.</w:t>
      </w:r>
    </w:p>
    <w:p>
      <w:pPr>
        <w:spacing w:after="0" w:line="138" w:lineRule="exact"/>
        <w:rPr>
          <w:sz w:val="20"/>
          <w:szCs w:val="20"/>
          <w:color w:val="auto"/>
        </w:rPr>
      </w:pPr>
    </w:p>
    <w:p>
      <w:pPr>
        <w:jc w:val="both"/>
        <w:ind w:left="80" w:right="100"/>
        <w:spacing w:after="0" w:line="279" w:lineRule="auto"/>
        <w:rPr>
          <w:sz w:val="20"/>
          <w:szCs w:val="20"/>
          <w:color w:val="auto"/>
        </w:rPr>
      </w:pPr>
      <w:r>
        <w:rPr>
          <w:rFonts w:ascii="Arial" w:cs="Arial" w:eastAsia="Arial" w:hAnsi="Arial"/>
          <w:sz w:val="16"/>
          <w:szCs w:val="16"/>
          <w:color w:val="FFFFFF"/>
        </w:rPr>
        <w:t>68.1% of our deposit base was low-cost (Demand + Savings). In this scenario, Credicorp continued to lead the market for low-cost deposits with a share of 41.6% at the end of December 2023, which represents a competitive advantage in a context of high interest rates.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19"/>
        </w:trPr>
        <w:tc>
          <w:tcPr>
            <w:tcW w:w="3060" w:type="dxa"/>
            <w:vAlign w:val="bottom"/>
            <w:tcBorders>
              <w:top w:val="single" w:sz="8" w:color="auto"/>
              <w:left w:val="single" w:sz="8" w:color="auto"/>
              <w:right w:val="single" w:sz="8" w:color="auto"/>
            </w:tcBorders>
            <w:shd w:val="clear" w:color="auto" w:fill="2AD2C9"/>
          </w:tcPr>
          <w:p>
            <w:pPr>
              <w:ind w:left="100"/>
              <w:spacing w:after="0" w:line="119" w:lineRule="exact"/>
              <w:rPr>
                <w:sz w:val="20"/>
                <w:szCs w:val="20"/>
                <w:color w:val="auto"/>
              </w:rPr>
            </w:pPr>
            <w:r>
              <w:rPr>
                <w:rFonts w:ascii="Arial" w:cs="Arial" w:eastAsia="Arial" w:hAnsi="Arial"/>
                <w:sz w:val="11"/>
                <w:szCs w:val="11"/>
                <w:b w:val="1"/>
                <w:bCs w:val="1"/>
                <w:color w:val="FFFFFF"/>
              </w:rPr>
              <w:t>Deposits</w:t>
            </w:r>
          </w:p>
        </w:tc>
        <w:tc>
          <w:tcPr>
            <w:tcW w:w="1520" w:type="dxa"/>
            <w:vAlign w:val="bottom"/>
            <w:tcBorders>
              <w:top w:val="single" w:sz="8" w:color="auto"/>
            </w:tcBorders>
            <w:shd w:val="clear" w:color="auto" w:fill="2AD2C9"/>
          </w:tcPr>
          <w:p>
            <w:pPr>
              <w:spacing w:after="0"/>
              <w:rPr>
                <w:sz w:val="10"/>
                <w:szCs w:val="10"/>
                <w:color w:val="auto"/>
              </w:rPr>
            </w:pPr>
          </w:p>
        </w:tc>
        <w:tc>
          <w:tcPr>
            <w:tcW w:w="1400" w:type="dxa"/>
            <w:vAlign w:val="bottom"/>
            <w:tcBorders>
              <w:top w:val="single" w:sz="8" w:color="auto"/>
            </w:tcBorders>
            <w:shd w:val="clear" w:color="auto" w:fill="2AD2C9"/>
          </w:tcPr>
          <w:p>
            <w:pPr>
              <w:jc w:val="right"/>
              <w:ind w:right="663"/>
              <w:spacing w:after="0" w:line="119" w:lineRule="exact"/>
              <w:rPr>
                <w:sz w:val="20"/>
                <w:szCs w:val="20"/>
                <w:color w:val="auto"/>
              </w:rPr>
            </w:pPr>
            <w:r>
              <w:rPr>
                <w:rFonts w:ascii="Arial" w:cs="Arial" w:eastAsia="Arial" w:hAnsi="Arial"/>
                <w:sz w:val="11"/>
                <w:szCs w:val="11"/>
                <w:b w:val="1"/>
                <w:bCs w:val="1"/>
                <w:color w:val="FFFFFF"/>
              </w:rPr>
              <w:t>As of</w:t>
            </w:r>
          </w:p>
        </w:tc>
        <w:tc>
          <w:tcPr>
            <w:tcW w:w="1240" w:type="dxa"/>
            <w:vAlign w:val="bottom"/>
            <w:tcBorders>
              <w:top w:val="single" w:sz="8" w:color="auto"/>
              <w:right w:val="single" w:sz="8" w:color="auto"/>
            </w:tcBorders>
            <w:shd w:val="clear" w:color="auto" w:fill="2AD2C9"/>
          </w:tcPr>
          <w:p>
            <w:pPr>
              <w:spacing w:after="0"/>
              <w:rPr>
                <w:sz w:val="10"/>
                <w:szCs w:val="10"/>
                <w:color w:val="auto"/>
              </w:rPr>
            </w:pPr>
          </w:p>
        </w:tc>
        <w:tc>
          <w:tcPr>
            <w:tcW w:w="700" w:type="dxa"/>
            <w:vAlign w:val="bottom"/>
            <w:tcBorders>
              <w:top w:val="single" w:sz="8" w:color="auto"/>
            </w:tcBorders>
            <w:shd w:val="clear" w:color="auto" w:fill="2AD2C9"/>
          </w:tcPr>
          <w:p>
            <w:pPr>
              <w:spacing w:after="0"/>
              <w:rPr>
                <w:sz w:val="10"/>
                <w:szCs w:val="10"/>
                <w:color w:val="auto"/>
              </w:rPr>
            </w:pPr>
          </w:p>
        </w:tc>
        <w:tc>
          <w:tcPr>
            <w:tcW w:w="1320" w:type="dxa"/>
            <w:vAlign w:val="bottom"/>
            <w:tcBorders>
              <w:top w:val="single" w:sz="8" w:color="auto"/>
              <w:right w:val="single" w:sz="8" w:color="auto"/>
            </w:tcBorders>
            <w:shd w:val="clear" w:color="auto" w:fill="2AD2C9"/>
          </w:tcPr>
          <w:p>
            <w:pPr>
              <w:ind w:left="40"/>
              <w:spacing w:after="0" w:line="119" w:lineRule="exact"/>
              <w:rPr>
                <w:sz w:val="20"/>
                <w:szCs w:val="20"/>
                <w:color w:val="auto"/>
              </w:rPr>
            </w:pPr>
            <w:r>
              <w:rPr>
                <w:rFonts w:ascii="Arial" w:cs="Arial" w:eastAsia="Arial" w:hAnsi="Arial"/>
                <w:sz w:val="11"/>
                <w:szCs w:val="11"/>
                <w:b w:val="1"/>
                <w:bCs w:val="1"/>
                <w:color w:val="FFFFFF"/>
              </w:rPr>
              <w:t>% change</w:t>
            </w:r>
          </w:p>
        </w:tc>
        <w:tc>
          <w:tcPr>
            <w:tcW w:w="700" w:type="dxa"/>
            <w:vAlign w:val="bottom"/>
            <w:tcBorders>
              <w:top w:val="single" w:sz="8" w:color="auto"/>
            </w:tcBorders>
            <w:shd w:val="clear" w:color="auto" w:fill="2AD2C9"/>
          </w:tcPr>
          <w:p>
            <w:pPr>
              <w:spacing w:after="0"/>
              <w:rPr>
                <w:sz w:val="10"/>
                <w:szCs w:val="10"/>
                <w:color w:val="auto"/>
              </w:rPr>
            </w:pPr>
          </w:p>
        </w:tc>
        <w:tc>
          <w:tcPr>
            <w:tcW w:w="1320" w:type="dxa"/>
            <w:vAlign w:val="bottom"/>
            <w:tcBorders>
              <w:top w:val="single" w:sz="8" w:color="auto"/>
              <w:right w:val="single" w:sz="8" w:color="auto"/>
            </w:tcBorders>
            <w:shd w:val="clear" w:color="auto" w:fill="2AD2C9"/>
          </w:tcPr>
          <w:p>
            <w:pPr>
              <w:ind w:left="40"/>
              <w:spacing w:after="0" w:line="119" w:lineRule="exact"/>
              <w:rPr>
                <w:sz w:val="20"/>
                <w:szCs w:val="20"/>
                <w:color w:val="auto"/>
              </w:rPr>
            </w:pPr>
            <w:r>
              <w:rPr>
                <w:rFonts w:ascii="Arial" w:cs="Arial" w:eastAsia="Arial" w:hAnsi="Arial"/>
                <w:sz w:val="11"/>
                <w:szCs w:val="11"/>
                <w:b w:val="1"/>
                <w:bCs w:val="1"/>
                <w:color w:val="FFFFFF"/>
              </w:rPr>
              <w:t>Currency</w:t>
            </w:r>
          </w:p>
        </w:tc>
      </w:tr>
      <w:tr>
        <w:trPr>
          <w:trHeight w:val="137"/>
        </w:trPr>
        <w:tc>
          <w:tcPr>
            <w:tcW w:w="306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S/ 000</w:t>
            </w:r>
          </w:p>
        </w:tc>
        <w:tc>
          <w:tcPr>
            <w:tcW w:w="1520" w:type="dxa"/>
            <w:vAlign w:val="bottom"/>
            <w:tcBorders>
              <w:bottom w:val="single" w:sz="8" w:color="auto"/>
            </w:tcBorders>
            <w:shd w:val="clear" w:color="auto" w:fill="2AD2C9"/>
          </w:tcPr>
          <w:p>
            <w:pPr>
              <w:jc w:val="right"/>
              <w:ind w:right="623"/>
              <w:spacing w:after="0"/>
              <w:rPr>
                <w:sz w:val="20"/>
                <w:szCs w:val="20"/>
                <w:color w:val="auto"/>
              </w:rPr>
            </w:pPr>
            <w:r>
              <w:rPr>
                <w:rFonts w:ascii="Arial" w:cs="Arial" w:eastAsia="Arial" w:hAnsi="Arial"/>
                <w:sz w:val="11"/>
                <w:szCs w:val="11"/>
                <w:b w:val="1"/>
                <w:bCs w:val="1"/>
                <w:color w:val="FFFFFF"/>
              </w:rPr>
              <w:t>Dec 22</w:t>
            </w:r>
          </w:p>
        </w:tc>
        <w:tc>
          <w:tcPr>
            <w:tcW w:w="1400" w:type="dxa"/>
            <w:vAlign w:val="bottom"/>
            <w:tcBorders>
              <w:bottom w:val="single" w:sz="8" w:color="auto"/>
            </w:tcBorders>
            <w:shd w:val="clear" w:color="auto" w:fill="2AD2C9"/>
          </w:tcPr>
          <w:p>
            <w:pPr>
              <w:jc w:val="right"/>
              <w:ind w:right="683"/>
              <w:spacing w:after="0"/>
              <w:rPr>
                <w:sz w:val="20"/>
                <w:szCs w:val="20"/>
                <w:color w:val="auto"/>
              </w:rPr>
            </w:pPr>
            <w:r>
              <w:rPr>
                <w:rFonts w:ascii="Arial" w:cs="Arial" w:eastAsia="Arial" w:hAnsi="Arial"/>
                <w:sz w:val="11"/>
                <w:szCs w:val="11"/>
                <w:b w:val="1"/>
                <w:bCs w:val="1"/>
                <w:color w:val="FFFFFF"/>
              </w:rPr>
              <w:t>Sep 23</w:t>
            </w:r>
          </w:p>
        </w:tc>
        <w:tc>
          <w:tcPr>
            <w:tcW w:w="1240" w:type="dxa"/>
            <w:vAlign w:val="bottom"/>
            <w:tcBorders>
              <w:bottom w:val="single" w:sz="8" w:color="auto"/>
              <w:right w:val="single" w:sz="8" w:color="auto"/>
            </w:tcBorders>
            <w:shd w:val="clear" w:color="auto" w:fill="2AD2C9"/>
          </w:tcPr>
          <w:p>
            <w:pPr>
              <w:jc w:val="right"/>
              <w:ind w:right="503"/>
              <w:spacing w:after="0"/>
              <w:rPr>
                <w:sz w:val="20"/>
                <w:szCs w:val="20"/>
                <w:color w:val="auto"/>
              </w:rPr>
            </w:pPr>
            <w:r>
              <w:rPr>
                <w:rFonts w:ascii="Arial" w:cs="Arial" w:eastAsia="Arial" w:hAnsi="Arial"/>
                <w:sz w:val="11"/>
                <w:szCs w:val="11"/>
                <w:b w:val="1"/>
                <w:bCs w:val="1"/>
                <w:color w:val="FFFFFF"/>
              </w:rPr>
              <w:t>Dec 23</w:t>
            </w:r>
          </w:p>
        </w:tc>
        <w:tc>
          <w:tcPr>
            <w:tcW w:w="700" w:type="dxa"/>
            <w:vAlign w:val="bottom"/>
            <w:tcBorders>
              <w:bottom w:val="single" w:sz="8" w:color="auto"/>
            </w:tcBorders>
            <w:shd w:val="clear" w:color="auto" w:fill="2AD2C9"/>
          </w:tcPr>
          <w:p>
            <w:pPr>
              <w:ind w:left="380"/>
              <w:spacing w:after="0"/>
              <w:rPr>
                <w:sz w:val="20"/>
                <w:szCs w:val="20"/>
                <w:color w:val="auto"/>
              </w:rPr>
            </w:pPr>
            <w:r>
              <w:rPr>
                <w:rFonts w:ascii="Arial" w:cs="Arial" w:eastAsia="Arial" w:hAnsi="Arial"/>
                <w:sz w:val="11"/>
                <w:szCs w:val="11"/>
                <w:b w:val="1"/>
                <w:bCs w:val="1"/>
                <w:color w:val="FFFFFF"/>
              </w:rPr>
              <w:t>QoQ</w:t>
            </w:r>
          </w:p>
        </w:tc>
        <w:tc>
          <w:tcPr>
            <w:tcW w:w="1320" w:type="dxa"/>
            <w:vAlign w:val="bottom"/>
            <w:tcBorders>
              <w:bottom w:val="single" w:sz="8" w:color="auto"/>
              <w:right w:val="single" w:sz="8" w:color="auto"/>
            </w:tcBorders>
            <w:shd w:val="clear" w:color="auto" w:fill="2AD2C9"/>
          </w:tcPr>
          <w:p>
            <w:pPr>
              <w:ind w:left="700"/>
              <w:spacing w:after="0"/>
              <w:rPr>
                <w:sz w:val="20"/>
                <w:szCs w:val="20"/>
                <w:color w:val="auto"/>
              </w:rPr>
            </w:pPr>
            <w:r>
              <w:rPr>
                <w:rFonts w:ascii="Arial" w:cs="Arial" w:eastAsia="Arial" w:hAnsi="Arial"/>
                <w:sz w:val="11"/>
                <w:szCs w:val="11"/>
                <w:b w:val="1"/>
                <w:bCs w:val="1"/>
                <w:color w:val="FFFFFF"/>
              </w:rPr>
              <w:t>YoY</w:t>
            </w:r>
          </w:p>
        </w:tc>
        <w:tc>
          <w:tcPr>
            <w:tcW w:w="700" w:type="dxa"/>
            <w:vAlign w:val="bottom"/>
            <w:tcBorders>
              <w:bottom w:val="single" w:sz="8" w:color="auto"/>
            </w:tcBorders>
            <w:shd w:val="clear" w:color="auto" w:fill="2AD2C9"/>
          </w:tcPr>
          <w:p>
            <w:pPr>
              <w:jc w:val="center"/>
              <w:ind w:left="243"/>
              <w:spacing w:after="0"/>
              <w:rPr>
                <w:sz w:val="20"/>
                <w:szCs w:val="20"/>
                <w:color w:val="auto"/>
              </w:rPr>
            </w:pPr>
            <w:r>
              <w:rPr>
                <w:rFonts w:ascii="Arial" w:cs="Arial" w:eastAsia="Arial" w:hAnsi="Arial"/>
                <w:sz w:val="11"/>
                <w:szCs w:val="11"/>
                <w:b w:val="1"/>
                <w:bCs w:val="1"/>
                <w:color w:val="FFFFFF"/>
              </w:rPr>
              <w:t>LC</w:t>
            </w:r>
          </w:p>
        </w:tc>
        <w:tc>
          <w:tcPr>
            <w:tcW w:w="1320" w:type="dxa"/>
            <w:vAlign w:val="bottom"/>
            <w:tcBorders>
              <w:bottom w:val="single" w:sz="8" w:color="auto"/>
              <w:right w:val="single" w:sz="8" w:color="auto"/>
            </w:tcBorders>
            <w:shd w:val="clear" w:color="auto" w:fill="2AD2C9"/>
          </w:tcPr>
          <w:p>
            <w:pPr>
              <w:jc w:val="center"/>
              <w:ind w:left="223"/>
              <w:spacing w:after="0"/>
              <w:rPr>
                <w:sz w:val="20"/>
                <w:szCs w:val="20"/>
                <w:color w:val="auto"/>
              </w:rPr>
            </w:pPr>
            <w:r>
              <w:rPr>
                <w:rFonts w:ascii="Arial" w:cs="Arial" w:eastAsia="Arial" w:hAnsi="Arial"/>
                <w:sz w:val="11"/>
                <w:szCs w:val="11"/>
                <w:b w:val="1"/>
                <w:bCs w:val="1"/>
                <w:color w:val="FFFFFF"/>
              </w:rPr>
              <w:t>FC</w:t>
            </w:r>
          </w:p>
        </w:tc>
      </w:tr>
      <w:tr>
        <w:trPr>
          <w:trHeight w:val="99"/>
        </w:trPr>
        <w:tc>
          <w:tcPr>
            <w:tcW w:w="306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color w:val="auto"/>
              </w:rPr>
              <w:t>Demand deposits</w:t>
            </w:r>
          </w:p>
        </w:tc>
        <w:tc>
          <w:tcPr>
            <w:tcW w:w="1520" w:type="dxa"/>
            <w:vAlign w:val="bottom"/>
          </w:tcPr>
          <w:p>
            <w:pPr>
              <w:jc w:val="right"/>
              <w:ind w:right="223"/>
              <w:spacing w:after="0" w:line="99" w:lineRule="exact"/>
              <w:rPr>
                <w:sz w:val="20"/>
                <w:szCs w:val="20"/>
                <w:color w:val="auto"/>
              </w:rPr>
            </w:pPr>
            <w:r>
              <w:rPr>
                <w:rFonts w:ascii="Arial" w:cs="Arial" w:eastAsia="Arial" w:hAnsi="Arial"/>
                <w:sz w:val="11"/>
                <w:szCs w:val="11"/>
                <w:color w:val="auto"/>
              </w:rPr>
              <w:t>48,467,247</w:t>
            </w:r>
          </w:p>
        </w:tc>
        <w:tc>
          <w:tcPr>
            <w:tcW w:w="1400" w:type="dxa"/>
            <w:vAlign w:val="bottom"/>
          </w:tcPr>
          <w:p>
            <w:pPr>
              <w:jc w:val="right"/>
              <w:ind w:right="263"/>
              <w:spacing w:after="0" w:line="99" w:lineRule="exact"/>
              <w:rPr>
                <w:sz w:val="20"/>
                <w:szCs w:val="20"/>
                <w:color w:val="auto"/>
              </w:rPr>
            </w:pPr>
            <w:r>
              <w:rPr>
                <w:rFonts w:ascii="Arial" w:cs="Arial" w:eastAsia="Arial" w:hAnsi="Arial"/>
                <w:sz w:val="11"/>
                <w:szCs w:val="11"/>
                <w:color w:val="auto"/>
              </w:rPr>
              <w:t>45,120,127</w:t>
            </w:r>
          </w:p>
        </w:tc>
        <w:tc>
          <w:tcPr>
            <w:tcW w:w="1240" w:type="dxa"/>
            <w:vAlign w:val="bottom"/>
            <w:tcBorders>
              <w:right w:val="single" w:sz="8" w:color="auto"/>
            </w:tcBorders>
          </w:tcPr>
          <w:p>
            <w:pPr>
              <w:jc w:val="right"/>
              <w:ind w:right="43"/>
              <w:spacing w:after="0" w:line="99" w:lineRule="exact"/>
              <w:rPr>
                <w:sz w:val="20"/>
                <w:szCs w:val="20"/>
                <w:color w:val="auto"/>
              </w:rPr>
            </w:pPr>
            <w:r>
              <w:rPr>
                <w:rFonts w:ascii="Arial" w:cs="Arial" w:eastAsia="Arial" w:hAnsi="Arial"/>
                <w:sz w:val="11"/>
                <w:szCs w:val="11"/>
                <w:color w:val="auto"/>
              </w:rPr>
              <w:t>48,229,322</w:t>
            </w:r>
          </w:p>
        </w:tc>
        <w:tc>
          <w:tcPr>
            <w:tcW w:w="700" w:type="dxa"/>
            <w:vAlign w:val="bottom"/>
          </w:tcPr>
          <w:p>
            <w:pPr>
              <w:jc w:val="center"/>
              <w:ind w:left="223"/>
              <w:spacing w:after="0" w:line="99" w:lineRule="exact"/>
              <w:rPr>
                <w:sz w:val="20"/>
                <w:szCs w:val="20"/>
                <w:color w:val="auto"/>
              </w:rPr>
            </w:pPr>
            <w:r>
              <w:rPr>
                <w:rFonts w:ascii="Arial" w:cs="Arial" w:eastAsia="Arial" w:hAnsi="Arial"/>
                <w:sz w:val="11"/>
                <w:szCs w:val="11"/>
                <w:color w:val="auto"/>
              </w:rPr>
              <w:t>6.9%</w:t>
            </w:r>
          </w:p>
        </w:tc>
        <w:tc>
          <w:tcPr>
            <w:tcW w:w="1320" w:type="dxa"/>
            <w:vAlign w:val="bottom"/>
            <w:tcBorders>
              <w:right w:val="single" w:sz="8" w:color="auto"/>
            </w:tcBorders>
          </w:tcPr>
          <w:p>
            <w:pPr>
              <w:jc w:val="center"/>
              <w:ind w:left="223"/>
              <w:spacing w:after="0" w:line="99" w:lineRule="exact"/>
              <w:rPr>
                <w:sz w:val="20"/>
                <w:szCs w:val="20"/>
                <w:color w:val="auto"/>
              </w:rPr>
            </w:pPr>
            <w:r>
              <w:rPr>
                <w:rFonts w:ascii="Arial" w:cs="Arial" w:eastAsia="Arial" w:hAnsi="Arial"/>
                <w:sz w:val="11"/>
                <w:szCs w:val="11"/>
                <w:color w:val="auto"/>
                <w:w w:val="97"/>
              </w:rPr>
              <w:t>-0.5%</w:t>
            </w:r>
          </w:p>
        </w:tc>
        <w:tc>
          <w:tcPr>
            <w:tcW w:w="700" w:type="dxa"/>
            <w:vAlign w:val="bottom"/>
          </w:tcPr>
          <w:p>
            <w:pPr>
              <w:jc w:val="center"/>
              <w:ind w:left="243"/>
              <w:spacing w:after="0" w:line="99" w:lineRule="exact"/>
              <w:rPr>
                <w:sz w:val="20"/>
                <w:szCs w:val="20"/>
                <w:color w:val="auto"/>
              </w:rPr>
            </w:pPr>
            <w:r>
              <w:rPr>
                <w:rFonts w:ascii="Arial" w:cs="Arial" w:eastAsia="Arial" w:hAnsi="Arial"/>
                <w:sz w:val="11"/>
                <w:szCs w:val="11"/>
                <w:color w:val="auto"/>
              </w:rPr>
              <w:t>46.4%</w:t>
            </w:r>
          </w:p>
        </w:tc>
        <w:tc>
          <w:tcPr>
            <w:tcW w:w="1320" w:type="dxa"/>
            <w:vAlign w:val="bottom"/>
            <w:tcBorders>
              <w:right w:val="single" w:sz="8" w:color="auto"/>
            </w:tcBorders>
          </w:tcPr>
          <w:p>
            <w:pPr>
              <w:jc w:val="center"/>
              <w:ind w:left="223"/>
              <w:spacing w:after="0" w:line="99" w:lineRule="exact"/>
              <w:rPr>
                <w:sz w:val="20"/>
                <w:szCs w:val="20"/>
                <w:color w:val="auto"/>
              </w:rPr>
            </w:pPr>
            <w:r>
              <w:rPr>
                <w:rFonts w:ascii="Arial" w:cs="Arial" w:eastAsia="Arial" w:hAnsi="Arial"/>
                <w:sz w:val="11"/>
                <w:szCs w:val="11"/>
                <w:color w:val="auto"/>
              </w:rPr>
              <w:t>53.6%</w:t>
            </w:r>
          </w:p>
        </w:tc>
      </w:tr>
      <w:tr>
        <w:trPr>
          <w:trHeight w:val="122"/>
        </w:trPr>
        <w:tc>
          <w:tcPr>
            <w:tcW w:w="3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Saving deposits</w:t>
            </w:r>
          </w:p>
        </w:tc>
        <w:tc>
          <w:tcPr>
            <w:tcW w:w="152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54,769,045</w:t>
            </w:r>
          </w:p>
        </w:tc>
        <w:tc>
          <w:tcPr>
            <w:tcW w:w="1400" w:type="dxa"/>
            <w:vAlign w:val="bottom"/>
          </w:tcPr>
          <w:p>
            <w:pPr>
              <w:jc w:val="right"/>
              <w:ind w:right="263"/>
              <w:spacing w:after="0" w:line="122" w:lineRule="exact"/>
              <w:rPr>
                <w:sz w:val="20"/>
                <w:szCs w:val="20"/>
                <w:color w:val="auto"/>
              </w:rPr>
            </w:pPr>
            <w:r>
              <w:rPr>
                <w:rFonts w:ascii="Arial" w:cs="Arial" w:eastAsia="Arial" w:hAnsi="Arial"/>
                <w:sz w:val="11"/>
                <w:szCs w:val="11"/>
                <w:color w:val="auto"/>
              </w:rPr>
              <w:t>49,395,543</w:t>
            </w:r>
          </w:p>
        </w:tc>
        <w:tc>
          <w:tcPr>
            <w:tcW w:w="124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52,375,813</w:t>
            </w: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6.0%</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w w:val="97"/>
              </w:rPr>
              <w:t>-4.4%</w:t>
            </w: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57.8%</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42.2%</w:t>
            </w:r>
          </w:p>
        </w:tc>
      </w:tr>
      <w:tr>
        <w:trPr>
          <w:trHeight w:val="122"/>
        </w:trPr>
        <w:tc>
          <w:tcPr>
            <w:tcW w:w="3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Time deposits</w:t>
            </w:r>
          </w:p>
        </w:tc>
        <w:tc>
          <w:tcPr>
            <w:tcW w:w="152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38,897,010</w:t>
            </w:r>
          </w:p>
        </w:tc>
        <w:tc>
          <w:tcPr>
            <w:tcW w:w="1400" w:type="dxa"/>
            <w:vAlign w:val="bottom"/>
          </w:tcPr>
          <w:p>
            <w:pPr>
              <w:jc w:val="right"/>
              <w:ind w:right="263"/>
              <w:spacing w:after="0" w:line="122" w:lineRule="exact"/>
              <w:rPr>
                <w:sz w:val="20"/>
                <w:szCs w:val="20"/>
                <w:color w:val="auto"/>
              </w:rPr>
            </w:pPr>
            <w:r>
              <w:rPr>
                <w:rFonts w:ascii="Arial" w:cs="Arial" w:eastAsia="Arial" w:hAnsi="Arial"/>
                <w:sz w:val="11"/>
                <w:szCs w:val="11"/>
                <w:color w:val="auto"/>
              </w:rPr>
              <w:t>49,213,763</w:t>
            </w:r>
          </w:p>
        </w:tc>
        <w:tc>
          <w:tcPr>
            <w:tcW w:w="124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42,484,664</w:t>
            </w: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-13.7%</w:t>
            </w:r>
          </w:p>
        </w:tc>
        <w:tc>
          <w:tcPr>
            <w:tcW w:w="1320" w:type="dxa"/>
            <w:vAlign w:val="bottom"/>
            <w:tcBorders>
              <w:right w:val="single" w:sz="8" w:color="auto"/>
            </w:tcBorders>
          </w:tcPr>
          <w:p>
            <w:pPr>
              <w:jc w:val="center"/>
              <w:ind w:left="243"/>
              <w:spacing w:after="0" w:line="122" w:lineRule="exact"/>
              <w:rPr>
                <w:sz w:val="20"/>
                <w:szCs w:val="20"/>
                <w:color w:val="auto"/>
              </w:rPr>
            </w:pPr>
            <w:r>
              <w:rPr>
                <w:rFonts w:ascii="Arial" w:cs="Arial" w:eastAsia="Arial" w:hAnsi="Arial"/>
                <w:sz w:val="11"/>
                <w:szCs w:val="11"/>
                <w:color w:val="auto"/>
              </w:rPr>
              <w:t>9.2%</w:t>
            </w: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46.5%</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53.5%</w:t>
            </w:r>
          </w:p>
        </w:tc>
      </w:tr>
      <w:tr>
        <w:trPr>
          <w:trHeight w:val="122"/>
        </w:trPr>
        <w:tc>
          <w:tcPr>
            <w:tcW w:w="3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Severance indemnity deposits</w:t>
            </w:r>
          </w:p>
        </w:tc>
        <w:tc>
          <w:tcPr>
            <w:tcW w:w="152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3,824,629</w:t>
            </w:r>
          </w:p>
        </w:tc>
        <w:tc>
          <w:tcPr>
            <w:tcW w:w="1400" w:type="dxa"/>
            <w:vAlign w:val="bottom"/>
          </w:tcPr>
          <w:p>
            <w:pPr>
              <w:jc w:val="right"/>
              <w:ind w:right="263"/>
              <w:spacing w:after="0" w:line="122" w:lineRule="exact"/>
              <w:rPr>
                <w:sz w:val="20"/>
                <w:szCs w:val="20"/>
                <w:color w:val="auto"/>
              </w:rPr>
            </w:pPr>
            <w:r>
              <w:rPr>
                <w:rFonts w:ascii="Arial" w:cs="Arial" w:eastAsia="Arial" w:hAnsi="Arial"/>
                <w:sz w:val="11"/>
                <w:szCs w:val="11"/>
                <w:color w:val="auto"/>
              </w:rPr>
              <w:t>3,245,358</w:t>
            </w:r>
          </w:p>
        </w:tc>
        <w:tc>
          <w:tcPr>
            <w:tcW w:w="124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3,185,603</w:t>
            </w: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-1.8%</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-16.7%</w:t>
            </w: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72.1%</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27.9%</w:t>
            </w:r>
          </w:p>
        </w:tc>
      </w:tr>
      <w:tr>
        <w:trPr>
          <w:trHeight w:val="137"/>
        </w:trPr>
        <w:tc>
          <w:tcPr>
            <w:tcW w:w="30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Interest payable</w:t>
            </w:r>
          </w:p>
        </w:tc>
        <w:tc>
          <w:tcPr>
            <w:tcW w:w="15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1,062,856</w:t>
            </w:r>
          </w:p>
        </w:tc>
        <w:tc>
          <w:tcPr>
            <w:tcW w:w="1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1,496,744</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color w:val="auto"/>
              </w:rPr>
              <w:t>1,429,592</w:t>
            </w:r>
          </w:p>
        </w:tc>
        <w:tc>
          <w:tcPr>
            <w:tcW w:w="70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color w:val="auto"/>
              </w:rPr>
              <w:t>-4.5%</w:t>
            </w:r>
          </w:p>
        </w:tc>
        <w:tc>
          <w:tcPr>
            <w:tcW w:w="1320" w:type="dxa"/>
            <w:vAlign w:val="bottom"/>
            <w:tcBorders>
              <w:bottom w:val="single" w:sz="8" w:color="auto"/>
              <w:right w:val="single" w:sz="8" w:color="auto"/>
            </w:tcBorders>
          </w:tcPr>
          <w:p>
            <w:pPr>
              <w:jc w:val="center"/>
              <w:ind w:left="223"/>
              <w:spacing w:after="0"/>
              <w:rPr>
                <w:sz w:val="20"/>
                <w:szCs w:val="20"/>
                <w:color w:val="auto"/>
              </w:rPr>
            </w:pPr>
            <w:r>
              <w:rPr>
                <w:rFonts w:ascii="Arial" w:cs="Arial" w:eastAsia="Arial" w:hAnsi="Arial"/>
                <w:sz w:val="11"/>
                <w:szCs w:val="11"/>
                <w:color w:val="auto"/>
              </w:rPr>
              <w:t>34.5%</w:t>
            </w:r>
          </w:p>
        </w:tc>
        <w:tc>
          <w:tcPr>
            <w:tcW w:w="70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color w:val="auto"/>
              </w:rPr>
              <w:t>50.9%</w:t>
            </w:r>
          </w:p>
        </w:tc>
        <w:tc>
          <w:tcPr>
            <w:tcW w:w="1320" w:type="dxa"/>
            <w:vAlign w:val="bottom"/>
            <w:tcBorders>
              <w:bottom w:val="single" w:sz="8" w:color="auto"/>
              <w:right w:val="single" w:sz="8" w:color="auto"/>
            </w:tcBorders>
          </w:tcPr>
          <w:p>
            <w:pPr>
              <w:jc w:val="center"/>
              <w:ind w:left="223"/>
              <w:spacing w:after="0"/>
              <w:rPr>
                <w:sz w:val="20"/>
                <w:szCs w:val="20"/>
                <w:color w:val="auto"/>
              </w:rPr>
            </w:pPr>
            <w:r>
              <w:rPr>
                <w:rFonts w:ascii="Arial" w:cs="Arial" w:eastAsia="Arial" w:hAnsi="Arial"/>
                <w:sz w:val="11"/>
                <w:szCs w:val="11"/>
                <w:color w:val="auto"/>
              </w:rPr>
              <w:t>49.1%</w:t>
            </w:r>
          </w:p>
        </w:tc>
      </w:tr>
      <w:tr>
        <w:trPr>
          <w:trHeight w:val="114"/>
        </w:trPr>
        <w:tc>
          <w:tcPr>
            <w:tcW w:w="3060" w:type="dxa"/>
            <w:vAlign w:val="bottom"/>
            <w:tcBorders>
              <w:left w:val="single" w:sz="8" w:color="auto"/>
              <w:bottom w:val="single" w:sz="8" w:color="auto"/>
              <w:right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Total Deposits</w:t>
            </w:r>
          </w:p>
        </w:tc>
        <w:tc>
          <w:tcPr>
            <w:tcW w:w="152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b w:val="1"/>
                <w:bCs w:val="1"/>
                <w:color w:val="auto"/>
              </w:rPr>
              <w:t>147,020,787</w:t>
            </w:r>
          </w:p>
        </w:tc>
        <w:tc>
          <w:tcPr>
            <w:tcW w:w="1400" w:type="dxa"/>
            <w:vAlign w:val="bottom"/>
            <w:tcBorders>
              <w:bottom w:val="single" w:sz="8" w:color="auto"/>
            </w:tcBorders>
          </w:tcPr>
          <w:p>
            <w:pPr>
              <w:jc w:val="right"/>
              <w:ind w:right="263"/>
              <w:spacing w:after="0" w:line="114" w:lineRule="exact"/>
              <w:rPr>
                <w:sz w:val="20"/>
                <w:szCs w:val="20"/>
                <w:color w:val="auto"/>
              </w:rPr>
            </w:pPr>
            <w:r>
              <w:rPr>
                <w:rFonts w:ascii="Arial" w:cs="Arial" w:eastAsia="Arial" w:hAnsi="Arial"/>
                <w:sz w:val="11"/>
                <w:szCs w:val="11"/>
                <w:b w:val="1"/>
                <w:bCs w:val="1"/>
                <w:color w:val="auto"/>
              </w:rPr>
              <w:t>148,471,535</w:t>
            </w:r>
          </w:p>
        </w:tc>
        <w:tc>
          <w:tcPr>
            <w:tcW w:w="1240" w:type="dxa"/>
            <w:vAlign w:val="bottom"/>
            <w:tcBorders>
              <w:bottom w:val="single" w:sz="8" w:color="auto"/>
              <w:right w:val="single" w:sz="8" w:color="auto"/>
            </w:tcBorders>
          </w:tcPr>
          <w:p>
            <w:pPr>
              <w:jc w:val="right"/>
              <w:ind w:right="43"/>
              <w:spacing w:after="0" w:line="114" w:lineRule="exact"/>
              <w:rPr>
                <w:sz w:val="20"/>
                <w:szCs w:val="20"/>
                <w:color w:val="auto"/>
              </w:rPr>
            </w:pPr>
            <w:r>
              <w:rPr>
                <w:rFonts w:ascii="Arial" w:cs="Arial" w:eastAsia="Arial" w:hAnsi="Arial"/>
                <w:sz w:val="11"/>
                <w:szCs w:val="11"/>
                <w:b w:val="1"/>
                <w:bCs w:val="1"/>
                <w:color w:val="auto"/>
              </w:rPr>
              <w:t>147,704,994</w:t>
            </w:r>
          </w:p>
        </w:tc>
        <w:tc>
          <w:tcPr>
            <w:tcW w:w="700" w:type="dxa"/>
            <w:vAlign w:val="bottom"/>
            <w:tcBorders>
              <w:bottom w:val="single" w:sz="8" w:color="auto"/>
            </w:tcBorders>
          </w:tcPr>
          <w:p>
            <w:pPr>
              <w:jc w:val="center"/>
              <w:ind w:left="223"/>
              <w:spacing w:after="0" w:line="114" w:lineRule="exact"/>
              <w:rPr>
                <w:sz w:val="20"/>
                <w:szCs w:val="20"/>
                <w:color w:val="auto"/>
              </w:rPr>
            </w:pPr>
            <w:r>
              <w:rPr>
                <w:rFonts w:ascii="Arial" w:cs="Arial" w:eastAsia="Arial" w:hAnsi="Arial"/>
                <w:sz w:val="11"/>
                <w:szCs w:val="11"/>
                <w:b w:val="1"/>
                <w:bCs w:val="1"/>
                <w:color w:val="auto"/>
              </w:rPr>
              <w:t>-0.5%</w:t>
            </w:r>
          </w:p>
        </w:tc>
        <w:tc>
          <w:tcPr>
            <w:tcW w:w="1320" w:type="dxa"/>
            <w:vAlign w:val="bottom"/>
            <w:tcBorders>
              <w:bottom w:val="single" w:sz="8" w:color="auto"/>
              <w:right w:val="single" w:sz="8" w:color="auto"/>
            </w:tcBorders>
          </w:tcPr>
          <w:p>
            <w:pPr>
              <w:jc w:val="center"/>
              <w:ind w:left="243"/>
              <w:spacing w:after="0" w:line="114" w:lineRule="exact"/>
              <w:rPr>
                <w:sz w:val="20"/>
                <w:szCs w:val="20"/>
                <w:color w:val="auto"/>
              </w:rPr>
            </w:pPr>
            <w:r>
              <w:rPr>
                <w:rFonts w:ascii="Arial" w:cs="Arial" w:eastAsia="Arial" w:hAnsi="Arial"/>
                <w:sz w:val="11"/>
                <w:szCs w:val="11"/>
                <w:b w:val="1"/>
                <w:bCs w:val="1"/>
                <w:color w:val="auto"/>
              </w:rPr>
              <w:t>0.5%</w:t>
            </w:r>
          </w:p>
        </w:tc>
        <w:tc>
          <w:tcPr>
            <w:tcW w:w="700" w:type="dxa"/>
            <w:vAlign w:val="bottom"/>
            <w:tcBorders>
              <w:bottom w:val="single" w:sz="8" w:color="auto"/>
            </w:tcBorders>
          </w:tcPr>
          <w:p>
            <w:pPr>
              <w:jc w:val="center"/>
              <w:ind w:left="243"/>
              <w:spacing w:after="0" w:line="114" w:lineRule="exact"/>
              <w:rPr>
                <w:sz w:val="20"/>
                <w:szCs w:val="20"/>
                <w:color w:val="auto"/>
              </w:rPr>
            </w:pPr>
            <w:r>
              <w:rPr>
                <w:rFonts w:ascii="Arial" w:cs="Arial" w:eastAsia="Arial" w:hAnsi="Arial"/>
                <w:sz w:val="11"/>
                <w:szCs w:val="11"/>
                <w:b w:val="1"/>
                <w:bCs w:val="1"/>
                <w:color w:val="auto"/>
              </w:rPr>
              <w:t>50.9%</w:t>
            </w:r>
          </w:p>
        </w:tc>
        <w:tc>
          <w:tcPr>
            <w:tcW w:w="1320" w:type="dxa"/>
            <w:vAlign w:val="bottom"/>
            <w:tcBorders>
              <w:bottom w:val="single" w:sz="8" w:color="auto"/>
              <w:right w:val="single" w:sz="8" w:color="auto"/>
            </w:tcBorders>
          </w:tcPr>
          <w:p>
            <w:pPr>
              <w:jc w:val="center"/>
              <w:ind w:left="223"/>
              <w:spacing w:after="0" w:line="114" w:lineRule="exact"/>
              <w:rPr>
                <w:sz w:val="20"/>
                <w:szCs w:val="20"/>
                <w:color w:val="auto"/>
              </w:rPr>
            </w:pPr>
            <w:r>
              <w:rPr>
                <w:rFonts w:ascii="Arial" w:cs="Arial" w:eastAsia="Arial" w:hAnsi="Arial"/>
                <w:sz w:val="11"/>
                <w:szCs w:val="11"/>
                <w:b w:val="1"/>
                <w:bCs w:val="1"/>
                <w:color w:val="auto"/>
              </w:rPr>
              <w:t>49.1%</w:t>
            </w:r>
          </w:p>
        </w:tc>
      </w:tr>
    </w:tbl>
    <w:p>
      <w:pPr>
        <w:spacing w:after="0" w:line="166"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Total Deposit</w:t>
      </w:r>
      <w:r>
        <w:rPr>
          <w:rFonts w:ascii="Arial" w:cs="Arial" w:eastAsia="Arial" w:hAnsi="Arial"/>
          <w:sz w:val="16"/>
          <w:szCs w:val="16"/>
          <w:color w:val="auto"/>
        </w:rPr>
        <w:t xml:space="preserve"> balance fell 0.5% QoQ. Notwithstanding, if we maintain a neutral Exchange rate, the increase stands at 0.6%. Growth in total deposits was driven by:</w:t>
      </w:r>
    </w:p>
    <w:p>
      <w:pPr>
        <w:spacing w:after="0" w:line="121" w:lineRule="exact"/>
        <w:rPr>
          <w:sz w:val="20"/>
          <w:szCs w:val="20"/>
          <w:color w:val="auto"/>
        </w:rPr>
      </w:pPr>
    </w:p>
    <w:p>
      <w:pPr>
        <w:ind w:left="580" w:right="20" w:hanging="290"/>
        <w:spacing w:after="0" w:line="248"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Growth of 6.9% in the balance of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(+8.2%, neutral exchange rate). This uptick was attributable to an increase in FC and LC balances for deposits held by corporate and institutional clients at BCP, which was impacted by expirations of renumerated deposits.</w:t>
      </w:r>
    </w:p>
    <w:p>
      <w:pPr>
        <w:spacing w:after="0" w:line="1" w:lineRule="exact"/>
        <w:rPr>
          <w:rFonts w:ascii="Arial" w:cs="Arial" w:eastAsia="Arial" w:hAnsi="Arial"/>
          <w:sz w:val="16"/>
          <w:szCs w:val="16"/>
          <w:color w:val="auto"/>
        </w:rPr>
      </w:pPr>
    </w:p>
    <w:p>
      <w:pPr>
        <w:ind w:left="580" w:right="20" w:hanging="290"/>
        <w:spacing w:after="0" w:line="258"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Increase of 6.0% in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(+7.0%, exchange rate neutral). This growth was driven by an increase in deposit balances in both currencies at BCP, which were bolstered by inflow from year-end and statutory bonuses.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was partially offset by:</w:t>
      </w:r>
    </w:p>
    <w:p>
      <w:pPr>
        <w:spacing w:after="0" w:line="182" w:lineRule="exact"/>
        <w:rPr>
          <w:sz w:val="20"/>
          <w:szCs w:val="20"/>
          <w:color w:val="auto"/>
        </w:rPr>
      </w:pPr>
    </w:p>
    <w:p>
      <w:pPr>
        <w:jc w:val="both"/>
        <w:ind w:left="580" w:right="20" w:hanging="290"/>
        <w:spacing w:after="0" w:line="253"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 13.7% reduction in the balance of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(-12.6%, neutral exchange rate), which was driven primarily by expirations of deposits held by corporate and institutional clients at BCP. These funds subsequently migrated to deposits with lower interest. It is important to note that this decline occurred after various months of on-going increases in the balance and reversed the trend toward recording higher balances for higher-yield deposits.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YoY, the </w:t>
      </w:r>
      <w:r>
        <w:rPr>
          <w:rFonts w:ascii="Arial" w:cs="Arial" w:eastAsia="Arial" w:hAnsi="Arial"/>
          <w:sz w:val="16"/>
          <w:szCs w:val="16"/>
          <w:b w:val="1"/>
          <w:bCs w:val="1"/>
          <w:color w:val="auto"/>
        </w:rPr>
        <w:t>Total Deposit balance</w:t>
      </w:r>
      <w:r>
        <w:rPr>
          <w:rFonts w:ascii="Arial" w:cs="Arial" w:eastAsia="Arial" w:hAnsi="Arial"/>
          <w:sz w:val="16"/>
          <w:szCs w:val="16"/>
          <w:color w:val="auto"/>
        </w:rPr>
        <w:t xml:space="preserve"> increased 0.5% (+1.9% neutral exchange rate). The following dynamics stood out:</w:t>
      </w:r>
    </w:p>
    <w:p>
      <w:pPr>
        <w:spacing w:after="0" w:line="182" w:lineRule="exact"/>
        <w:rPr>
          <w:sz w:val="20"/>
          <w:szCs w:val="20"/>
          <w:color w:val="auto"/>
        </w:rPr>
      </w:pPr>
    </w:p>
    <w:p>
      <w:pPr>
        <w:jc w:val="both"/>
        <w:ind w:left="580" w:right="20" w:hanging="290"/>
        <w:spacing w:after="0" w:line="258"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9.2% growth (+10.9% neutral exchange rate) in the </w:t>
      </w:r>
      <w:r>
        <w:rPr>
          <w:rFonts w:ascii="Arial" w:cs="Arial" w:eastAsia="Arial" w:hAnsi="Arial"/>
          <w:sz w:val="16"/>
          <w:szCs w:val="16"/>
          <w:b w:val="1"/>
          <w:bCs w:val="1"/>
          <w:color w:val="auto"/>
        </w:rPr>
        <w:t>Time Deposit</w:t>
      </w:r>
      <w:r>
        <w:rPr>
          <w:rFonts w:ascii="Arial" w:cs="Arial" w:eastAsia="Arial" w:hAnsi="Arial"/>
          <w:sz w:val="16"/>
          <w:szCs w:val="16"/>
          <w:color w:val="auto"/>
        </w:rPr>
        <w:t xml:space="preserve"> balance, which was driven primarily by Wholesale and Retail clients at BCP, who transferred funds to high-yield deposits in FC. This dynamic also fueled, albeit to a lesser extent, fund migration at Mibanco and BCP Bolivia as clients sought out higher interest.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was partially offset by:</w:t>
      </w:r>
    </w:p>
    <w:p>
      <w:pPr>
        <w:spacing w:after="0" w:line="182" w:lineRule="exact"/>
        <w:rPr>
          <w:sz w:val="20"/>
          <w:szCs w:val="20"/>
          <w:color w:val="auto"/>
        </w:rPr>
      </w:pPr>
    </w:p>
    <w:p>
      <w:pPr>
        <w:jc w:val="both"/>
        <w:ind w:left="580" w:right="20" w:hanging="290"/>
        <w:spacing w:after="0" w:line="258"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 4.4% reduction in the balance for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(-3.2%, neutral exchange rate) in FC, primarily at BCP and secondarily at Mibanco and BCP Bolivia. This decline was primarily fueled by internal migration of funds to deposits that bear lower interest rates. It is important to note that this decline in the balance of BCP is smaller compared to the generalized decline registered system-wide.</w:t>
      </w:r>
    </w:p>
    <w:p>
      <w:pPr>
        <w:spacing w:after="0" w:line="138" w:lineRule="exact"/>
        <w:rPr>
          <w:rFonts w:ascii="Arial" w:cs="Arial" w:eastAsia="Arial" w:hAnsi="Arial"/>
          <w:sz w:val="16"/>
          <w:szCs w:val="16"/>
          <w:color w:val="auto"/>
        </w:rPr>
      </w:pPr>
    </w:p>
    <w:p>
      <w:pPr>
        <w:ind w:left="580" w:right="20" w:hanging="290"/>
        <w:spacing w:after="0" w:line="279"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 16.7% reduction in </w:t>
      </w:r>
      <w:r>
        <w:rPr>
          <w:rFonts w:ascii="Arial" w:cs="Arial" w:eastAsia="Arial" w:hAnsi="Arial"/>
          <w:sz w:val="16"/>
          <w:szCs w:val="16"/>
          <w:b w:val="1"/>
          <w:bCs w:val="1"/>
          <w:color w:val="auto"/>
        </w:rPr>
        <w:t>Severance Indemnity (CTS)</w:t>
      </w:r>
      <w:r>
        <w:rPr>
          <w:rFonts w:ascii="Arial" w:cs="Arial" w:eastAsia="Arial" w:hAnsi="Arial"/>
          <w:sz w:val="16"/>
          <w:szCs w:val="16"/>
          <w:color w:val="auto"/>
        </w:rPr>
        <w:t xml:space="preserve"> (-16.0%, neutral exchange rate), which reflects client fund withdrawals to cover liquidity needs and fund migration to higher-yield deposits in both LC and FC in a context of higher interest rates.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58"/>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27" w:name="page28"/>
    <w:bookmarkEnd w:id="27"/>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476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02. Deposits</w:t>
      </w:r>
    </w:p>
    <w:p>
      <w:pPr>
        <w:spacing w:after="0" w:line="27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Low-cost deposit volumes (Demand + Savings) rose 6.4% QoQ but fell 2.5% YoY. It is important to note that we have managed to recover a significant proportion of our total deposits being low-cost, representing 68.1% (+445 bps QoQ), which reflects prudent management of our mix and a solid capacity to obtain favorable financial margins.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Dollarization level of Deposits</w:t>
      </w:r>
    </w:p>
    <w:p>
      <w:pPr>
        <w:spacing w:after="0" w:line="174"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2760" w:type="dxa"/>
            <w:vAlign w:val="bottom"/>
          </w:tcPr>
          <w:p>
            <w:pPr>
              <w:ind w:left="440"/>
              <w:spacing w:after="0"/>
              <w:rPr>
                <w:sz w:val="20"/>
                <w:szCs w:val="20"/>
                <w:color w:val="auto"/>
              </w:rPr>
            </w:pPr>
            <w:r>
              <w:rPr>
                <w:rFonts w:ascii="Arial" w:cs="Arial" w:eastAsia="Arial" w:hAnsi="Arial"/>
                <w:sz w:val="16"/>
                <w:szCs w:val="16"/>
                <w:b w:val="1"/>
                <w:bCs w:val="1"/>
                <w:color w:val="auto"/>
              </w:rPr>
              <w:t>Deposits by Currency</w:t>
            </w:r>
          </w:p>
        </w:tc>
        <w:tc>
          <w:tcPr>
            <w:tcW w:w="7100" w:type="dxa"/>
            <w:vAlign w:val="bottom"/>
          </w:tcPr>
          <w:p>
            <w:pPr>
              <w:spacing w:after="0"/>
              <w:rPr>
                <w:sz w:val="16"/>
                <w:szCs w:val="16"/>
                <w:color w:val="auto"/>
              </w:rPr>
            </w:pPr>
          </w:p>
        </w:tc>
      </w:tr>
      <w:tr>
        <w:trPr>
          <w:trHeight w:val="183"/>
        </w:trPr>
        <w:tc>
          <w:tcPr>
            <w:tcW w:w="2760" w:type="dxa"/>
            <w:vAlign w:val="bottom"/>
          </w:tcPr>
          <w:p>
            <w:pPr>
              <w:spacing w:after="0" w:line="183" w:lineRule="exact"/>
              <w:rPr>
                <w:sz w:val="20"/>
                <w:szCs w:val="20"/>
                <w:color w:val="auto"/>
              </w:rPr>
            </w:pPr>
            <w:r>
              <w:rPr>
                <w:rFonts w:ascii="Arial" w:cs="Arial" w:eastAsia="Arial" w:hAnsi="Arial"/>
                <w:sz w:val="16"/>
                <w:szCs w:val="16"/>
                <w:color w:val="auto"/>
              </w:rPr>
              <w:t>(measured in quarter-end balances)</w:t>
            </w: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At the end of December 2023, the level of dollarization of Total Deposits</w:t>
            </w:r>
          </w:p>
        </w:tc>
      </w:tr>
      <w:tr>
        <w:trPr>
          <w:trHeight w:val="183"/>
        </w:trPr>
        <w:tc>
          <w:tcPr>
            <w:tcW w:w="2760" w:type="dxa"/>
            <w:vAlign w:val="bottom"/>
          </w:tcPr>
          <w:p>
            <w:pPr>
              <w:spacing w:after="0"/>
              <w:rPr>
                <w:sz w:val="15"/>
                <w:szCs w:val="15"/>
                <w:color w:val="auto"/>
              </w:rPr>
            </w:pP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increased 20 bps QoQ, standing at 49.1%, which fell below the average</w:t>
            </w:r>
          </w:p>
        </w:tc>
      </w:tr>
      <w:tr>
        <w:trPr>
          <w:trHeight w:val="183"/>
        </w:trPr>
        <w:tc>
          <w:tcPr>
            <w:tcW w:w="2760" w:type="dxa"/>
            <w:vAlign w:val="bottom"/>
          </w:tcPr>
          <w:p>
            <w:pPr>
              <w:spacing w:after="0"/>
              <w:rPr>
                <w:sz w:val="15"/>
                <w:szCs w:val="15"/>
                <w:color w:val="auto"/>
              </w:rPr>
            </w:pP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registered for the past 2 years (50.0%). This increase was primarily driven</w:t>
            </w:r>
          </w:p>
        </w:tc>
      </w:tr>
      <w:tr>
        <w:trPr>
          <w:trHeight w:val="183"/>
        </w:trPr>
        <w:tc>
          <w:tcPr>
            <w:tcW w:w="2760" w:type="dxa"/>
            <w:vAlign w:val="bottom"/>
          </w:tcPr>
          <w:p>
            <w:pPr>
              <w:spacing w:after="0"/>
              <w:rPr>
                <w:sz w:val="15"/>
                <w:szCs w:val="15"/>
                <w:color w:val="auto"/>
              </w:rPr>
            </w:pP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where the drop in the balance of LC deposits outpaced</w:t>
            </w:r>
          </w:p>
        </w:tc>
      </w:tr>
      <w:tr>
        <w:trPr>
          <w:trHeight w:val="183"/>
        </w:trPr>
        <w:tc>
          <w:tcPr>
            <w:tcW w:w="2760" w:type="dxa"/>
            <w:vAlign w:val="bottom"/>
          </w:tcPr>
          <w:p>
            <w:pPr>
              <w:spacing w:after="0"/>
              <w:rPr>
                <w:sz w:val="15"/>
                <w:szCs w:val="15"/>
                <w:color w:val="auto"/>
              </w:rPr>
            </w:pP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the reduction registered for FC deposits due to expirations of corporate</w:t>
            </w:r>
          </w:p>
        </w:tc>
      </w:tr>
      <w:tr>
        <w:trPr>
          <w:trHeight w:val="183"/>
        </w:trPr>
        <w:tc>
          <w:tcPr>
            <w:tcW w:w="2760" w:type="dxa"/>
            <w:vAlign w:val="bottom"/>
          </w:tcPr>
          <w:p>
            <w:pPr>
              <w:spacing w:after="0"/>
              <w:rPr>
                <w:sz w:val="15"/>
                <w:szCs w:val="15"/>
                <w:color w:val="auto"/>
              </w:rPr>
            </w:pP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 xml:space="preserve">and institutional deposits. </w:t>
            </w:r>
            <w:r>
              <w:rPr>
                <w:rFonts w:ascii="Arial" w:cs="Arial" w:eastAsia="Arial" w:hAnsi="Arial"/>
                <w:sz w:val="16"/>
                <w:szCs w:val="16"/>
                <w:b w:val="1"/>
                <w:bCs w:val="1"/>
                <w:color w:val="auto"/>
              </w:rPr>
              <w:t>Demand Deposits</w:t>
            </w:r>
            <w:r>
              <w:rPr>
                <w:rFonts w:ascii="Arial" w:cs="Arial" w:eastAsia="Arial" w:hAnsi="Arial"/>
                <w:sz w:val="16"/>
                <w:szCs w:val="16"/>
                <w:color w:val="auto"/>
              </w:rPr>
              <w:t>, in turn, registered a larger</w:t>
            </w:r>
          </w:p>
        </w:tc>
      </w:tr>
      <w:tr>
        <w:trPr>
          <w:trHeight w:val="215"/>
        </w:trPr>
        <w:tc>
          <w:tcPr>
            <w:tcW w:w="2760" w:type="dxa"/>
            <w:vAlign w:val="bottom"/>
          </w:tcPr>
          <w:p>
            <w:pPr>
              <w:spacing w:after="0"/>
              <w:rPr>
                <w:sz w:val="18"/>
                <w:szCs w:val="18"/>
                <w:color w:val="auto"/>
              </w:rPr>
            </w:pPr>
          </w:p>
        </w:tc>
        <w:tc>
          <w:tcPr>
            <w:tcW w:w="7100" w:type="dxa"/>
            <w:vAlign w:val="bottom"/>
          </w:tcPr>
          <w:p>
            <w:pPr>
              <w:ind w:left="1680"/>
              <w:spacing w:after="0"/>
              <w:rPr>
                <w:sz w:val="20"/>
                <w:szCs w:val="20"/>
                <w:color w:val="auto"/>
              </w:rPr>
            </w:pPr>
            <w:r>
              <w:rPr>
                <w:rFonts w:ascii="Arial" w:cs="Arial" w:eastAsia="Arial" w:hAnsi="Arial"/>
                <w:sz w:val="16"/>
                <w:szCs w:val="16"/>
                <w:color w:val="auto"/>
              </w:rPr>
              <w:t>increase in the balance of LC deposits versus FC deposits.</w:t>
            </w:r>
          </w:p>
        </w:tc>
      </w:tr>
      <w:tr>
        <w:trPr>
          <w:trHeight w:val="334"/>
        </w:trPr>
        <w:tc>
          <w:tcPr>
            <w:tcW w:w="2760" w:type="dxa"/>
            <w:vAlign w:val="bottom"/>
          </w:tcPr>
          <w:p>
            <w:pPr>
              <w:spacing w:after="0"/>
              <w:rPr>
                <w:sz w:val="24"/>
                <w:szCs w:val="24"/>
                <w:color w:val="auto"/>
              </w:rPr>
            </w:pPr>
          </w:p>
        </w:tc>
        <w:tc>
          <w:tcPr>
            <w:tcW w:w="7100" w:type="dxa"/>
            <w:vAlign w:val="bottom"/>
          </w:tcPr>
          <w:p>
            <w:pPr>
              <w:ind w:left="1680"/>
              <w:spacing w:after="0"/>
              <w:rPr>
                <w:sz w:val="20"/>
                <w:szCs w:val="20"/>
                <w:color w:val="auto"/>
              </w:rPr>
            </w:pPr>
            <w:r>
              <w:rPr>
                <w:rFonts w:ascii="Arial" w:cs="Arial" w:eastAsia="Arial" w:hAnsi="Arial"/>
                <w:sz w:val="16"/>
                <w:szCs w:val="16"/>
                <w:color w:val="auto"/>
              </w:rPr>
              <w:t xml:space="preserve">YoY, dollarization dropped 70 bps due to a drop in </w:t>
            </w:r>
            <w:r>
              <w:rPr>
                <w:rFonts w:ascii="Arial" w:cs="Arial" w:eastAsia="Arial" w:hAnsi="Arial"/>
                <w:sz w:val="16"/>
                <w:szCs w:val="16"/>
                <w:b w:val="1"/>
                <w:bCs w:val="1"/>
                <w:color w:val="auto"/>
              </w:rPr>
              <w:t>Savings Deposits</w:t>
            </w:r>
          </w:p>
        </w:tc>
      </w:tr>
      <w:tr>
        <w:trPr>
          <w:trHeight w:val="183"/>
        </w:trPr>
        <w:tc>
          <w:tcPr>
            <w:tcW w:w="2760" w:type="dxa"/>
            <w:vAlign w:val="bottom"/>
          </w:tcPr>
          <w:p>
            <w:pPr>
              <w:spacing w:after="0"/>
              <w:rPr>
                <w:sz w:val="15"/>
                <w:szCs w:val="15"/>
                <w:color w:val="auto"/>
              </w:rPr>
            </w:pP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 xml:space="preserve">(-9.6%) and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(-3.3%), both in FC. Both of these variations</w:t>
            </w:r>
          </w:p>
        </w:tc>
      </w:tr>
      <w:tr>
        <w:trPr>
          <w:trHeight w:val="183"/>
        </w:trPr>
        <w:tc>
          <w:tcPr>
            <w:tcW w:w="2760" w:type="dxa"/>
            <w:vAlign w:val="bottom"/>
          </w:tcPr>
          <w:p>
            <w:pPr>
              <w:spacing w:after="0"/>
              <w:rPr>
                <w:sz w:val="15"/>
                <w:szCs w:val="15"/>
                <w:color w:val="auto"/>
              </w:rPr>
            </w:pP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were driven primarily by fund migration to higher-yield deposits. Growth in</w:t>
            </w:r>
          </w:p>
        </w:tc>
      </w:tr>
      <w:tr>
        <w:trPr>
          <w:trHeight w:val="183"/>
        </w:trPr>
        <w:tc>
          <w:tcPr>
            <w:tcW w:w="2760" w:type="dxa"/>
            <w:vAlign w:val="bottom"/>
          </w:tcPr>
          <w:p>
            <w:pPr>
              <w:spacing w:after="0"/>
              <w:rPr>
                <w:sz w:val="15"/>
                <w:szCs w:val="15"/>
                <w:color w:val="auto"/>
              </w:rPr>
            </w:pPr>
          </w:p>
        </w:tc>
        <w:tc>
          <w:tcPr>
            <w:tcW w:w="7100" w:type="dxa"/>
            <w:vAlign w:val="bottom"/>
          </w:tcPr>
          <w:p>
            <w:pPr>
              <w:ind w:left="1680"/>
              <w:spacing w:after="0" w:line="183" w:lineRule="exact"/>
              <w:rPr>
                <w:sz w:val="20"/>
                <w:szCs w:val="20"/>
                <w:color w:val="auto"/>
              </w:rPr>
            </w:pPr>
            <w:r>
              <w:rPr>
                <w:rFonts w:ascii="Arial" w:cs="Arial" w:eastAsia="Arial" w:hAnsi="Arial"/>
                <w:sz w:val="16"/>
                <w:szCs w:val="16"/>
                <w:color w:val="auto"/>
              </w:rPr>
              <w:t xml:space="preserve">balances for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(+2.96%) and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(+5.1%) in</w:t>
            </w:r>
          </w:p>
        </w:tc>
      </w:tr>
      <w:tr>
        <w:trPr>
          <w:trHeight w:val="215"/>
        </w:trPr>
        <w:tc>
          <w:tcPr>
            <w:tcW w:w="2760" w:type="dxa"/>
            <w:vAlign w:val="bottom"/>
          </w:tcPr>
          <w:p>
            <w:pPr>
              <w:spacing w:after="0"/>
              <w:rPr>
                <w:sz w:val="18"/>
                <w:szCs w:val="18"/>
                <w:color w:val="auto"/>
              </w:rPr>
            </w:pPr>
          </w:p>
        </w:tc>
        <w:tc>
          <w:tcPr>
            <w:tcW w:w="7100" w:type="dxa"/>
            <w:vAlign w:val="bottom"/>
          </w:tcPr>
          <w:p>
            <w:pPr>
              <w:ind w:left="1680"/>
              <w:spacing w:after="0"/>
              <w:rPr>
                <w:sz w:val="20"/>
                <w:szCs w:val="20"/>
                <w:color w:val="auto"/>
              </w:rPr>
            </w:pPr>
            <w:r>
              <w:rPr>
                <w:rFonts w:ascii="Arial" w:cs="Arial" w:eastAsia="Arial" w:hAnsi="Arial"/>
                <w:sz w:val="16"/>
                <w:szCs w:val="16"/>
                <w:color w:val="auto"/>
              </w:rPr>
              <w:t>LC contributed to this dynamic.</w:t>
            </w:r>
          </w:p>
        </w:tc>
      </w:tr>
      <w:tr>
        <w:trPr>
          <w:trHeight w:val="907"/>
        </w:trPr>
        <w:tc>
          <w:tcPr>
            <w:tcW w:w="2760" w:type="dxa"/>
            <w:vAlign w:val="bottom"/>
          </w:tcPr>
          <w:p>
            <w:pPr>
              <w:spacing w:after="0"/>
              <w:rPr>
                <w:sz w:val="24"/>
                <w:szCs w:val="24"/>
                <w:color w:val="auto"/>
              </w:rPr>
            </w:pPr>
          </w:p>
        </w:tc>
        <w:tc>
          <w:tcPr>
            <w:tcW w:w="7100" w:type="dxa"/>
            <w:vAlign w:val="bottom"/>
          </w:tcPr>
          <w:p>
            <w:pPr>
              <w:ind w:left="220"/>
              <w:spacing w:after="0"/>
              <w:rPr>
                <w:sz w:val="20"/>
                <w:szCs w:val="20"/>
                <w:color w:val="auto"/>
              </w:rPr>
            </w:pPr>
            <w:r>
              <w:rPr>
                <w:rFonts w:ascii="Arial" w:cs="Arial" w:eastAsia="Arial" w:hAnsi="Arial"/>
                <w:sz w:val="16"/>
                <w:szCs w:val="16"/>
                <w:b w:val="1"/>
                <w:bCs w:val="1"/>
                <w:color w:val="auto"/>
              </w:rPr>
              <w:t>Deposits by Currency and Type</w:t>
            </w:r>
          </w:p>
        </w:tc>
      </w:tr>
      <w:tr>
        <w:trPr>
          <w:trHeight w:val="215"/>
        </w:trPr>
        <w:tc>
          <w:tcPr>
            <w:tcW w:w="2760" w:type="dxa"/>
            <w:vAlign w:val="bottom"/>
          </w:tcPr>
          <w:p>
            <w:pPr>
              <w:spacing w:after="0"/>
              <w:rPr>
                <w:sz w:val="18"/>
                <w:szCs w:val="18"/>
                <w:color w:val="auto"/>
              </w:rPr>
            </w:pPr>
          </w:p>
        </w:tc>
        <w:tc>
          <w:tcPr>
            <w:tcW w:w="7100" w:type="dxa"/>
            <w:vAlign w:val="bottom"/>
          </w:tcPr>
          <w:p>
            <w:pPr>
              <w:ind w:left="180"/>
              <w:spacing w:after="0"/>
              <w:rPr>
                <w:sz w:val="20"/>
                <w:szCs w:val="20"/>
                <w:color w:val="auto"/>
              </w:rPr>
            </w:pPr>
            <w:r>
              <w:rPr>
                <w:rFonts w:ascii="Arial" w:cs="Arial" w:eastAsia="Arial" w:hAnsi="Arial"/>
                <w:sz w:val="16"/>
                <w:szCs w:val="16"/>
                <w:color w:val="auto"/>
              </w:rPr>
              <w:t>(measured in quarter-end balances)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106045</wp:posOffset>
            </wp:positionV>
            <wp:extent cx="6294120" cy="1470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4120" cy="147066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-1998980</wp:posOffset>
            </wp:positionV>
            <wp:extent cx="2980690" cy="1617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80690"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 Deposit Ratio (L/D Ratio)</w:t>
      </w:r>
    </w:p>
    <w:p>
      <w:pPr>
        <w:spacing w:after="0" w:line="163" w:lineRule="exact"/>
        <w:rPr>
          <w:sz w:val="20"/>
          <w:szCs w:val="20"/>
          <w:color w:val="auto"/>
        </w:rPr>
      </w:pPr>
    </w:p>
    <w:p>
      <w:pPr>
        <w:ind w:left="5840"/>
        <w:spacing w:after="0" w:line="252" w:lineRule="auto"/>
        <w:rPr>
          <w:sz w:val="20"/>
          <w:szCs w:val="20"/>
          <w:color w:val="auto"/>
        </w:rPr>
      </w:pPr>
      <w:r>
        <w:rPr>
          <w:rFonts w:ascii="Arial" w:cs="Arial" w:eastAsia="Arial" w:hAnsi="Arial"/>
          <w:sz w:val="16"/>
          <w:szCs w:val="16"/>
          <w:color w:val="auto"/>
        </w:rPr>
        <w:t>The L/D ratio dropped 30 bps and 240 bps QoQ in BCP and Mibanco respectively. The decrease at BCP and Mibanco was driven by a drop in total loan volumes attributable to cancellations of GP loans. In this scenario, BAP’s L/D ratio stood at 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-471805</wp:posOffset>
            </wp:positionV>
            <wp:extent cx="2810510" cy="1780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10510" cy="178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58"/>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28" w:name="page29"/>
    <w:bookmarkEnd w:id="28"/>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476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02. Deposits</w:t>
      </w:r>
    </w:p>
    <w:p>
      <w:pPr>
        <w:spacing w:after="0" w:line="273" w:lineRule="exact"/>
        <w:rPr>
          <w:sz w:val="20"/>
          <w:szCs w:val="20"/>
          <w:color w:val="auto"/>
        </w:rPr>
      </w:pPr>
    </w:p>
    <w:p>
      <w:pPr>
        <w:ind w:left="1840"/>
        <w:spacing w:after="0"/>
        <w:tabs>
          <w:tab w:leader="none" w:pos="7360" w:val="left"/>
        </w:tabs>
        <w:rPr>
          <w:sz w:val="20"/>
          <w:szCs w:val="20"/>
          <w:color w:val="auto"/>
        </w:rPr>
      </w:pPr>
      <w:r>
        <w:rPr>
          <w:rFonts w:ascii="Arial" w:cs="Arial" w:eastAsia="Arial" w:hAnsi="Arial"/>
          <w:sz w:val="16"/>
          <w:szCs w:val="16"/>
          <w:b w:val="1"/>
          <w:bCs w:val="1"/>
          <w:color w:val="auto"/>
        </w:rPr>
        <w:t>L/D Ratio Local Currency</w:t>
      </w:r>
      <w:r>
        <w:rPr>
          <w:sz w:val="20"/>
          <w:szCs w:val="20"/>
          <w:color w:val="auto"/>
        </w:rPr>
        <w:tab/>
      </w:r>
      <w:r>
        <w:rPr>
          <w:rFonts w:ascii="Arial" w:cs="Arial" w:eastAsia="Arial" w:hAnsi="Arial"/>
          <w:sz w:val="16"/>
          <w:szCs w:val="16"/>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126365</wp:posOffset>
            </wp:positionV>
            <wp:extent cx="6595745" cy="19507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95745" cy="195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121920</wp:posOffset>
            </wp:positionV>
            <wp:extent cx="6076950" cy="2941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6950" cy="294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 xml:space="preserve">At the end of December 2023, the MS of </w:t>
      </w:r>
      <w:r>
        <w:rPr>
          <w:rFonts w:ascii="Arial" w:cs="Arial" w:eastAsia="Arial" w:hAnsi="Arial"/>
          <w:sz w:val="16"/>
          <w:szCs w:val="16"/>
          <w:b w:val="1"/>
          <w:bCs w:val="1"/>
          <w:color w:val="auto"/>
        </w:rPr>
        <w:t>Total Deposits</w:t>
      </w:r>
      <w:r>
        <w:rPr>
          <w:rFonts w:ascii="Arial" w:cs="Arial" w:eastAsia="Arial" w:hAnsi="Arial"/>
          <w:sz w:val="16"/>
          <w:szCs w:val="16"/>
          <w:color w:val="auto"/>
        </w:rPr>
        <w:t xml:space="preserve"> held by BCP and Mibanco in Peru respectively was 32.0% and 2.6% (-39 bps and -5 bps with regard to September 2023. Additionally, BCP continues to lead the market.</w:t>
      </w:r>
    </w:p>
    <w:p>
      <w:pPr>
        <w:spacing w:after="0" w:line="12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Low-cost deposits increased systemwide (+5.7% with regard to September 2023). BCP experienced growth (+8.0%) above the system average and It continues to lead the market in low-cost deposits with a market share of 41.1% as of December 2023 (+88 bps compared to September 2023). Time Deposit balances at BCP registered a more significant decline (-20.3% versus Sept 23) than that reported by the system (-4.5% versus Sept 23). Consequently BCP’s market share (MS) fell 353 bps QoQ to stand at 17.8% in December 2023.</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turn, Credicorp's low-cost deposits MS stood at 41.6% (+86 bps compared to September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58"/>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29" w:name="page30"/>
    <w:bookmarkEnd w:id="29"/>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39" w:lineRule="exact"/>
        <w:rPr>
          <w:sz w:val="20"/>
          <w:szCs w:val="20"/>
          <w:color w:val="auto"/>
        </w:rPr>
      </w:pPr>
    </w:p>
    <w:p>
      <w:pPr>
        <w:spacing w:after="0"/>
        <w:rPr>
          <w:sz w:val="20"/>
          <w:szCs w:val="20"/>
          <w:color w:val="auto"/>
        </w:rPr>
      </w:pPr>
      <w:r>
        <w:rPr>
          <w:rFonts w:ascii="Arial" w:cs="Arial" w:eastAsia="Arial" w:hAnsi="Arial"/>
          <w:sz w:val="47"/>
          <w:szCs w:val="47"/>
          <w:b w:val="1"/>
          <w:bCs w:val="1"/>
          <w:color w:val="E93BAB"/>
        </w:rPr>
        <w:t xml:space="preserve">03 </w:t>
      </w:r>
      <w:r>
        <w:rPr>
          <w:rFonts w:ascii="Arial" w:cs="Arial" w:eastAsia="Arial" w:hAnsi="Arial"/>
          <w:sz w:val="29"/>
          <w:szCs w:val="29"/>
          <w:color w:val="E93BAB"/>
        </w:rPr>
        <w:t>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145655" cy="10991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1099185"/>
                    </a:xfrm>
                    <a:prstGeom prst="rect">
                      <a:avLst/>
                    </a:prstGeom>
                    <a:noFill/>
                  </pic:spPr>
                </pic:pic>
              </a:graphicData>
            </a:graphic>
          </wp:anchor>
        </w:drawing>
      </w:r>
    </w:p>
    <w:p>
      <w:pPr>
        <w:spacing w:after="0" w:line="336"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6"/>
          <w:szCs w:val="16"/>
          <w:color w:val="FFFFFF"/>
        </w:rPr>
        <w:t>At the end of 4Q23, IEAs registered slight growth (+0.7%), which was driven primarily by an uptick in Investment balances after the Group increased its positions in Sovereign Bonds to take advantage of attractive rates. Available funds also rose after surpluses were capitalized through short-term deposits. YoY, IEAs grew 1.0%, which reflected an increase in positions in government securities. This Dynamic was partially offset by a drop in the balance for total loans, and secondarily by a decrease in the balance for Cash and due from banks.</w:t>
      </w:r>
    </w:p>
    <w:p>
      <w:pPr>
        <w:spacing w:after="0" w:line="300"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6"/>
          <w:szCs w:val="16"/>
          <w:color w:val="FFFFFF"/>
        </w:rPr>
        <w:t>Funding fell slightly QoQ (-0.5%) and YoY (-0.6%), which was attributable to a drop in funding with Repos. This dynamic was partially offset by move to increase Due to banks to cover short-term funding needs.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IEA</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wp:posOffset>
            </wp:positionV>
            <wp:extent cx="7145655" cy="789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78994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shd w:val="clear" w:color="auto" w:fill="2AD2C9"/>
          </w:tcPr>
          <w:p>
            <w:pPr>
              <w:ind w:left="40"/>
              <w:spacing w:after="0"/>
              <w:rPr>
                <w:sz w:val="20"/>
                <w:szCs w:val="20"/>
                <w:color w:val="auto"/>
              </w:rPr>
            </w:pPr>
            <w:r>
              <w:rPr>
                <w:rFonts w:ascii="Arial" w:cs="Arial" w:eastAsia="Arial" w:hAnsi="Arial"/>
                <w:sz w:val="15"/>
                <w:szCs w:val="15"/>
                <w:b w:val="1"/>
                <w:bCs w:val="1"/>
                <w:color w:val="FFFFFF"/>
              </w:rPr>
              <w:t>Interest Earning Assets</w:t>
            </w:r>
          </w:p>
        </w:tc>
        <w:tc>
          <w:tcPr>
            <w:tcW w:w="1280" w:type="dxa"/>
            <w:vAlign w:val="bottom"/>
            <w:shd w:val="clear" w:color="auto" w:fill="2AD2C9"/>
          </w:tcPr>
          <w:p>
            <w:pPr>
              <w:spacing w:after="0"/>
              <w:rPr>
                <w:sz w:val="15"/>
                <w:szCs w:val="15"/>
                <w:color w:val="auto"/>
              </w:rPr>
            </w:pPr>
          </w:p>
        </w:tc>
        <w:tc>
          <w:tcPr>
            <w:tcW w:w="1080" w:type="dxa"/>
            <w:vAlign w:val="bottom"/>
            <w:shd w:val="clear" w:color="auto" w:fill="2AD2C9"/>
          </w:tcPr>
          <w:p>
            <w:pPr>
              <w:jc w:val="right"/>
              <w:ind w:right="407"/>
              <w:spacing w:after="0"/>
              <w:rPr>
                <w:sz w:val="20"/>
                <w:szCs w:val="20"/>
                <w:color w:val="auto"/>
              </w:rPr>
            </w:pPr>
            <w:r>
              <w:rPr>
                <w:rFonts w:ascii="Arial" w:cs="Arial" w:eastAsia="Arial" w:hAnsi="Arial"/>
                <w:sz w:val="15"/>
                <w:szCs w:val="15"/>
                <w:b w:val="1"/>
                <w:bCs w:val="1"/>
                <w:color w:val="FFFFFF"/>
              </w:rPr>
              <w:t>As of</w:t>
            </w:r>
          </w:p>
        </w:tc>
        <w:tc>
          <w:tcPr>
            <w:tcW w:w="1100" w:type="dxa"/>
            <w:vAlign w:val="bottom"/>
            <w:shd w:val="clear" w:color="auto" w:fill="2AD2C9"/>
          </w:tcPr>
          <w:p>
            <w:pPr>
              <w:spacing w:after="0"/>
              <w:rPr>
                <w:sz w:val="15"/>
                <w:szCs w:val="15"/>
                <w:color w:val="auto"/>
              </w:rPr>
            </w:pPr>
          </w:p>
        </w:tc>
        <w:tc>
          <w:tcPr>
            <w:tcW w:w="1480" w:type="dxa"/>
            <w:vAlign w:val="bottom"/>
            <w:gridSpan w:val="2"/>
            <w:shd w:val="clear" w:color="auto" w:fill="2AD2C9"/>
          </w:tcPr>
          <w:p>
            <w:pPr>
              <w:jc w:val="right"/>
              <w:ind w:right="367"/>
              <w:spacing w:after="0"/>
              <w:rPr>
                <w:sz w:val="20"/>
                <w:szCs w:val="20"/>
                <w:color w:val="auto"/>
              </w:rPr>
            </w:pPr>
            <w:r>
              <w:rPr>
                <w:rFonts w:ascii="Arial" w:cs="Arial" w:eastAsia="Arial" w:hAnsi="Arial"/>
                <w:sz w:val="15"/>
                <w:szCs w:val="15"/>
                <w:b w:val="1"/>
                <w:bCs w:val="1"/>
                <w:color w:val="FFFFFF"/>
              </w:rPr>
              <w:t>% change</w:t>
            </w:r>
          </w:p>
        </w:tc>
        <w:tc>
          <w:tcPr>
            <w:tcW w:w="20" w:type="dxa"/>
            <w:vAlign w:val="bottom"/>
          </w:tcPr>
          <w:p>
            <w:pPr>
              <w:spacing w:after="0"/>
              <w:rPr>
                <w:sz w:val="15"/>
                <w:szCs w:val="15"/>
                <w:color w:val="auto"/>
              </w:rPr>
            </w:pPr>
          </w:p>
        </w:tc>
      </w:tr>
      <w:tr>
        <w:trPr>
          <w:trHeight w:val="171"/>
        </w:trPr>
        <w:tc>
          <w:tcPr>
            <w:tcW w:w="6300" w:type="dxa"/>
            <w:vAlign w:val="bottom"/>
            <w:tcBorders>
              <w:bottom w:val="single" w:sz="8" w:color="auto"/>
            </w:tcBorders>
            <w:shd w:val="clear" w:color="auto" w:fill="2AD2C9"/>
          </w:tcPr>
          <w:p>
            <w:pPr>
              <w:ind w:left="40"/>
              <w:spacing w:after="0" w:line="171" w:lineRule="exact"/>
              <w:rPr>
                <w:sz w:val="20"/>
                <w:szCs w:val="20"/>
                <w:color w:val="auto"/>
              </w:rPr>
            </w:pPr>
            <w:r>
              <w:rPr>
                <w:rFonts w:ascii="Arial" w:cs="Arial" w:eastAsia="Arial" w:hAnsi="Arial"/>
                <w:sz w:val="15"/>
                <w:szCs w:val="15"/>
                <w:b w:val="1"/>
                <w:bCs w:val="1"/>
                <w:color w:val="FFFFFF"/>
              </w:rPr>
              <w:t>S/000</w:t>
            </w:r>
          </w:p>
        </w:tc>
        <w:tc>
          <w:tcPr>
            <w:tcW w:w="1280" w:type="dxa"/>
            <w:vAlign w:val="bottom"/>
            <w:tcBorders>
              <w:bottom w:val="single" w:sz="8" w:color="auto"/>
            </w:tcBorders>
            <w:shd w:val="clear" w:color="auto" w:fill="2AD2C9"/>
          </w:tcPr>
          <w:p>
            <w:pPr>
              <w:jc w:val="right"/>
              <w:ind w:right="407"/>
              <w:spacing w:after="0" w:line="171" w:lineRule="exact"/>
              <w:rPr>
                <w:sz w:val="20"/>
                <w:szCs w:val="20"/>
                <w:color w:val="auto"/>
              </w:rPr>
            </w:pPr>
            <w:r>
              <w:rPr>
                <w:rFonts w:ascii="Arial" w:cs="Arial" w:eastAsia="Arial" w:hAnsi="Arial"/>
                <w:sz w:val="15"/>
                <w:szCs w:val="15"/>
                <w:b w:val="1"/>
                <w:bCs w:val="1"/>
                <w:color w:val="FFFFFF"/>
              </w:rPr>
              <w:t>Dec 22</w:t>
            </w:r>
          </w:p>
        </w:tc>
        <w:tc>
          <w:tcPr>
            <w:tcW w:w="1080" w:type="dxa"/>
            <w:vAlign w:val="bottom"/>
            <w:tcBorders>
              <w:bottom w:val="single" w:sz="8" w:color="auto"/>
            </w:tcBorders>
            <w:shd w:val="clear" w:color="auto" w:fill="2AD2C9"/>
          </w:tcPr>
          <w:p>
            <w:pPr>
              <w:jc w:val="right"/>
              <w:ind w:right="347"/>
              <w:spacing w:after="0" w:line="171" w:lineRule="exact"/>
              <w:rPr>
                <w:sz w:val="20"/>
                <w:szCs w:val="20"/>
                <w:color w:val="auto"/>
              </w:rPr>
            </w:pPr>
            <w:r>
              <w:rPr>
                <w:rFonts w:ascii="Arial" w:cs="Arial" w:eastAsia="Arial" w:hAnsi="Arial"/>
                <w:sz w:val="15"/>
                <w:szCs w:val="15"/>
                <w:b w:val="1"/>
                <w:bCs w:val="1"/>
                <w:color w:val="FFFFFF"/>
              </w:rPr>
              <w:t>Sep 23</w:t>
            </w:r>
          </w:p>
        </w:tc>
        <w:tc>
          <w:tcPr>
            <w:tcW w:w="1100" w:type="dxa"/>
            <w:vAlign w:val="bottom"/>
            <w:tcBorders>
              <w:bottom w:val="single" w:sz="8" w:color="auto"/>
            </w:tcBorders>
            <w:shd w:val="clear" w:color="auto" w:fill="2AD2C9"/>
          </w:tcPr>
          <w:p>
            <w:pPr>
              <w:jc w:val="right"/>
              <w:ind w:right="327"/>
              <w:spacing w:after="0" w:line="171" w:lineRule="exact"/>
              <w:rPr>
                <w:sz w:val="20"/>
                <w:szCs w:val="20"/>
                <w:color w:val="auto"/>
              </w:rPr>
            </w:pPr>
            <w:r>
              <w:rPr>
                <w:rFonts w:ascii="Arial" w:cs="Arial" w:eastAsia="Arial" w:hAnsi="Arial"/>
                <w:sz w:val="15"/>
                <w:szCs w:val="15"/>
                <w:b w:val="1"/>
                <w:bCs w:val="1"/>
                <w:color w:val="FFFFFF"/>
              </w:rPr>
              <w:t>Dec 23</w:t>
            </w:r>
          </w:p>
        </w:tc>
        <w:tc>
          <w:tcPr>
            <w:tcW w:w="820" w:type="dxa"/>
            <w:vAlign w:val="bottom"/>
            <w:tcBorders>
              <w:bottom w:val="single" w:sz="8" w:color="auto"/>
            </w:tcBorders>
            <w:shd w:val="clear" w:color="auto" w:fill="2AD2C9"/>
          </w:tcPr>
          <w:p>
            <w:pPr>
              <w:jc w:val="right"/>
              <w:ind w:right="267"/>
              <w:spacing w:after="0" w:line="171" w:lineRule="exact"/>
              <w:rPr>
                <w:sz w:val="20"/>
                <w:szCs w:val="20"/>
                <w:color w:val="auto"/>
              </w:rPr>
            </w:pPr>
            <w:r>
              <w:rPr>
                <w:rFonts w:ascii="Arial" w:cs="Arial" w:eastAsia="Arial" w:hAnsi="Arial"/>
                <w:sz w:val="15"/>
                <w:szCs w:val="15"/>
                <w:b w:val="1"/>
                <w:bCs w:val="1"/>
                <w:color w:val="FFFFFF"/>
              </w:rPr>
              <w:t>QoQ</w:t>
            </w:r>
          </w:p>
        </w:tc>
        <w:tc>
          <w:tcPr>
            <w:tcW w:w="660" w:type="dxa"/>
            <w:vAlign w:val="bottom"/>
            <w:tcBorders>
              <w:bottom w:val="single" w:sz="8" w:color="auto"/>
            </w:tcBorders>
            <w:shd w:val="clear" w:color="auto" w:fill="2AD2C9"/>
          </w:tcPr>
          <w:p>
            <w:pPr>
              <w:jc w:val="right"/>
              <w:ind w:right="187"/>
              <w:spacing w:after="0" w:line="171" w:lineRule="exact"/>
              <w:rPr>
                <w:sz w:val="20"/>
                <w:szCs w:val="20"/>
                <w:color w:val="auto"/>
              </w:rPr>
            </w:pPr>
            <w:r>
              <w:rPr>
                <w:rFonts w:ascii="Arial" w:cs="Arial" w:eastAsia="Arial" w:hAnsi="Arial"/>
                <w:sz w:val="15"/>
                <w:szCs w:val="15"/>
                <w:b w:val="1"/>
                <w:bCs w:val="1"/>
                <w:color w:val="FFFFFF"/>
              </w:rPr>
              <w:t>YoY</w:t>
            </w:r>
          </w:p>
        </w:tc>
        <w:tc>
          <w:tcPr>
            <w:tcW w:w="20" w:type="dxa"/>
            <w:vAlign w:val="bottom"/>
            <w:tcBorders>
              <w:bottom w:val="single" w:sz="8" w:color="auto"/>
            </w:tcBorders>
          </w:tcPr>
          <w:p>
            <w:pPr>
              <w:spacing w:after="0"/>
              <w:rPr>
                <w:sz w:val="14"/>
                <w:szCs w:val="14"/>
                <w:color w:val="auto"/>
              </w:rPr>
            </w:pPr>
          </w:p>
        </w:tc>
      </w:tr>
      <w:tr>
        <w:trPr>
          <w:trHeight w:val="151"/>
        </w:trPr>
        <w:tc>
          <w:tcPr>
            <w:tcW w:w="6300" w:type="dxa"/>
            <w:vAlign w:val="bottom"/>
          </w:tcPr>
          <w:p>
            <w:pPr>
              <w:ind w:left="40"/>
              <w:spacing w:after="0" w:line="151" w:lineRule="exact"/>
              <w:rPr>
                <w:sz w:val="20"/>
                <w:szCs w:val="20"/>
                <w:color w:val="auto"/>
              </w:rPr>
            </w:pPr>
            <w:r>
              <w:rPr>
                <w:rFonts w:ascii="Arial" w:cs="Arial" w:eastAsia="Arial" w:hAnsi="Arial"/>
                <w:sz w:val="15"/>
                <w:szCs w:val="15"/>
                <w:color w:val="auto"/>
              </w:rPr>
              <w:t>Cash and due from banks</w:t>
            </w:r>
          </w:p>
        </w:tc>
        <w:tc>
          <w:tcPr>
            <w:tcW w:w="1280" w:type="dxa"/>
            <w:vAlign w:val="bottom"/>
          </w:tcPr>
          <w:p>
            <w:pPr>
              <w:jc w:val="right"/>
              <w:ind w:right="67"/>
              <w:spacing w:after="0" w:line="151" w:lineRule="exact"/>
              <w:rPr>
                <w:sz w:val="20"/>
                <w:szCs w:val="20"/>
                <w:color w:val="auto"/>
              </w:rPr>
            </w:pPr>
            <w:r>
              <w:rPr>
                <w:rFonts w:ascii="Arial" w:cs="Arial" w:eastAsia="Arial" w:hAnsi="Arial"/>
                <w:sz w:val="15"/>
                <w:szCs w:val="15"/>
                <w:color w:val="auto"/>
              </w:rPr>
              <w:t>26,897,216</w:t>
            </w:r>
          </w:p>
        </w:tc>
        <w:tc>
          <w:tcPr>
            <w:tcW w:w="1080" w:type="dxa"/>
            <w:vAlign w:val="bottom"/>
          </w:tcPr>
          <w:p>
            <w:pPr>
              <w:jc w:val="right"/>
              <w:ind w:right="27"/>
              <w:spacing w:after="0" w:line="151" w:lineRule="exact"/>
              <w:rPr>
                <w:sz w:val="20"/>
                <w:szCs w:val="20"/>
                <w:color w:val="auto"/>
              </w:rPr>
            </w:pPr>
            <w:r>
              <w:rPr>
                <w:rFonts w:ascii="Arial" w:cs="Arial" w:eastAsia="Arial" w:hAnsi="Arial"/>
                <w:sz w:val="15"/>
                <w:szCs w:val="15"/>
                <w:color w:val="auto"/>
              </w:rPr>
              <w:t>24,907,836</w:t>
            </w:r>
          </w:p>
        </w:tc>
        <w:tc>
          <w:tcPr>
            <w:tcW w:w="1100" w:type="dxa"/>
            <w:vAlign w:val="bottom"/>
          </w:tcPr>
          <w:p>
            <w:pPr>
              <w:jc w:val="right"/>
              <w:ind w:right="87"/>
              <w:spacing w:after="0" w:line="151" w:lineRule="exact"/>
              <w:rPr>
                <w:sz w:val="20"/>
                <w:szCs w:val="20"/>
                <w:color w:val="auto"/>
              </w:rPr>
            </w:pPr>
            <w:r>
              <w:rPr>
                <w:rFonts w:ascii="Arial" w:cs="Arial" w:eastAsia="Arial" w:hAnsi="Arial"/>
                <w:sz w:val="15"/>
                <w:szCs w:val="15"/>
                <w:color w:val="auto"/>
              </w:rPr>
              <w:t>25,734,256</w:t>
            </w:r>
          </w:p>
        </w:tc>
        <w:tc>
          <w:tcPr>
            <w:tcW w:w="820" w:type="dxa"/>
            <w:vAlign w:val="bottom"/>
          </w:tcPr>
          <w:p>
            <w:pPr>
              <w:jc w:val="right"/>
              <w:ind w:right="47"/>
              <w:spacing w:after="0" w:line="151" w:lineRule="exact"/>
              <w:rPr>
                <w:sz w:val="20"/>
                <w:szCs w:val="20"/>
                <w:color w:val="auto"/>
              </w:rPr>
            </w:pPr>
            <w:r>
              <w:rPr>
                <w:rFonts w:ascii="Arial" w:cs="Arial" w:eastAsia="Arial" w:hAnsi="Arial"/>
                <w:sz w:val="15"/>
                <w:szCs w:val="15"/>
                <w:color w:val="auto"/>
              </w:rPr>
              <w:t>3.3%</w:t>
            </w:r>
          </w:p>
        </w:tc>
        <w:tc>
          <w:tcPr>
            <w:tcW w:w="660" w:type="dxa"/>
            <w:vAlign w:val="bottom"/>
          </w:tcPr>
          <w:p>
            <w:pPr>
              <w:jc w:val="right"/>
              <w:spacing w:after="0" w:line="151" w:lineRule="exact"/>
              <w:rPr>
                <w:sz w:val="20"/>
                <w:szCs w:val="20"/>
                <w:color w:val="auto"/>
              </w:rPr>
            </w:pPr>
            <w:r>
              <w:rPr>
                <w:rFonts w:ascii="Arial" w:cs="Arial" w:eastAsia="Arial" w:hAnsi="Arial"/>
                <w:sz w:val="15"/>
                <w:szCs w:val="15"/>
                <w:color w:val="auto"/>
              </w:rPr>
              <w:t>-4.3%</w:t>
            </w:r>
          </w:p>
        </w:tc>
        <w:tc>
          <w:tcPr>
            <w:tcW w:w="20" w:type="dxa"/>
            <w:vAlign w:val="bottom"/>
          </w:tcPr>
          <w:p>
            <w:pPr>
              <w:spacing w:after="0"/>
              <w:rPr>
                <w:sz w:val="13"/>
                <w:szCs w:val="13"/>
                <w:color w:val="auto"/>
              </w:rPr>
            </w:pPr>
          </w:p>
        </w:tc>
      </w:tr>
      <w:tr>
        <w:trPr>
          <w:trHeight w:val="171"/>
        </w:trPr>
        <w:tc>
          <w:tcPr>
            <w:tcW w:w="6300" w:type="dxa"/>
            <w:vAlign w:val="bottom"/>
          </w:tcPr>
          <w:p>
            <w:pPr>
              <w:ind w:left="40"/>
              <w:spacing w:after="0" w:line="171" w:lineRule="exact"/>
              <w:rPr>
                <w:sz w:val="20"/>
                <w:szCs w:val="20"/>
                <w:color w:val="auto"/>
              </w:rPr>
            </w:pPr>
            <w:r>
              <w:rPr>
                <w:rFonts w:ascii="Arial" w:cs="Arial" w:eastAsia="Arial" w:hAnsi="Arial"/>
                <w:sz w:val="15"/>
                <w:szCs w:val="15"/>
                <w:color w:val="auto"/>
              </w:rPr>
              <w:t>Total investments</w:t>
            </w:r>
          </w:p>
        </w:tc>
        <w:tc>
          <w:tcPr>
            <w:tcW w:w="12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45,431,224</w:t>
            </w:r>
          </w:p>
        </w:tc>
        <w:tc>
          <w:tcPr>
            <w:tcW w:w="1080" w:type="dxa"/>
            <w:vAlign w:val="bottom"/>
          </w:tcPr>
          <w:p>
            <w:pPr>
              <w:jc w:val="right"/>
              <w:ind w:right="27"/>
              <w:spacing w:after="0" w:line="171" w:lineRule="exact"/>
              <w:rPr>
                <w:sz w:val="20"/>
                <w:szCs w:val="20"/>
                <w:color w:val="auto"/>
              </w:rPr>
            </w:pPr>
            <w:r>
              <w:rPr>
                <w:rFonts w:ascii="Arial" w:cs="Arial" w:eastAsia="Arial" w:hAnsi="Arial"/>
                <w:sz w:val="15"/>
                <w:szCs w:val="15"/>
                <w:color w:val="auto"/>
              </w:rPr>
              <w:t>51,116,913</w:t>
            </w:r>
          </w:p>
        </w:tc>
        <w:tc>
          <w:tcPr>
            <w:tcW w:w="1100" w:type="dxa"/>
            <w:vAlign w:val="bottom"/>
          </w:tcPr>
          <w:p>
            <w:pPr>
              <w:jc w:val="right"/>
              <w:ind w:right="87"/>
              <w:spacing w:after="0" w:line="171" w:lineRule="exact"/>
              <w:rPr>
                <w:sz w:val="20"/>
                <w:szCs w:val="20"/>
                <w:color w:val="auto"/>
              </w:rPr>
            </w:pPr>
            <w:r>
              <w:rPr>
                <w:rFonts w:ascii="Arial" w:cs="Arial" w:eastAsia="Arial" w:hAnsi="Arial"/>
                <w:sz w:val="15"/>
                <w:szCs w:val="15"/>
                <w:color w:val="auto"/>
              </w:rPr>
              <w:t>52,215,528</w:t>
            </w:r>
          </w:p>
        </w:tc>
        <w:tc>
          <w:tcPr>
            <w:tcW w:w="820" w:type="dxa"/>
            <w:vAlign w:val="bottom"/>
          </w:tcPr>
          <w:p>
            <w:pPr>
              <w:jc w:val="right"/>
              <w:ind w:right="47"/>
              <w:spacing w:after="0" w:line="171" w:lineRule="exact"/>
              <w:rPr>
                <w:sz w:val="20"/>
                <w:szCs w:val="20"/>
                <w:color w:val="auto"/>
              </w:rPr>
            </w:pPr>
            <w:r>
              <w:rPr>
                <w:rFonts w:ascii="Arial" w:cs="Arial" w:eastAsia="Arial" w:hAnsi="Arial"/>
                <w:sz w:val="15"/>
                <w:szCs w:val="15"/>
                <w:color w:val="auto"/>
              </w:rPr>
              <w:t>2.1%</w:t>
            </w:r>
          </w:p>
        </w:tc>
        <w:tc>
          <w:tcPr>
            <w:tcW w:w="68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14.9%</w:t>
            </w:r>
          </w:p>
        </w:tc>
      </w:tr>
      <w:tr>
        <w:trPr>
          <w:trHeight w:val="171"/>
        </w:trPr>
        <w:tc>
          <w:tcPr>
            <w:tcW w:w="6300" w:type="dxa"/>
            <w:vAlign w:val="bottom"/>
          </w:tcPr>
          <w:p>
            <w:pPr>
              <w:ind w:left="40"/>
              <w:spacing w:after="0" w:line="171" w:lineRule="exact"/>
              <w:rPr>
                <w:sz w:val="20"/>
                <w:szCs w:val="20"/>
                <w:color w:val="auto"/>
              </w:rPr>
            </w:pPr>
            <w:r>
              <w:rPr>
                <w:rFonts w:ascii="Arial" w:cs="Arial" w:eastAsia="Arial" w:hAnsi="Arial"/>
                <w:sz w:val="15"/>
                <w:szCs w:val="15"/>
                <w:color w:val="auto"/>
              </w:rPr>
              <w:t>Cash collateral, reverse repurchase agreements and securities borrowing</w:t>
            </w:r>
          </w:p>
        </w:tc>
        <w:tc>
          <w:tcPr>
            <w:tcW w:w="12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1,101,856</w:t>
            </w:r>
          </w:p>
        </w:tc>
        <w:tc>
          <w:tcPr>
            <w:tcW w:w="1080" w:type="dxa"/>
            <w:vAlign w:val="bottom"/>
          </w:tcPr>
          <w:p>
            <w:pPr>
              <w:jc w:val="right"/>
              <w:ind w:right="27"/>
              <w:spacing w:after="0" w:line="171" w:lineRule="exact"/>
              <w:rPr>
                <w:sz w:val="20"/>
                <w:szCs w:val="20"/>
                <w:color w:val="auto"/>
              </w:rPr>
            </w:pPr>
            <w:r>
              <w:rPr>
                <w:rFonts w:ascii="Arial" w:cs="Arial" w:eastAsia="Arial" w:hAnsi="Arial"/>
                <w:sz w:val="15"/>
                <w:szCs w:val="15"/>
                <w:color w:val="auto"/>
              </w:rPr>
              <w:t>1,513,622</w:t>
            </w:r>
          </w:p>
        </w:tc>
        <w:tc>
          <w:tcPr>
            <w:tcW w:w="1100" w:type="dxa"/>
            <w:vAlign w:val="bottom"/>
          </w:tcPr>
          <w:p>
            <w:pPr>
              <w:jc w:val="right"/>
              <w:ind w:right="87"/>
              <w:spacing w:after="0" w:line="171" w:lineRule="exact"/>
              <w:rPr>
                <w:sz w:val="20"/>
                <w:szCs w:val="20"/>
                <w:color w:val="auto"/>
              </w:rPr>
            </w:pPr>
            <w:r>
              <w:rPr>
                <w:rFonts w:ascii="Arial" w:cs="Arial" w:eastAsia="Arial" w:hAnsi="Arial"/>
                <w:sz w:val="15"/>
                <w:szCs w:val="15"/>
                <w:color w:val="auto"/>
              </w:rPr>
              <w:t>1,410,647</w:t>
            </w:r>
          </w:p>
        </w:tc>
        <w:tc>
          <w:tcPr>
            <w:tcW w:w="820" w:type="dxa"/>
            <w:vAlign w:val="bottom"/>
          </w:tcPr>
          <w:p>
            <w:pPr>
              <w:jc w:val="right"/>
              <w:ind w:right="47"/>
              <w:spacing w:after="0" w:line="171" w:lineRule="exact"/>
              <w:rPr>
                <w:sz w:val="20"/>
                <w:szCs w:val="20"/>
                <w:color w:val="auto"/>
              </w:rPr>
            </w:pPr>
            <w:r>
              <w:rPr>
                <w:rFonts w:ascii="Arial" w:cs="Arial" w:eastAsia="Arial" w:hAnsi="Arial"/>
                <w:sz w:val="15"/>
                <w:szCs w:val="15"/>
                <w:color w:val="auto"/>
              </w:rPr>
              <w:t>-6.8%</w:t>
            </w:r>
          </w:p>
        </w:tc>
        <w:tc>
          <w:tcPr>
            <w:tcW w:w="68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28.0%</w:t>
            </w:r>
          </w:p>
        </w:tc>
      </w:tr>
      <w:tr>
        <w:trPr>
          <w:trHeight w:val="183"/>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Total loans</w:t>
            </w:r>
          </w:p>
        </w:tc>
        <w:tc>
          <w:tcPr>
            <w:tcW w:w="12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148,626,374</w:t>
            </w:r>
          </w:p>
        </w:tc>
        <w:tc>
          <w:tcPr>
            <w:tcW w:w="10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145,129,260</w:t>
            </w:r>
          </w:p>
        </w:tc>
        <w:tc>
          <w:tcPr>
            <w:tcW w:w="11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144,976,051</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-0.1%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20" w:type="dxa"/>
            <w:vAlign w:val="bottom"/>
            <w:tcBorders>
              <w:bottom w:val="single" w:sz="8" w:color="auto"/>
            </w:tcBorders>
          </w:tcPr>
          <w:p>
            <w:pPr>
              <w:spacing w:after="0"/>
              <w:rPr>
                <w:sz w:val="15"/>
                <w:szCs w:val="15"/>
                <w:color w:val="auto"/>
              </w:rPr>
            </w:pPr>
          </w:p>
        </w:tc>
      </w:tr>
      <w:tr>
        <w:trPr>
          <w:trHeight w:val="170"/>
        </w:trPr>
        <w:tc>
          <w:tcPr>
            <w:tcW w:w="6300" w:type="dxa"/>
            <w:vAlign w:val="bottom"/>
          </w:tcPr>
          <w:p>
            <w:pPr>
              <w:ind w:left="40"/>
              <w:spacing w:after="0" w:line="170" w:lineRule="exact"/>
              <w:rPr>
                <w:sz w:val="20"/>
                <w:szCs w:val="20"/>
                <w:color w:val="auto"/>
              </w:rPr>
            </w:pPr>
            <w:r>
              <w:rPr>
                <w:rFonts w:ascii="Arial" w:cs="Arial" w:eastAsia="Arial" w:hAnsi="Arial"/>
                <w:sz w:val="15"/>
                <w:szCs w:val="15"/>
                <w:b w:val="1"/>
                <w:bCs w:val="1"/>
                <w:color w:val="auto"/>
              </w:rPr>
              <w:t>Total interest earning assets</w:t>
            </w:r>
          </w:p>
        </w:tc>
        <w:tc>
          <w:tcPr>
            <w:tcW w:w="1280" w:type="dxa"/>
            <w:vAlign w:val="bottom"/>
          </w:tcPr>
          <w:p>
            <w:pPr>
              <w:jc w:val="right"/>
              <w:ind w:right="67"/>
              <w:spacing w:after="0" w:line="170" w:lineRule="exact"/>
              <w:rPr>
                <w:sz w:val="20"/>
                <w:szCs w:val="20"/>
                <w:color w:val="auto"/>
              </w:rPr>
            </w:pPr>
            <w:r>
              <w:rPr>
                <w:rFonts w:ascii="Arial" w:cs="Arial" w:eastAsia="Arial" w:hAnsi="Arial"/>
                <w:sz w:val="15"/>
                <w:szCs w:val="15"/>
                <w:b w:val="1"/>
                <w:bCs w:val="1"/>
                <w:color w:val="auto"/>
              </w:rPr>
              <w:t>222,056,670</w:t>
            </w:r>
          </w:p>
        </w:tc>
        <w:tc>
          <w:tcPr>
            <w:tcW w:w="1080" w:type="dxa"/>
            <w:vAlign w:val="bottom"/>
          </w:tcPr>
          <w:p>
            <w:pPr>
              <w:jc w:val="right"/>
              <w:ind w:right="27"/>
              <w:spacing w:after="0" w:line="170" w:lineRule="exact"/>
              <w:rPr>
                <w:sz w:val="20"/>
                <w:szCs w:val="20"/>
                <w:color w:val="auto"/>
              </w:rPr>
            </w:pPr>
            <w:r>
              <w:rPr>
                <w:rFonts w:ascii="Arial" w:cs="Arial" w:eastAsia="Arial" w:hAnsi="Arial"/>
                <w:sz w:val="15"/>
                <w:szCs w:val="15"/>
                <w:b w:val="1"/>
                <w:bCs w:val="1"/>
                <w:color w:val="auto"/>
              </w:rPr>
              <w:t>222,667,631</w:t>
            </w:r>
          </w:p>
        </w:tc>
        <w:tc>
          <w:tcPr>
            <w:tcW w:w="1100" w:type="dxa"/>
            <w:vAlign w:val="bottom"/>
          </w:tcPr>
          <w:p>
            <w:pPr>
              <w:jc w:val="right"/>
              <w:ind w:right="87"/>
              <w:spacing w:after="0" w:line="170" w:lineRule="exact"/>
              <w:rPr>
                <w:sz w:val="20"/>
                <w:szCs w:val="20"/>
                <w:color w:val="auto"/>
              </w:rPr>
            </w:pPr>
            <w:r>
              <w:rPr>
                <w:rFonts w:ascii="Arial" w:cs="Arial" w:eastAsia="Arial" w:hAnsi="Arial"/>
                <w:sz w:val="15"/>
                <w:szCs w:val="15"/>
                <w:b w:val="1"/>
                <w:bCs w:val="1"/>
                <w:color w:val="auto"/>
              </w:rPr>
              <w:t>224,336,482</w:t>
            </w:r>
          </w:p>
        </w:tc>
        <w:tc>
          <w:tcPr>
            <w:tcW w:w="820" w:type="dxa"/>
            <w:vAlign w:val="bottom"/>
          </w:tcPr>
          <w:p>
            <w:pPr>
              <w:jc w:val="right"/>
              <w:ind w:right="47"/>
              <w:spacing w:after="0" w:line="170" w:lineRule="exact"/>
              <w:rPr>
                <w:sz w:val="20"/>
                <w:szCs w:val="20"/>
                <w:color w:val="auto"/>
              </w:rPr>
            </w:pPr>
            <w:r>
              <w:rPr>
                <w:rFonts w:ascii="Arial" w:cs="Arial" w:eastAsia="Arial" w:hAnsi="Arial"/>
                <w:sz w:val="15"/>
                <w:szCs w:val="15"/>
                <w:b w:val="1"/>
                <w:bCs w:val="1"/>
                <w:color w:val="auto"/>
              </w:rPr>
              <w:t>0.7%</w:t>
            </w:r>
          </w:p>
        </w:tc>
        <w:tc>
          <w:tcPr>
            <w:tcW w:w="680" w:type="dxa"/>
            <w:vAlign w:val="bottom"/>
            <w:gridSpan w:val="2"/>
          </w:tcPr>
          <w:p>
            <w:pPr>
              <w:jc w:val="right"/>
              <w:ind w:right="20"/>
              <w:spacing w:after="0" w:line="170" w:lineRule="exact"/>
              <w:rPr>
                <w:sz w:val="20"/>
                <w:szCs w:val="20"/>
                <w:color w:val="auto"/>
              </w:rPr>
            </w:pPr>
            <w:r>
              <w:rPr>
                <w:rFonts w:ascii="Arial" w:cs="Arial" w:eastAsia="Arial" w:hAnsi="Arial"/>
                <w:sz w:val="15"/>
                <w:szCs w:val="15"/>
                <w:b w:val="1"/>
                <w:bCs w:val="1"/>
                <w:color w:val="auto"/>
              </w:rPr>
              <w:t>1.0%</w:t>
            </w:r>
          </w:p>
        </w:tc>
      </w:tr>
    </w:tbl>
    <w:p>
      <w:pPr>
        <w:spacing w:after="0"/>
        <w:rPr>
          <w:sz w:val="20"/>
          <w:szCs w:val="20"/>
          <w:color w:val="auto"/>
        </w:rPr>
      </w:pPr>
      <w:r>
        <w:rPr>
          <w:rFonts w:ascii="Arial" w:cs="Arial" w:eastAsia="Arial" w:hAnsi="Arial"/>
          <w:sz w:val="11"/>
          <w:szCs w:val="11"/>
          <w:color w:val="auto"/>
        </w:rPr>
        <w:t>(1) Effective 1Q23, IEAs does not include “Financial assets designated at Fair Value through P&amp;L” (mainly comprised of Investment Link contracts) as one of its components.</w:t>
      </w:r>
    </w:p>
    <w:p>
      <w:pPr>
        <w:spacing w:after="0" w:line="167"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QoQ, the IEA balance rose 0.7%. This evolution was primarily attributable to an increase in Total Investments is government securities. Available funds also registered growth, which was attributable to a decision to capitalize surpluses through short-term BCRP deposits. The aforementioned was offset by a drop in the balance for Total loans. As was the case last quarter, growth in the Investment balance (+2.1%) was attributable to a strategy to capitalize surpluses. The position in sovereign bonds had an additional increase, as was the case in previous quarters. On the other hand, the position in BCRP certificates of deposit decreased.</w:t>
      </w:r>
    </w:p>
    <w:p>
      <w:pPr>
        <w:spacing w:after="0" w:line="14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YoY, IEA increased 1.0%. This growth was driven by an increase in positions in government securities. This was partially offset by a drop in the loan balance, which was impacted by Government Programs (GP) amortization and a complex macroeconomic juncture, and secondarily, by a reduction in the balance of Cash and due from banks.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 Funding</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wp:posOffset>
            </wp:positionV>
            <wp:extent cx="7145655" cy="897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655" cy="897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shd w:val="clear" w:color="auto" w:fill="2AD2C9"/>
          </w:tcPr>
          <w:p>
            <w:pPr>
              <w:ind w:left="40"/>
              <w:spacing w:after="0"/>
              <w:rPr>
                <w:sz w:val="20"/>
                <w:szCs w:val="20"/>
                <w:color w:val="auto"/>
              </w:rPr>
            </w:pPr>
            <w:r>
              <w:rPr>
                <w:rFonts w:ascii="Arial" w:cs="Arial" w:eastAsia="Arial" w:hAnsi="Arial"/>
                <w:sz w:val="15"/>
                <w:szCs w:val="15"/>
                <w:b w:val="1"/>
                <w:bCs w:val="1"/>
                <w:color w:val="FFFFFF"/>
              </w:rPr>
              <w:t>Funding</w:t>
            </w:r>
          </w:p>
        </w:tc>
        <w:tc>
          <w:tcPr>
            <w:tcW w:w="1280" w:type="dxa"/>
            <w:vAlign w:val="bottom"/>
            <w:shd w:val="clear" w:color="auto" w:fill="2AD2C9"/>
          </w:tcPr>
          <w:p>
            <w:pPr>
              <w:spacing w:after="0"/>
              <w:rPr>
                <w:sz w:val="15"/>
                <w:szCs w:val="15"/>
                <w:color w:val="auto"/>
              </w:rPr>
            </w:pPr>
          </w:p>
        </w:tc>
        <w:tc>
          <w:tcPr>
            <w:tcW w:w="1080" w:type="dxa"/>
            <w:vAlign w:val="bottom"/>
            <w:shd w:val="clear" w:color="auto" w:fill="2AD2C9"/>
          </w:tcPr>
          <w:p>
            <w:pPr>
              <w:jc w:val="right"/>
              <w:ind w:right="407"/>
              <w:spacing w:after="0"/>
              <w:rPr>
                <w:sz w:val="20"/>
                <w:szCs w:val="20"/>
                <w:color w:val="auto"/>
              </w:rPr>
            </w:pPr>
            <w:r>
              <w:rPr>
                <w:rFonts w:ascii="Arial" w:cs="Arial" w:eastAsia="Arial" w:hAnsi="Arial"/>
                <w:sz w:val="15"/>
                <w:szCs w:val="15"/>
                <w:b w:val="1"/>
                <w:bCs w:val="1"/>
                <w:color w:val="FFFFFF"/>
              </w:rPr>
              <w:t>As of</w:t>
            </w:r>
          </w:p>
        </w:tc>
        <w:tc>
          <w:tcPr>
            <w:tcW w:w="1100" w:type="dxa"/>
            <w:vAlign w:val="bottom"/>
            <w:shd w:val="clear" w:color="auto" w:fill="2AD2C9"/>
          </w:tcPr>
          <w:p>
            <w:pPr>
              <w:spacing w:after="0"/>
              <w:rPr>
                <w:sz w:val="15"/>
                <w:szCs w:val="15"/>
                <w:color w:val="auto"/>
              </w:rPr>
            </w:pPr>
          </w:p>
        </w:tc>
        <w:tc>
          <w:tcPr>
            <w:tcW w:w="1480" w:type="dxa"/>
            <w:vAlign w:val="bottom"/>
            <w:gridSpan w:val="2"/>
            <w:shd w:val="clear" w:color="auto" w:fill="2AD2C9"/>
          </w:tcPr>
          <w:p>
            <w:pPr>
              <w:jc w:val="right"/>
              <w:ind w:right="367"/>
              <w:spacing w:after="0"/>
              <w:rPr>
                <w:sz w:val="20"/>
                <w:szCs w:val="20"/>
                <w:color w:val="auto"/>
              </w:rPr>
            </w:pPr>
            <w:r>
              <w:rPr>
                <w:rFonts w:ascii="Arial" w:cs="Arial" w:eastAsia="Arial" w:hAnsi="Arial"/>
                <w:sz w:val="15"/>
                <w:szCs w:val="15"/>
                <w:b w:val="1"/>
                <w:bCs w:val="1"/>
                <w:color w:val="FFFFFF"/>
              </w:rPr>
              <w:t>% change</w:t>
            </w:r>
          </w:p>
        </w:tc>
        <w:tc>
          <w:tcPr>
            <w:tcW w:w="20" w:type="dxa"/>
            <w:vAlign w:val="bottom"/>
          </w:tcPr>
          <w:p>
            <w:pPr>
              <w:spacing w:after="0"/>
              <w:rPr>
                <w:sz w:val="15"/>
                <w:szCs w:val="15"/>
                <w:color w:val="auto"/>
              </w:rPr>
            </w:pPr>
          </w:p>
        </w:tc>
      </w:tr>
      <w:tr>
        <w:trPr>
          <w:trHeight w:val="171"/>
        </w:trPr>
        <w:tc>
          <w:tcPr>
            <w:tcW w:w="6300" w:type="dxa"/>
            <w:vAlign w:val="bottom"/>
            <w:tcBorders>
              <w:bottom w:val="single" w:sz="8" w:color="auto"/>
            </w:tcBorders>
            <w:shd w:val="clear" w:color="auto" w:fill="2AD2C9"/>
          </w:tcPr>
          <w:p>
            <w:pPr>
              <w:ind w:left="40"/>
              <w:spacing w:after="0" w:line="171" w:lineRule="exact"/>
              <w:rPr>
                <w:sz w:val="20"/>
                <w:szCs w:val="20"/>
                <w:color w:val="auto"/>
              </w:rPr>
            </w:pPr>
            <w:r>
              <w:rPr>
                <w:rFonts w:ascii="Arial" w:cs="Arial" w:eastAsia="Arial" w:hAnsi="Arial"/>
                <w:sz w:val="15"/>
                <w:szCs w:val="15"/>
                <w:b w:val="1"/>
                <w:bCs w:val="1"/>
                <w:color w:val="FFFFFF"/>
              </w:rPr>
              <w:t>S/000</w:t>
            </w:r>
          </w:p>
        </w:tc>
        <w:tc>
          <w:tcPr>
            <w:tcW w:w="1280" w:type="dxa"/>
            <w:vAlign w:val="bottom"/>
            <w:tcBorders>
              <w:bottom w:val="single" w:sz="8" w:color="auto"/>
            </w:tcBorders>
            <w:shd w:val="clear" w:color="auto" w:fill="2AD2C9"/>
          </w:tcPr>
          <w:p>
            <w:pPr>
              <w:jc w:val="right"/>
              <w:ind w:right="407"/>
              <w:spacing w:after="0" w:line="171" w:lineRule="exact"/>
              <w:rPr>
                <w:sz w:val="20"/>
                <w:szCs w:val="20"/>
                <w:color w:val="auto"/>
              </w:rPr>
            </w:pPr>
            <w:r>
              <w:rPr>
                <w:rFonts w:ascii="Arial" w:cs="Arial" w:eastAsia="Arial" w:hAnsi="Arial"/>
                <w:sz w:val="15"/>
                <w:szCs w:val="15"/>
                <w:b w:val="1"/>
                <w:bCs w:val="1"/>
                <w:color w:val="FFFFFF"/>
              </w:rPr>
              <w:t>Dec 22</w:t>
            </w:r>
          </w:p>
        </w:tc>
        <w:tc>
          <w:tcPr>
            <w:tcW w:w="1080" w:type="dxa"/>
            <w:vAlign w:val="bottom"/>
            <w:tcBorders>
              <w:bottom w:val="single" w:sz="8" w:color="auto"/>
            </w:tcBorders>
            <w:shd w:val="clear" w:color="auto" w:fill="2AD2C9"/>
          </w:tcPr>
          <w:p>
            <w:pPr>
              <w:jc w:val="right"/>
              <w:ind w:right="347"/>
              <w:spacing w:after="0" w:line="171" w:lineRule="exact"/>
              <w:rPr>
                <w:sz w:val="20"/>
                <w:szCs w:val="20"/>
                <w:color w:val="auto"/>
              </w:rPr>
            </w:pPr>
            <w:r>
              <w:rPr>
                <w:rFonts w:ascii="Arial" w:cs="Arial" w:eastAsia="Arial" w:hAnsi="Arial"/>
                <w:sz w:val="15"/>
                <w:szCs w:val="15"/>
                <w:b w:val="1"/>
                <w:bCs w:val="1"/>
                <w:color w:val="FFFFFF"/>
              </w:rPr>
              <w:t>Sep 23</w:t>
            </w:r>
          </w:p>
        </w:tc>
        <w:tc>
          <w:tcPr>
            <w:tcW w:w="1100" w:type="dxa"/>
            <w:vAlign w:val="bottom"/>
            <w:tcBorders>
              <w:bottom w:val="single" w:sz="8" w:color="auto"/>
            </w:tcBorders>
            <w:shd w:val="clear" w:color="auto" w:fill="2AD2C9"/>
          </w:tcPr>
          <w:p>
            <w:pPr>
              <w:jc w:val="right"/>
              <w:ind w:right="327"/>
              <w:spacing w:after="0" w:line="171" w:lineRule="exact"/>
              <w:rPr>
                <w:sz w:val="20"/>
                <w:szCs w:val="20"/>
                <w:color w:val="auto"/>
              </w:rPr>
            </w:pPr>
            <w:r>
              <w:rPr>
                <w:rFonts w:ascii="Arial" w:cs="Arial" w:eastAsia="Arial" w:hAnsi="Arial"/>
                <w:sz w:val="15"/>
                <w:szCs w:val="15"/>
                <w:b w:val="1"/>
                <w:bCs w:val="1"/>
                <w:color w:val="FFFFFF"/>
              </w:rPr>
              <w:t>Dec 23</w:t>
            </w:r>
          </w:p>
        </w:tc>
        <w:tc>
          <w:tcPr>
            <w:tcW w:w="820" w:type="dxa"/>
            <w:vAlign w:val="bottom"/>
            <w:tcBorders>
              <w:bottom w:val="single" w:sz="8" w:color="auto"/>
            </w:tcBorders>
            <w:shd w:val="clear" w:color="auto" w:fill="2AD2C9"/>
          </w:tcPr>
          <w:p>
            <w:pPr>
              <w:jc w:val="right"/>
              <w:ind w:right="267"/>
              <w:spacing w:after="0" w:line="171" w:lineRule="exact"/>
              <w:rPr>
                <w:sz w:val="20"/>
                <w:szCs w:val="20"/>
                <w:color w:val="auto"/>
              </w:rPr>
            </w:pPr>
            <w:r>
              <w:rPr>
                <w:rFonts w:ascii="Arial" w:cs="Arial" w:eastAsia="Arial" w:hAnsi="Arial"/>
                <w:sz w:val="15"/>
                <w:szCs w:val="15"/>
                <w:b w:val="1"/>
                <w:bCs w:val="1"/>
                <w:color w:val="FFFFFF"/>
              </w:rPr>
              <w:t>QoQ</w:t>
            </w:r>
          </w:p>
        </w:tc>
        <w:tc>
          <w:tcPr>
            <w:tcW w:w="660" w:type="dxa"/>
            <w:vAlign w:val="bottom"/>
            <w:tcBorders>
              <w:bottom w:val="single" w:sz="8" w:color="auto"/>
            </w:tcBorders>
            <w:shd w:val="clear" w:color="auto" w:fill="2AD2C9"/>
          </w:tcPr>
          <w:p>
            <w:pPr>
              <w:jc w:val="right"/>
              <w:ind w:right="187"/>
              <w:spacing w:after="0" w:line="171" w:lineRule="exact"/>
              <w:rPr>
                <w:sz w:val="20"/>
                <w:szCs w:val="20"/>
                <w:color w:val="auto"/>
              </w:rPr>
            </w:pPr>
            <w:r>
              <w:rPr>
                <w:rFonts w:ascii="Arial" w:cs="Arial" w:eastAsia="Arial" w:hAnsi="Arial"/>
                <w:sz w:val="15"/>
                <w:szCs w:val="15"/>
                <w:b w:val="1"/>
                <w:bCs w:val="1"/>
                <w:color w:val="FFFFFF"/>
              </w:rPr>
              <w:t>YoY</w:t>
            </w:r>
          </w:p>
        </w:tc>
        <w:tc>
          <w:tcPr>
            <w:tcW w:w="20" w:type="dxa"/>
            <w:vAlign w:val="bottom"/>
            <w:tcBorders>
              <w:bottom w:val="single" w:sz="8" w:color="auto"/>
            </w:tcBorders>
          </w:tcPr>
          <w:p>
            <w:pPr>
              <w:spacing w:after="0"/>
              <w:rPr>
                <w:sz w:val="14"/>
                <w:szCs w:val="14"/>
                <w:color w:val="auto"/>
              </w:rPr>
            </w:pPr>
          </w:p>
        </w:tc>
      </w:tr>
      <w:tr>
        <w:trPr>
          <w:trHeight w:val="151"/>
        </w:trPr>
        <w:tc>
          <w:tcPr>
            <w:tcW w:w="6300" w:type="dxa"/>
            <w:vAlign w:val="bottom"/>
          </w:tcPr>
          <w:p>
            <w:pPr>
              <w:ind w:left="40"/>
              <w:spacing w:after="0" w:line="151" w:lineRule="exact"/>
              <w:rPr>
                <w:sz w:val="20"/>
                <w:szCs w:val="20"/>
                <w:color w:val="auto"/>
              </w:rPr>
            </w:pPr>
            <w:r>
              <w:rPr>
                <w:rFonts w:ascii="Arial" w:cs="Arial" w:eastAsia="Arial" w:hAnsi="Arial"/>
                <w:sz w:val="15"/>
                <w:szCs w:val="15"/>
                <w:color w:val="auto"/>
              </w:rPr>
              <w:t>Deposits and obligations</w:t>
            </w:r>
          </w:p>
        </w:tc>
        <w:tc>
          <w:tcPr>
            <w:tcW w:w="1280" w:type="dxa"/>
            <w:vAlign w:val="bottom"/>
          </w:tcPr>
          <w:p>
            <w:pPr>
              <w:jc w:val="right"/>
              <w:ind w:right="67"/>
              <w:spacing w:after="0" w:line="151" w:lineRule="exact"/>
              <w:rPr>
                <w:sz w:val="20"/>
                <w:szCs w:val="20"/>
                <w:color w:val="auto"/>
              </w:rPr>
            </w:pPr>
            <w:r>
              <w:rPr>
                <w:rFonts w:ascii="Arial" w:cs="Arial" w:eastAsia="Arial" w:hAnsi="Arial"/>
                <w:sz w:val="15"/>
                <w:szCs w:val="15"/>
                <w:color w:val="auto"/>
              </w:rPr>
              <w:t>147,020,787</w:t>
            </w:r>
          </w:p>
        </w:tc>
        <w:tc>
          <w:tcPr>
            <w:tcW w:w="1080" w:type="dxa"/>
            <w:vAlign w:val="bottom"/>
          </w:tcPr>
          <w:p>
            <w:pPr>
              <w:jc w:val="right"/>
              <w:ind w:right="27"/>
              <w:spacing w:after="0" w:line="151" w:lineRule="exact"/>
              <w:rPr>
                <w:sz w:val="20"/>
                <w:szCs w:val="20"/>
                <w:color w:val="auto"/>
              </w:rPr>
            </w:pPr>
            <w:r>
              <w:rPr>
                <w:rFonts w:ascii="Arial" w:cs="Arial" w:eastAsia="Arial" w:hAnsi="Arial"/>
                <w:sz w:val="15"/>
                <w:szCs w:val="15"/>
                <w:color w:val="auto"/>
              </w:rPr>
              <w:t>148,471,535</w:t>
            </w:r>
          </w:p>
        </w:tc>
        <w:tc>
          <w:tcPr>
            <w:tcW w:w="1100" w:type="dxa"/>
            <w:vAlign w:val="bottom"/>
          </w:tcPr>
          <w:p>
            <w:pPr>
              <w:jc w:val="right"/>
              <w:ind w:right="87"/>
              <w:spacing w:after="0" w:line="151" w:lineRule="exact"/>
              <w:rPr>
                <w:sz w:val="20"/>
                <w:szCs w:val="20"/>
                <w:color w:val="auto"/>
              </w:rPr>
            </w:pPr>
            <w:r>
              <w:rPr>
                <w:rFonts w:ascii="Arial" w:cs="Arial" w:eastAsia="Arial" w:hAnsi="Arial"/>
                <w:sz w:val="15"/>
                <w:szCs w:val="15"/>
                <w:color w:val="auto"/>
              </w:rPr>
              <w:t>147,704,994</w:t>
            </w:r>
          </w:p>
        </w:tc>
        <w:tc>
          <w:tcPr>
            <w:tcW w:w="820" w:type="dxa"/>
            <w:vAlign w:val="bottom"/>
          </w:tcPr>
          <w:p>
            <w:pPr>
              <w:jc w:val="right"/>
              <w:ind w:right="47"/>
              <w:spacing w:after="0" w:line="151" w:lineRule="exact"/>
              <w:rPr>
                <w:sz w:val="20"/>
                <w:szCs w:val="20"/>
                <w:color w:val="auto"/>
              </w:rPr>
            </w:pPr>
            <w:r>
              <w:rPr>
                <w:rFonts w:ascii="Arial" w:cs="Arial" w:eastAsia="Arial" w:hAnsi="Arial"/>
                <w:sz w:val="15"/>
                <w:szCs w:val="15"/>
                <w:color w:val="auto"/>
              </w:rPr>
              <w:t>-0.5%</w:t>
            </w:r>
          </w:p>
        </w:tc>
        <w:tc>
          <w:tcPr>
            <w:tcW w:w="660" w:type="dxa"/>
            <w:vAlign w:val="bottom"/>
          </w:tcPr>
          <w:p>
            <w:pPr>
              <w:jc w:val="right"/>
              <w:spacing w:after="0" w:line="151" w:lineRule="exact"/>
              <w:rPr>
                <w:sz w:val="20"/>
                <w:szCs w:val="20"/>
                <w:color w:val="auto"/>
              </w:rPr>
            </w:pPr>
            <w:r>
              <w:rPr>
                <w:rFonts w:ascii="Arial" w:cs="Arial" w:eastAsia="Arial" w:hAnsi="Arial"/>
                <w:sz w:val="15"/>
                <w:szCs w:val="15"/>
                <w:color w:val="auto"/>
              </w:rPr>
              <w:t>0.5%</w:t>
            </w:r>
          </w:p>
        </w:tc>
        <w:tc>
          <w:tcPr>
            <w:tcW w:w="20" w:type="dxa"/>
            <w:vAlign w:val="bottom"/>
          </w:tcPr>
          <w:p>
            <w:pPr>
              <w:spacing w:after="0"/>
              <w:rPr>
                <w:sz w:val="13"/>
                <w:szCs w:val="13"/>
                <w:color w:val="auto"/>
              </w:rPr>
            </w:pPr>
          </w:p>
        </w:tc>
      </w:tr>
      <w:tr>
        <w:trPr>
          <w:trHeight w:val="171"/>
        </w:trPr>
        <w:tc>
          <w:tcPr>
            <w:tcW w:w="6300" w:type="dxa"/>
            <w:vAlign w:val="bottom"/>
          </w:tcPr>
          <w:p>
            <w:pPr>
              <w:ind w:left="40"/>
              <w:spacing w:after="0" w:line="171" w:lineRule="exact"/>
              <w:rPr>
                <w:sz w:val="20"/>
                <w:szCs w:val="20"/>
                <w:color w:val="auto"/>
              </w:rPr>
            </w:pPr>
            <w:r>
              <w:rPr>
                <w:rFonts w:ascii="Arial" w:cs="Arial" w:eastAsia="Arial" w:hAnsi="Arial"/>
                <w:sz w:val="15"/>
                <w:szCs w:val="15"/>
                <w:color w:val="auto"/>
              </w:rPr>
              <w:t>Due to banks and correspondents</w:t>
            </w:r>
          </w:p>
        </w:tc>
        <w:tc>
          <w:tcPr>
            <w:tcW w:w="12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8,937,411</w:t>
            </w:r>
          </w:p>
        </w:tc>
        <w:tc>
          <w:tcPr>
            <w:tcW w:w="1080" w:type="dxa"/>
            <w:vAlign w:val="bottom"/>
          </w:tcPr>
          <w:p>
            <w:pPr>
              <w:jc w:val="right"/>
              <w:ind w:right="27"/>
              <w:spacing w:after="0" w:line="171" w:lineRule="exact"/>
              <w:rPr>
                <w:sz w:val="20"/>
                <w:szCs w:val="20"/>
                <w:color w:val="auto"/>
              </w:rPr>
            </w:pPr>
            <w:r>
              <w:rPr>
                <w:rFonts w:ascii="Arial" w:cs="Arial" w:eastAsia="Arial" w:hAnsi="Arial"/>
                <w:sz w:val="15"/>
                <w:szCs w:val="15"/>
                <w:color w:val="auto"/>
              </w:rPr>
              <w:t>10,493,411</w:t>
            </w:r>
          </w:p>
        </w:tc>
        <w:tc>
          <w:tcPr>
            <w:tcW w:w="1100" w:type="dxa"/>
            <w:vAlign w:val="bottom"/>
          </w:tcPr>
          <w:p>
            <w:pPr>
              <w:jc w:val="right"/>
              <w:ind w:right="87"/>
              <w:spacing w:after="0" w:line="171" w:lineRule="exact"/>
              <w:rPr>
                <w:sz w:val="20"/>
                <w:szCs w:val="20"/>
                <w:color w:val="auto"/>
              </w:rPr>
            </w:pPr>
            <w:r>
              <w:rPr>
                <w:rFonts w:ascii="Arial" w:cs="Arial" w:eastAsia="Arial" w:hAnsi="Arial"/>
                <w:sz w:val="15"/>
                <w:szCs w:val="15"/>
                <w:color w:val="auto"/>
              </w:rPr>
              <w:t>12,278,681</w:t>
            </w:r>
          </w:p>
        </w:tc>
        <w:tc>
          <w:tcPr>
            <w:tcW w:w="820" w:type="dxa"/>
            <w:vAlign w:val="bottom"/>
          </w:tcPr>
          <w:p>
            <w:pPr>
              <w:jc w:val="right"/>
              <w:ind w:right="47"/>
              <w:spacing w:after="0" w:line="171" w:lineRule="exact"/>
              <w:rPr>
                <w:sz w:val="20"/>
                <w:szCs w:val="20"/>
                <w:color w:val="auto"/>
              </w:rPr>
            </w:pPr>
            <w:r>
              <w:rPr>
                <w:rFonts w:ascii="Arial" w:cs="Arial" w:eastAsia="Arial" w:hAnsi="Arial"/>
                <w:sz w:val="15"/>
                <w:szCs w:val="15"/>
                <w:color w:val="auto"/>
              </w:rPr>
              <w:t>17.0%</w:t>
            </w:r>
          </w:p>
        </w:tc>
        <w:tc>
          <w:tcPr>
            <w:tcW w:w="68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37.4%</w:t>
            </w:r>
          </w:p>
        </w:tc>
      </w:tr>
      <w:tr>
        <w:trPr>
          <w:trHeight w:val="171"/>
        </w:trPr>
        <w:tc>
          <w:tcPr>
            <w:tcW w:w="6300" w:type="dxa"/>
            <w:vAlign w:val="bottom"/>
          </w:tcPr>
          <w:p>
            <w:pPr>
              <w:ind w:left="40"/>
              <w:spacing w:after="0" w:line="171" w:lineRule="exact"/>
              <w:rPr>
                <w:sz w:val="20"/>
                <w:szCs w:val="20"/>
                <w:color w:val="auto"/>
              </w:rPr>
            </w:pPr>
            <w:r>
              <w:rPr>
                <w:rFonts w:ascii="Arial" w:cs="Arial" w:eastAsia="Arial" w:hAnsi="Arial"/>
                <w:sz w:val="15"/>
                <w:szCs w:val="15"/>
                <w:color w:val="auto"/>
              </w:rPr>
              <w:t>BCRP instruments</w:t>
            </w:r>
          </w:p>
        </w:tc>
        <w:tc>
          <w:tcPr>
            <w:tcW w:w="12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11,297,659</w:t>
            </w:r>
          </w:p>
        </w:tc>
        <w:tc>
          <w:tcPr>
            <w:tcW w:w="1080" w:type="dxa"/>
            <w:vAlign w:val="bottom"/>
          </w:tcPr>
          <w:p>
            <w:pPr>
              <w:jc w:val="right"/>
              <w:ind w:right="27"/>
              <w:spacing w:after="0" w:line="171" w:lineRule="exact"/>
              <w:rPr>
                <w:sz w:val="20"/>
                <w:szCs w:val="20"/>
                <w:color w:val="auto"/>
              </w:rPr>
            </w:pPr>
            <w:r>
              <w:rPr>
                <w:rFonts w:ascii="Arial" w:cs="Arial" w:eastAsia="Arial" w:hAnsi="Arial"/>
                <w:sz w:val="15"/>
                <w:szCs w:val="15"/>
                <w:color w:val="auto"/>
              </w:rPr>
              <w:t>9,616,150</w:t>
            </w:r>
          </w:p>
        </w:tc>
        <w:tc>
          <w:tcPr>
            <w:tcW w:w="1100" w:type="dxa"/>
            <w:vAlign w:val="bottom"/>
          </w:tcPr>
          <w:p>
            <w:pPr>
              <w:jc w:val="right"/>
              <w:ind w:right="87"/>
              <w:spacing w:after="0" w:line="171" w:lineRule="exact"/>
              <w:rPr>
                <w:sz w:val="20"/>
                <w:szCs w:val="20"/>
                <w:color w:val="auto"/>
              </w:rPr>
            </w:pPr>
            <w:r>
              <w:rPr>
                <w:rFonts w:ascii="Arial" w:cs="Arial" w:eastAsia="Arial" w:hAnsi="Arial"/>
                <w:sz w:val="15"/>
                <w:szCs w:val="15"/>
                <w:color w:val="auto"/>
              </w:rPr>
              <w:t>7,461,674</w:t>
            </w:r>
          </w:p>
        </w:tc>
        <w:tc>
          <w:tcPr>
            <w:tcW w:w="820" w:type="dxa"/>
            <w:vAlign w:val="bottom"/>
          </w:tcPr>
          <w:p>
            <w:pPr>
              <w:jc w:val="right"/>
              <w:ind w:right="47"/>
              <w:spacing w:after="0" w:line="171" w:lineRule="exact"/>
              <w:rPr>
                <w:sz w:val="20"/>
                <w:szCs w:val="20"/>
                <w:color w:val="auto"/>
              </w:rPr>
            </w:pPr>
            <w:r>
              <w:rPr>
                <w:rFonts w:ascii="Arial" w:cs="Arial" w:eastAsia="Arial" w:hAnsi="Arial"/>
                <w:sz w:val="15"/>
                <w:szCs w:val="15"/>
                <w:color w:val="auto"/>
              </w:rPr>
              <w:t>-22.4%</w:t>
            </w:r>
          </w:p>
        </w:tc>
        <w:tc>
          <w:tcPr>
            <w:tcW w:w="660" w:type="dxa"/>
            <w:vAlign w:val="bottom"/>
          </w:tcPr>
          <w:p>
            <w:pPr>
              <w:jc w:val="right"/>
              <w:spacing w:after="0" w:line="171" w:lineRule="exact"/>
              <w:rPr>
                <w:sz w:val="20"/>
                <w:szCs w:val="20"/>
                <w:color w:val="auto"/>
              </w:rPr>
            </w:pPr>
            <w:r>
              <w:rPr>
                <w:rFonts w:ascii="Arial" w:cs="Arial" w:eastAsia="Arial" w:hAnsi="Arial"/>
                <w:sz w:val="15"/>
                <w:szCs w:val="15"/>
                <w:color w:val="auto"/>
              </w:rPr>
              <w:t>-34.0%</w:t>
            </w:r>
          </w:p>
        </w:tc>
        <w:tc>
          <w:tcPr>
            <w:tcW w:w="20" w:type="dxa"/>
            <w:vAlign w:val="bottom"/>
          </w:tcPr>
          <w:p>
            <w:pPr>
              <w:spacing w:after="0"/>
              <w:rPr>
                <w:sz w:val="14"/>
                <w:szCs w:val="14"/>
                <w:color w:val="auto"/>
              </w:rPr>
            </w:pPr>
          </w:p>
        </w:tc>
      </w:tr>
      <w:tr>
        <w:trPr>
          <w:trHeight w:val="171"/>
        </w:trPr>
        <w:tc>
          <w:tcPr>
            <w:tcW w:w="6300" w:type="dxa"/>
            <w:vAlign w:val="bottom"/>
          </w:tcPr>
          <w:p>
            <w:pPr>
              <w:ind w:left="40"/>
              <w:spacing w:after="0" w:line="171" w:lineRule="exact"/>
              <w:rPr>
                <w:sz w:val="20"/>
                <w:szCs w:val="20"/>
                <w:color w:val="auto"/>
              </w:rPr>
            </w:pPr>
            <w:r>
              <w:rPr>
                <w:rFonts w:ascii="Arial" w:cs="Arial" w:eastAsia="Arial" w:hAnsi="Arial"/>
                <w:sz w:val="15"/>
                <w:szCs w:val="15"/>
                <w:color w:val="auto"/>
              </w:rPr>
              <w:t>Repurchase agreements with clients and third parties</w:t>
            </w:r>
          </w:p>
        </w:tc>
        <w:tc>
          <w:tcPr>
            <w:tcW w:w="12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1,669,066</w:t>
            </w:r>
          </w:p>
        </w:tc>
        <w:tc>
          <w:tcPr>
            <w:tcW w:w="1080" w:type="dxa"/>
            <w:vAlign w:val="bottom"/>
          </w:tcPr>
          <w:p>
            <w:pPr>
              <w:jc w:val="right"/>
              <w:ind w:right="27"/>
              <w:spacing w:after="0" w:line="171" w:lineRule="exact"/>
              <w:rPr>
                <w:sz w:val="20"/>
                <w:szCs w:val="20"/>
                <w:color w:val="auto"/>
              </w:rPr>
            </w:pPr>
            <w:r>
              <w:rPr>
                <w:rFonts w:ascii="Arial" w:cs="Arial" w:eastAsia="Arial" w:hAnsi="Arial"/>
                <w:sz w:val="15"/>
                <w:szCs w:val="15"/>
                <w:color w:val="auto"/>
              </w:rPr>
              <w:t>2,121,870</w:t>
            </w:r>
          </w:p>
        </w:tc>
        <w:tc>
          <w:tcPr>
            <w:tcW w:w="1100" w:type="dxa"/>
            <w:vAlign w:val="bottom"/>
          </w:tcPr>
          <w:p>
            <w:pPr>
              <w:jc w:val="right"/>
              <w:ind w:right="87"/>
              <w:spacing w:after="0" w:line="171" w:lineRule="exact"/>
              <w:rPr>
                <w:sz w:val="20"/>
                <w:szCs w:val="20"/>
                <w:color w:val="auto"/>
              </w:rPr>
            </w:pPr>
            <w:r>
              <w:rPr>
                <w:rFonts w:ascii="Arial" w:cs="Arial" w:eastAsia="Arial" w:hAnsi="Arial"/>
                <w:sz w:val="15"/>
                <w:szCs w:val="15"/>
                <w:color w:val="auto"/>
              </w:rPr>
              <w:t>2,706,753</w:t>
            </w:r>
          </w:p>
        </w:tc>
        <w:tc>
          <w:tcPr>
            <w:tcW w:w="820" w:type="dxa"/>
            <w:vAlign w:val="bottom"/>
          </w:tcPr>
          <w:p>
            <w:pPr>
              <w:jc w:val="right"/>
              <w:ind w:right="47"/>
              <w:spacing w:after="0" w:line="171" w:lineRule="exact"/>
              <w:rPr>
                <w:sz w:val="20"/>
                <w:szCs w:val="20"/>
                <w:color w:val="auto"/>
              </w:rPr>
            </w:pPr>
            <w:r>
              <w:rPr>
                <w:rFonts w:ascii="Arial" w:cs="Arial" w:eastAsia="Arial" w:hAnsi="Arial"/>
                <w:sz w:val="15"/>
                <w:szCs w:val="15"/>
                <w:color w:val="auto"/>
              </w:rPr>
              <w:t>27.6%</w:t>
            </w:r>
          </w:p>
        </w:tc>
        <w:tc>
          <w:tcPr>
            <w:tcW w:w="68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62.2%</w:t>
            </w:r>
          </w:p>
        </w:tc>
      </w:tr>
      <w:tr>
        <w:trPr>
          <w:trHeight w:val="183"/>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Bonds and notes issued</w:t>
            </w:r>
          </w:p>
        </w:tc>
        <w:tc>
          <w:tcPr>
            <w:tcW w:w="12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17,007,194</w:t>
            </w:r>
          </w:p>
        </w:tc>
        <w:tc>
          <w:tcPr>
            <w:tcW w:w="10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14,914,632</w:t>
            </w:r>
          </w:p>
        </w:tc>
        <w:tc>
          <w:tcPr>
            <w:tcW w:w="11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14,594,785</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w:t>
            </w:r>
          </w:p>
        </w:tc>
        <w:tc>
          <w:tcPr>
            <w:tcW w:w="20" w:type="dxa"/>
            <w:vAlign w:val="bottom"/>
            <w:tcBorders>
              <w:bottom w:val="single" w:sz="8" w:color="auto"/>
            </w:tcBorders>
          </w:tcPr>
          <w:p>
            <w:pPr>
              <w:spacing w:after="0"/>
              <w:rPr>
                <w:sz w:val="15"/>
                <w:szCs w:val="15"/>
                <w:color w:val="auto"/>
              </w:rPr>
            </w:pPr>
          </w:p>
        </w:tc>
      </w:tr>
      <w:tr>
        <w:trPr>
          <w:trHeight w:val="170"/>
        </w:trPr>
        <w:tc>
          <w:tcPr>
            <w:tcW w:w="6300" w:type="dxa"/>
            <w:vAlign w:val="bottom"/>
          </w:tcPr>
          <w:p>
            <w:pPr>
              <w:ind w:left="40"/>
              <w:spacing w:after="0" w:line="170" w:lineRule="exact"/>
              <w:rPr>
                <w:sz w:val="20"/>
                <w:szCs w:val="20"/>
                <w:color w:val="auto"/>
              </w:rPr>
            </w:pPr>
            <w:r>
              <w:rPr>
                <w:rFonts w:ascii="Arial" w:cs="Arial" w:eastAsia="Arial" w:hAnsi="Arial"/>
                <w:sz w:val="15"/>
                <w:szCs w:val="15"/>
                <w:b w:val="1"/>
                <w:bCs w:val="1"/>
                <w:color w:val="auto"/>
              </w:rPr>
              <w:t>Total funding</w:t>
            </w:r>
          </w:p>
        </w:tc>
        <w:tc>
          <w:tcPr>
            <w:tcW w:w="1280" w:type="dxa"/>
            <w:vAlign w:val="bottom"/>
          </w:tcPr>
          <w:p>
            <w:pPr>
              <w:jc w:val="right"/>
              <w:ind w:right="67"/>
              <w:spacing w:after="0" w:line="170" w:lineRule="exact"/>
              <w:rPr>
                <w:sz w:val="20"/>
                <w:szCs w:val="20"/>
                <w:color w:val="auto"/>
              </w:rPr>
            </w:pPr>
            <w:r>
              <w:rPr>
                <w:rFonts w:ascii="Arial" w:cs="Arial" w:eastAsia="Arial" w:hAnsi="Arial"/>
                <w:sz w:val="15"/>
                <w:szCs w:val="15"/>
                <w:b w:val="1"/>
                <w:bCs w:val="1"/>
                <w:color w:val="auto"/>
              </w:rPr>
              <w:t>185,932,117</w:t>
            </w:r>
          </w:p>
        </w:tc>
        <w:tc>
          <w:tcPr>
            <w:tcW w:w="1080" w:type="dxa"/>
            <w:vAlign w:val="bottom"/>
          </w:tcPr>
          <w:p>
            <w:pPr>
              <w:jc w:val="right"/>
              <w:ind w:right="27"/>
              <w:spacing w:after="0" w:line="170" w:lineRule="exact"/>
              <w:rPr>
                <w:sz w:val="20"/>
                <w:szCs w:val="20"/>
                <w:color w:val="auto"/>
              </w:rPr>
            </w:pPr>
            <w:r>
              <w:rPr>
                <w:rFonts w:ascii="Arial" w:cs="Arial" w:eastAsia="Arial" w:hAnsi="Arial"/>
                <w:sz w:val="15"/>
                <w:szCs w:val="15"/>
                <w:b w:val="1"/>
                <w:bCs w:val="1"/>
                <w:color w:val="auto"/>
              </w:rPr>
              <w:t>185,617,598</w:t>
            </w:r>
          </w:p>
        </w:tc>
        <w:tc>
          <w:tcPr>
            <w:tcW w:w="1100" w:type="dxa"/>
            <w:vAlign w:val="bottom"/>
          </w:tcPr>
          <w:p>
            <w:pPr>
              <w:jc w:val="right"/>
              <w:ind w:right="87"/>
              <w:spacing w:after="0" w:line="170" w:lineRule="exact"/>
              <w:rPr>
                <w:sz w:val="20"/>
                <w:szCs w:val="20"/>
                <w:color w:val="auto"/>
              </w:rPr>
            </w:pPr>
            <w:r>
              <w:rPr>
                <w:rFonts w:ascii="Arial" w:cs="Arial" w:eastAsia="Arial" w:hAnsi="Arial"/>
                <w:sz w:val="15"/>
                <w:szCs w:val="15"/>
                <w:b w:val="1"/>
                <w:bCs w:val="1"/>
                <w:color w:val="auto"/>
              </w:rPr>
              <w:t>184,746,887</w:t>
            </w:r>
          </w:p>
        </w:tc>
        <w:tc>
          <w:tcPr>
            <w:tcW w:w="820" w:type="dxa"/>
            <w:vAlign w:val="bottom"/>
          </w:tcPr>
          <w:p>
            <w:pPr>
              <w:jc w:val="right"/>
              <w:ind w:right="47"/>
              <w:spacing w:after="0" w:line="170" w:lineRule="exact"/>
              <w:rPr>
                <w:sz w:val="20"/>
                <w:szCs w:val="20"/>
                <w:color w:val="auto"/>
              </w:rPr>
            </w:pPr>
            <w:r>
              <w:rPr>
                <w:rFonts w:ascii="Arial" w:cs="Arial" w:eastAsia="Arial" w:hAnsi="Arial"/>
                <w:sz w:val="15"/>
                <w:szCs w:val="15"/>
                <w:b w:val="1"/>
                <w:bCs w:val="1"/>
                <w:color w:val="auto"/>
              </w:rPr>
              <w:t>-0.5%</w:t>
            </w:r>
          </w:p>
        </w:tc>
        <w:tc>
          <w:tcPr>
            <w:tcW w:w="66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-0.6%</w:t>
            </w:r>
          </w:p>
        </w:tc>
        <w:tc>
          <w:tcPr>
            <w:tcW w:w="20" w:type="dxa"/>
            <w:vAlign w:val="bottom"/>
          </w:tcPr>
          <w:p>
            <w:pPr>
              <w:spacing w:after="0"/>
              <w:rPr>
                <w:sz w:val="14"/>
                <w:szCs w:val="14"/>
                <w:color w:val="auto"/>
              </w:rPr>
            </w:pPr>
          </w:p>
        </w:tc>
      </w:tr>
    </w:tbl>
    <w:p>
      <w:pPr>
        <w:spacing w:after="0"/>
        <w:rPr>
          <w:sz w:val="20"/>
          <w:szCs w:val="20"/>
          <w:color w:val="auto"/>
        </w:rPr>
      </w:pPr>
      <w:r>
        <w:rPr>
          <w:rFonts w:ascii="Arial" w:cs="Arial" w:eastAsia="Arial" w:hAnsi="Arial"/>
          <w:sz w:val="11"/>
          <w:szCs w:val="11"/>
          <w:color w:val="auto"/>
        </w:rPr>
        <w:t>(1) Effective 1Q23, Funding includes Repurchase agreements with clients.</w:t>
      </w:r>
    </w:p>
    <w:p>
      <w:pPr>
        <w:spacing w:after="0" w:line="167"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QoQ, funding fell 0.5% due to a decline in the balance of BCRP instruments, which was driven primarily by a decrease in the appetite for funding through Repos in a context of relatively unattractive rates and secondarily, by expirations of the remaining balance of Repos for GP. A decline in deposits, which was attributable to the expiration of term deposits from corporate and institutional clients, also contributed to the decrease in funding, albeit to a lesser extent. Both of these dynamics were partially offset by an increase in Due to banks and correspondents, which were taken to cover funding needs prior to a bond issuance in January 2024.</w:t>
      </w:r>
    </w:p>
    <w:p>
      <w:pPr>
        <w:spacing w:after="0" w:line="147"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YoY, funding fell 0.6% due to reduction in BCRP instruments, which was driven by the same dynamics as those seen QoQ. Additionally, the balance for Bonds and Issued Notes fell due to expirations of corporate bonds at BCP.</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30" w:name="page31"/>
    <w:bookmarkEnd w:id="30"/>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39"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04 </w:t>
      </w:r>
      <w:r>
        <w:rPr>
          <w:rFonts w:ascii="Arial" w:cs="Arial" w:eastAsia="Arial" w:hAnsi="Arial"/>
          <w:sz w:val="29"/>
          <w:szCs w:val="29"/>
          <w:b w:val="1"/>
          <w:bCs w:val="1"/>
          <w:color w:val="E93B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145655" cy="1532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655" cy="1532890"/>
                    </a:xfrm>
                    <a:prstGeom prst="rect">
                      <a:avLst/>
                    </a:prstGeom>
                    <a:noFill/>
                  </pic:spPr>
                </pic:pic>
              </a:graphicData>
            </a:graphic>
          </wp:anchor>
        </w:drawing>
      </w:r>
    </w:p>
    <w:p>
      <w:pPr>
        <w:spacing w:after="0" w:line="300"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6"/>
          <w:szCs w:val="16"/>
          <w:color w:val="FFFFFF"/>
        </w:rPr>
        <w:t>In 4Q23, Net Interest Income (NII) rose 2.9% QoQ, driven primarily by an uptick in interest income on loans. This evolution reflected growth in structural retail loans, partially offset by a drop in wholesale banking. Low-cost Deposits registered an uptick in the balance while the balance for Time Deposits fell; these variations led interest expenses to decline. These balance sheet dynamics, in a local context of dropping interest rates, led the IEA yield to remain relatively stable while the funding cost fell.</w:t>
      </w:r>
    </w:p>
    <w:p>
      <w:pPr>
        <w:spacing w:after="0" w:line="142" w:lineRule="exact"/>
        <w:rPr>
          <w:sz w:val="20"/>
          <w:szCs w:val="20"/>
          <w:color w:val="auto"/>
        </w:rPr>
      </w:pPr>
    </w:p>
    <w:p>
      <w:pPr>
        <w:jc w:val="both"/>
        <w:ind w:left="120" w:right="120"/>
        <w:spacing w:after="0" w:line="258" w:lineRule="auto"/>
        <w:rPr>
          <w:sz w:val="20"/>
          <w:szCs w:val="20"/>
          <w:color w:val="auto"/>
        </w:rPr>
      </w:pPr>
      <w:r>
        <w:rPr>
          <w:rFonts w:ascii="Arial" w:cs="Arial" w:eastAsia="Arial" w:hAnsi="Arial"/>
          <w:sz w:val="16"/>
          <w:szCs w:val="16"/>
          <w:color w:val="FFFFFF"/>
        </w:rPr>
        <w:t>YoY, NII increased 6.6%, due to a pickup in interest income, driven by the same dynamics of the loan mix as QoQ, and despite an uptick in interest expenses due to growth in the balance for Time deposits. YTD, NII grew 16.6%, fueled by an increase in interest income, which outpaced the increase in interest expenses.</w:t>
      </w:r>
    </w:p>
    <w:p>
      <w:pPr>
        <w:spacing w:after="0" w:line="138" w:lineRule="exact"/>
        <w:rPr>
          <w:sz w:val="20"/>
          <w:szCs w:val="20"/>
          <w:color w:val="auto"/>
        </w:rPr>
      </w:pPr>
    </w:p>
    <w:p>
      <w:pPr>
        <w:jc w:val="both"/>
        <w:ind w:left="120" w:right="140"/>
        <w:spacing w:after="0" w:line="258" w:lineRule="auto"/>
        <w:rPr>
          <w:sz w:val="20"/>
          <w:szCs w:val="20"/>
          <w:color w:val="auto"/>
        </w:rPr>
      </w:pPr>
      <w:r>
        <w:rPr>
          <w:rFonts w:ascii="Arial" w:cs="Arial" w:eastAsia="Arial" w:hAnsi="Arial"/>
          <w:sz w:val="16"/>
          <w:szCs w:val="16"/>
          <w:color w:val="FFFFFF"/>
        </w:rPr>
        <w:t>In this context, NIM rose 10 bps QoQ and 46 bps YoY to stand at 6.21%. On a full-year basis, NIM increased 92 bps up to 6.01%. Risk-adjusted NIM dropped 35 bps QoQ and in YoY terms to stand at 4.10%, which reflects the impact of the provisions set aside for the El Nino Phenomenon. Risk-adjusted NIM for the full year was 9 bps above the previous year’s figures and stood at 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1509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655" cy="150939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20" w:type="dxa"/>
            <w:vAlign w:val="bottom"/>
            <w:tcBorders>
              <w:top w:val="single" w:sz="8" w:color="auto"/>
            </w:tcBorders>
            <w:shd w:val="clear" w:color="auto" w:fill="2AD2C9"/>
          </w:tcPr>
          <w:p>
            <w:pPr>
              <w:ind w:left="40"/>
              <w:spacing w:after="0" w:line="119" w:lineRule="exact"/>
              <w:rPr>
                <w:sz w:val="20"/>
                <w:szCs w:val="20"/>
                <w:color w:val="auto"/>
              </w:rPr>
            </w:pPr>
            <w:r>
              <w:rPr>
                <w:rFonts w:ascii="Arial" w:cs="Arial" w:eastAsia="Arial" w:hAnsi="Arial"/>
                <w:sz w:val="11"/>
                <w:szCs w:val="11"/>
                <w:b w:val="1"/>
                <w:bCs w:val="1"/>
                <w:color w:val="FFFFFF"/>
              </w:rPr>
              <w:t>Net Interest Income / Margin</w:t>
            </w:r>
          </w:p>
        </w:tc>
        <w:tc>
          <w:tcPr>
            <w:tcW w:w="1180" w:type="dxa"/>
            <w:vAlign w:val="bottom"/>
            <w:tcBorders>
              <w:top w:val="single" w:sz="8" w:color="auto"/>
            </w:tcBorders>
            <w:shd w:val="clear" w:color="auto" w:fill="2AD2C9"/>
          </w:tcPr>
          <w:p>
            <w:pPr>
              <w:spacing w:after="0"/>
              <w:rPr>
                <w:sz w:val="10"/>
                <w:szCs w:val="10"/>
                <w:color w:val="auto"/>
              </w:rPr>
            </w:pPr>
          </w:p>
        </w:tc>
        <w:tc>
          <w:tcPr>
            <w:tcW w:w="1020" w:type="dxa"/>
            <w:vAlign w:val="bottom"/>
            <w:tcBorders>
              <w:top w:val="single" w:sz="8" w:color="auto"/>
            </w:tcBorders>
            <w:shd w:val="clear" w:color="auto" w:fill="2AD2C9"/>
          </w:tcPr>
          <w:p>
            <w:pPr>
              <w:jc w:val="right"/>
              <w:ind w:right="403"/>
              <w:spacing w:after="0" w:line="119" w:lineRule="exact"/>
              <w:rPr>
                <w:sz w:val="20"/>
                <w:szCs w:val="20"/>
                <w:color w:val="auto"/>
              </w:rPr>
            </w:pPr>
            <w:r>
              <w:rPr>
                <w:rFonts w:ascii="Arial" w:cs="Arial" w:eastAsia="Arial" w:hAnsi="Arial"/>
                <w:sz w:val="11"/>
                <w:szCs w:val="11"/>
                <w:b w:val="1"/>
                <w:bCs w:val="1"/>
                <w:color w:val="FFFFFF"/>
              </w:rPr>
              <w:t>Quarter</w:t>
            </w:r>
          </w:p>
        </w:tc>
        <w:tc>
          <w:tcPr>
            <w:tcW w:w="920" w:type="dxa"/>
            <w:vAlign w:val="bottom"/>
            <w:tcBorders>
              <w:top w:val="single" w:sz="8" w:color="auto"/>
            </w:tcBorders>
            <w:shd w:val="clear" w:color="auto" w:fill="2AD2C9"/>
          </w:tcPr>
          <w:p>
            <w:pPr>
              <w:spacing w:after="0"/>
              <w:rPr>
                <w:sz w:val="10"/>
                <w:szCs w:val="10"/>
                <w:color w:val="auto"/>
              </w:rPr>
            </w:pPr>
          </w:p>
        </w:tc>
        <w:tc>
          <w:tcPr>
            <w:tcW w:w="1380" w:type="dxa"/>
            <w:vAlign w:val="bottom"/>
            <w:tcBorders>
              <w:top w:val="single" w:sz="8" w:color="auto"/>
            </w:tcBorders>
            <w:gridSpan w:val="2"/>
            <w:shd w:val="clear" w:color="auto" w:fill="2AD2C9"/>
          </w:tcPr>
          <w:p>
            <w:pPr>
              <w:ind w:left="340"/>
              <w:spacing w:after="0" w:line="119" w:lineRule="exact"/>
              <w:rPr>
                <w:sz w:val="20"/>
                <w:szCs w:val="20"/>
                <w:color w:val="auto"/>
              </w:rPr>
            </w:pPr>
            <w:r>
              <w:rPr>
                <w:rFonts w:ascii="Arial" w:cs="Arial" w:eastAsia="Arial" w:hAnsi="Arial"/>
                <w:sz w:val="11"/>
                <w:szCs w:val="11"/>
                <w:b w:val="1"/>
                <w:bCs w:val="1"/>
                <w:color w:val="FFFFFF"/>
              </w:rPr>
              <w:t>% change</w:t>
            </w:r>
          </w:p>
        </w:tc>
        <w:tc>
          <w:tcPr>
            <w:tcW w:w="1160" w:type="dxa"/>
            <w:vAlign w:val="bottom"/>
            <w:tcBorders>
              <w:top w:val="single" w:sz="8" w:color="auto"/>
            </w:tcBorders>
            <w:shd w:val="clear" w:color="auto" w:fill="2AD2C9"/>
          </w:tcPr>
          <w:p>
            <w:pPr>
              <w:jc w:val="right"/>
              <w:ind w:right="43"/>
              <w:spacing w:after="0" w:line="119" w:lineRule="exact"/>
              <w:rPr>
                <w:sz w:val="20"/>
                <w:szCs w:val="20"/>
                <w:color w:val="auto"/>
              </w:rPr>
            </w:pPr>
            <w:r>
              <w:rPr>
                <w:rFonts w:ascii="Arial" w:cs="Arial" w:eastAsia="Arial" w:hAnsi="Arial"/>
                <w:sz w:val="11"/>
                <w:szCs w:val="11"/>
                <w:b w:val="1"/>
                <w:bCs w:val="1"/>
                <w:color w:val="FFFFFF"/>
              </w:rPr>
              <w:t>As of</w:t>
            </w:r>
          </w:p>
        </w:tc>
        <w:tc>
          <w:tcPr>
            <w:tcW w:w="860" w:type="dxa"/>
            <w:vAlign w:val="bottom"/>
            <w:tcBorders>
              <w:top w:val="single" w:sz="8" w:color="auto"/>
            </w:tcBorders>
            <w:shd w:val="clear" w:color="auto" w:fill="2AD2C9"/>
          </w:tcPr>
          <w:p>
            <w:pPr>
              <w:spacing w:after="0"/>
              <w:rPr>
                <w:sz w:val="10"/>
                <w:szCs w:val="10"/>
                <w:color w:val="auto"/>
              </w:rPr>
            </w:pPr>
          </w:p>
        </w:tc>
        <w:tc>
          <w:tcPr>
            <w:tcW w:w="900" w:type="dxa"/>
            <w:vAlign w:val="bottom"/>
            <w:tcBorders>
              <w:top w:val="single" w:sz="8" w:color="auto"/>
            </w:tcBorders>
            <w:shd w:val="clear" w:color="auto" w:fill="2AD2C9"/>
          </w:tcPr>
          <w:p>
            <w:pPr>
              <w:ind w:left="140"/>
              <w:spacing w:after="0" w:line="119" w:lineRule="exact"/>
              <w:rPr>
                <w:sz w:val="20"/>
                <w:szCs w:val="20"/>
                <w:color w:val="auto"/>
              </w:rPr>
            </w:pPr>
            <w:r>
              <w:rPr>
                <w:rFonts w:ascii="Arial" w:cs="Arial" w:eastAsia="Arial" w:hAnsi="Arial"/>
                <w:sz w:val="11"/>
                <w:szCs w:val="11"/>
                <w:b w:val="1"/>
                <w:bCs w:val="1"/>
                <w:color w:val="FFFFFF"/>
              </w:rPr>
              <w:t>% change</w:t>
            </w:r>
          </w:p>
        </w:tc>
        <w:tc>
          <w:tcPr>
            <w:tcW w:w="20" w:type="dxa"/>
            <w:vAlign w:val="bottom"/>
            <w:tcBorders>
              <w:top w:val="single" w:sz="8" w:color="auto"/>
            </w:tcBorders>
          </w:tcPr>
          <w:p>
            <w:pPr>
              <w:spacing w:after="0"/>
              <w:rPr>
                <w:sz w:val="10"/>
                <w:szCs w:val="10"/>
                <w:color w:val="auto"/>
              </w:rPr>
            </w:pPr>
          </w:p>
        </w:tc>
      </w:tr>
      <w:tr>
        <w:trPr>
          <w:trHeight w:val="137"/>
        </w:trPr>
        <w:tc>
          <w:tcPr>
            <w:tcW w:w="382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S/ 000</w:t>
            </w:r>
          </w:p>
        </w:tc>
        <w:tc>
          <w:tcPr>
            <w:tcW w:w="1180" w:type="dxa"/>
            <w:vAlign w:val="bottom"/>
            <w:tcBorders>
              <w:bottom w:val="single" w:sz="8" w:color="auto"/>
            </w:tcBorders>
            <w:shd w:val="clear" w:color="auto" w:fill="2AD2C9"/>
          </w:tcPr>
          <w:p>
            <w:pPr>
              <w:jc w:val="right"/>
              <w:ind w:right="463"/>
              <w:spacing w:after="0"/>
              <w:rPr>
                <w:sz w:val="20"/>
                <w:szCs w:val="20"/>
                <w:color w:val="auto"/>
              </w:rPr>
            </w:pPr>
            <w:r>
              <w:rPr>
                <w:rFonts w:ascii="Arial" w:cs="Arial" w:eastAsia="Arial" w:hAnsi="Arial"/>
                <w:sz w:val="11"/>
                <w:szCs w:val="11"/>
                <w:b w:val="1"/>
                <w:bCs w:val="1"/>
                <w:color w:val="FFFFFF"/>
              </w:rPr>
              <w:t>4Q22</w:t>
            </w:r>
          </w:p>
        </w:tc>
        <w:tc>
          <w:tcPr>
            <w:tcW w:w="1020" w:type="dxa"/>
            <w:vAlign w:val="bottom"/>
            <w:tcBorders>
              <w:bottom w:val="single" w:sz="8" w:color="auto"/>
            </w:tcBorders>
            <w:shd w:val="clear" w:color="auto" w:fill="2AD2C9"/>
          </w:tcPr>
          <w:p>
            <w:pPr>
              <w:jc w:val="right"/>
              <w:ind w:right="483"/>
              <w:spacing w:after="0"/>
              <w:rPr>
                <w:sz w:val="20"/>
                <w:szCs w:val="20"/>
                <w:color w:val="auto"/>
              </w:rPr>
            </w:pPr>
            <w:r>
              <w:rPr>
                <w:rFonts w:ascii="Arial" w:cs="Arial" w:eastAsia="Arial" w:hAnsi="Arial"/>
                <w:sz w:val="11"/>
                <w:szCs w:val="11"/>
                <w:b w:val="1"/>
                <w:bCs w:val="1"/>
                <w:color w:val="FFFFFF"/>
              </w:rPr>
              <w:t>3Q23</w:t>
            </w:r>
          </w:p>
        </w:tc>
        <w:tc>
          <w:tcPr>
            <w:tcW w:w="920" w:type="dxa"/>
            <w:vAlign w:val="bottom"/>
            <w:tcBorders>
              <w:bottom w:val="single" w:sz="8" w:color="auto"/>
            </w:tcBorders>
            <w:shd w:val="clear" w:color="auto" w:fill="2AD2C9"/>
          </w:tcPr>
          <w:p>
            <w:pPr>
              <w:jc w:val="right"/>
              <w:ind w:right="383"/>
              <w:spacing w:after="0"/>
              <w:rPr>
                <w:sz w:val="20"/>
                <w:szCs w:val="20"/>
                <w:color w:val="auto"/>
              </w:rPr>
            </w:pPr>
            <w:r>
              <w:rPr>
                <w:rFonts w:ascii="Arial" w:cs="Arial" w:eastAsia="Arial" w:hAnsi="Arial"/>
                <w:sz w:val="11"/>
                <w:szCs w:val="11"/>
                <w:b w:val="1"/>
                <w:bCs w:val="1"/>
                <w:color w:val="FFFFFF"/>
              </w:rPr>
              <w:t>4Q23</w:t>
            </w:r>
          </w:p>
        </w:tc>
        <w:tc>
          <w:tcPr>
            <w:tcW w:w="600" w:type="dxa"/>
            <w:vAlign w:val="bottom"/>
            <w:tcBorders>
              <w:bottom w:val="single" w:sz="8" w:color="auto"/>
            </w:tcBorders>
            <w:shd w:val="clear" w:color="auto" w:fill="2AD2C9"/>
          </w:tcPr>
          <w:p>
            <w:pPr>
              <w:ind w:left="140"/>
              <w:spacing w:after="0"/>
              <w:rPr>
                <w:sz w:val="20"/>
                <w:szCs w:val="20"/>
                <w:color w:val="auto"/>
              </w:rPr>
            </w:pPr>
            <w:r>
              <w:rPr>
                <w:rFonts w:ascii="Arial" w:cs="Arial" w:eastAsia="Arial" w:hAnsi="Arial"/>
                <w:sz w:val="11"/>
                <w:szCs w:val="11"/>
                <w:b w:val="1"/>
                <w:bCs w:val="1"/>
                <w:color w:val="FFFFFF"/>
              </w:rPr>
              <w:t>QoQ</w:t>
            </w:r>
          </w:p>
        </w:tc>
        <w:tc>
          <w:tcPr>
            <w:tcW w:w="78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1"/>
                <w:szCs w:val="11"/>
                <w:b w:val="1"/>
                <w:bCs w:val="1"/>
                <w:color w:val="FFFFFF"/>
              </w:rPr>
              <w:t>YoY</w:t>
            </w:r>
          </w:p>
        </w:tc>
        <w:tc>
          <w:tcPr>
            <w:tcW w:w="1160" w:type="dxa"/>
            <w:vAlign w:val="bottom"/>
            <w:tcBorders>
              <w:bottom w:val="single" w:sz="8" w:color="auto"/>
            </w:tcBorders>
            <w:shd w:val="clear" w:color="auto" w:fill="2AD2C9"/>
          </w:tcPr>
          <w:p>
            <w:pPr>
              <w:jc w:val="right"/>
              <w:ind w:right="563"/>
              <w:spacing w:after="0"/>
              <w:rPr>
                <w:sz w:val="20"/>
                <w:szCs w:val="20"/>
                <w:color w:val="auto"/>
              </w:rPr>
            </w:pPr>
            <w:r>
              <w:rPr>
                <w:rFonts w:ascii="Arial" w:cs="Arial" w:eastAsia="Arial" w:hAnsi="Arial"/>
                <w:sz w:val="11"/>
                <w:szCs w:val="11"/>
                <w:b w:val="1"/>
                <w:bCs w:val="1"/>
                <w:color w:val="FFFFFF"/>
              </w:rPr>
              <w:t>2022</w:t>
            </w:r>
          </w:p>
        </w:tc>
        <w:tc>
          <w:tcPr>
            <w:tcW w:w="860" w:type="dxa"/>
            <w:vAlign w:val="bottom"/>
            <w:tcBorders>
              <w:bottom w:val="single" w:sz="8" w:color="auto"/>
            </w:tcBorders>
            <w:shd w:val="clear" w:color="auto" w:fill="2AD2C9"/>
          </w:tcPr>
          <w:p>
            <w:pPr>
              <w:jc w:val="right"/>
              <w:ind w:right="423"/>
              <w:spacing w:after="0"/>
              <w:rPr>
                <w:sz w:val="20"/>
                <w:szCs w:val="20"/>
                <w:color w:val="auto"/>
              </w:rPr>
            </w:pPr>
            <w:r>
              <w:rPr>
                <w:rFonts w:ascii="Arial" w:cs="Arial" w:eastAsia="Arial" w:hAnsi="Arial"/>
                <w:sz w:val="11"/>
                <w:szCs w:val="11"/>
                <w:b w:val="1"/>
                <w:bCs w:val="1"/>
                <w:color w:val="FFFFFF"/>
              </w:rPr>
              <w:t>2023</w:t>
            </w:r>
          </w:p>
        </w:tc>
        <w:tc>
          <w:tcPr>
            <w:tcW w:w="900" w:type="dxa"/>
            <w:vAlign w:val="bottom"/>
            <w:tcBorders>
              <w:bottom w:val="single" w:sz="8" w:color="auto"/>
            </w:tcBorders>
            <w:shd w:val="clear" w:color="auto" w:fill="2AD2C9"/>
          </w:tcPr>
          <w:p>
            <w:pPr>
              <w:jc w:val="center"/>
              <w:ind w:right="43"/>
              <w:spacing w:after="0"/>
              <w:rPr>
                <w:sz w:val="20"/>
                <w:szCs w:val="20"/>
                <w:color w:val="auto"/>
              </w:rPr>
            </w:pPr>
            <w:r>
              <w:rPr>
                <w:rFonts w:ascii="Arial" w:cs="Arial" w:eastAsia="Arial" w:hAnsi="Arial"/>
                <w:sz w:val="11"/>
                <w:szCs w:val="11"/>
                <w:b w:val="1"/>
                <w:bCs w:val="1"/>
                <w:color w:val="FFFFFF"/>
              </w:rPr>
              <w:t>2023 / 2022</w:t>
            </w:r>
          </w:p>
        </w:tc>
        <w:tc>
          <w:tcPr>
            <w:tcW w:w="20" w:type="dxa"/>
            <w:vAlign w:val="bottom"/>
            <w:tcBorders>
              <w:bottom w:val="single" w:sz="8" w:color="auto"/>
            </w:tcBorders>
          </w:tcPr>
          <w:p>
            <w:pPr>
              <w:spacing w:after="0"/>
              <w:rPr>
                <w:sz w:val="11"/>
                <w:szCs w:val="11"/>
                <w:color w:val="auto"/>
              </w:rPr>
            </w:pPr>
          </w:p>
        </w:tc>
      </w:tr>
      <w:tr>
        <w:trPr>
          <w:trHeight w:val="99"/>
        </w:trPr>
        <w:tc>
          <w:tcPr>
            <w:tcW w:w="3820" w:type="dxa"/>
            <w:vAlign w:val="bottom"/>
          </w:tcPr>
          <w:p>
            <w:pPr>
              <w:ind w:left="160"/>
              <w:spacing w:after="0" w:line="99" w:lineRule="exact"/>
              <w:rPr>
                <w:sz w:val="20"/>
                <w:szCs w:val="20"/>
                <w:color w:val="auto"/>
              </w:rPr>
            </w:pPr>
            <w:r>
              <w:rPr>
                <w:rFonts w:ascii="Arial" w:cs="Arial" w:eastAsia="Arial" w:hAnsi="Arial"/>
                <w:sz w:val="11"/>
                <w:szCs w:val="11"/>
                <w:color w:val="auto"/>
              </w:rPr>
              <w:t>Interest Income</w:t>
            </w:r>
          </w:p>
        </w:tc>
        <w:tc>
          <w:tcPr>
            <w:tcW w:w="1180" w:type="dxa"/>
            <w:vAlign w:val="bottom"/>
          </w:tcPr>
          <w:p>
            <w:pPr>
              <w:jc w:val="right"/>
              <w:ind w:right="143"/>
              <w:spacing w:after="0" w:line="99" w:lineRule="exact"/>
              <w:rPr>
                <w:sz w:val="20"/>
                <w:szCs w:val="20"/>
                <w:color w:val="auto"/>
              </w:rPr>
            </w:pPr>
            <w:r>
              <w:rPr>
                <w:rFonts w:ascii="Arial" w:cs="Arial" w:eastAsia="Arial" w:hAnsi="Arial"/>
                <w:sz w:val="11"/>
                <w:szCs w:val="11"/>
                <w:color w:val="auto"/>
              </w:rPr>
              <w:t>4,362,139</w:t>
            </w:r>
          </w:p>
        </w:tc>
        <w:tc>
          <w:tcPr>
            <w:tcW w:w="1020" w:type="dxa"/>
            <w:vAlign w:val="bottom"/>
          </w:tcPr>
          <w:p>
            <w:pPr>
              <w:jc w:val="right"/>
              <w:ind w:right="143"/>
              <w:spacing w:after="0" w:line="99" w:lineRule="exact"/>
              <w:rPr>
                <w:sz w:val="20"/>
                <w:szCs w:val="20"/>
                <w:color w:val="auto"/>
              </w:rPr>
            </w:pPr>
            <w:r>
              <w:rPr>
                <w:rFonts w:ascii="Arial" w:cs="Arial" w:eastAsia="Arial" w:hAnsi="Arial"/>
                <w:sz w:val="11"/>
                <w:szCs w:val="11"/>
                <w:color w:val="auto"/>
              </w:rPr>
              <w:t>4,819,101</w:t>
            </w:r>
          </w:p>
        </w:tc>
        <w:tc>
          <w:tcPr>
            <w:tcW w:w="920" w:type="dxa"/>
            <w:vAlign w:val="bottom"/>
          </w:tcPr>
          <w:p>
            <w:pPr>
              <w:jc w:val="right"/>
              <w:ind w:right="43"/>
              <w:spacing w:after="0" w:line="99" w:lineRule="exact"/>
              <w:rPr>
                <w:sz w:val="20"/>
                <w:szCs w:val="20"/>
                <w:color w:val="auto"/>
              </w:rPr>
            </w:pPr>
            <w:r>
              <w:rPr>
                <w:rFonts w:ascii="Arial" w:cs="Arial" w:eastAsia="Arial" w:hAnsi="Arial"/>
                <w:sz w:val="11"/>
                <w:szCs w:val="11"/>
                <w:color w:val="auto"/>
              </w:rPr>
              <w:t>4,870,042</w:t>
            </w:r>
          </w:p>
        </w:tc>
        <w:tc>
          <w:tcPr>
            <w:tcW w:w="600" w:type="dxa"/>
            <w:vAlign w:val="bottom"/>
          </w:tcPr>
          <w:p>
            <w:pPr>
              <w:jc w:val="center"/>
              <w:ind w:right="3"/>
              <w:spacing w:after="0" w:line="99" w:lineRule="exact"/>
              <w:rPr>
                <w:sz w:val="20"/>
                <w:szCs w:val="20"/>
                <w:color w:val="auto"/>
              </w:rPr>
            </w:pPr>
            <w:r>
              <w:rPr>
                <w:rFonts w:ascii="Arial" w:cs="Arial" w:eastAsia="Arial" w:hAnsi="Arial"/>
                <w:sz w:val="11"/>
                <w:szCs w:val="11"/>
                <w:color w:val="auto"/>
              </w:rPr>
              <w:t>1.1%</w:t>
            </w:r>
          </w:p>
        </w:tc>
        <w:tc>
          <w:tcPr>
            <w:tcW w:w="780" w:type="dxa"/>
            <w:vAlign w:val="bottom"/>
          </w:tcPr>
          <w:p>
            <w:pPr>
              <w:jc w:val="center"/>
              <w:ind w:right="43"/>
              <w:spacing w:after="0" w:line="99" w:lineRule="exact"/>
              <w:rPr>
                <w:sz w:val="20"/>
                <w:szCs w:val="20"/>
                <w:color w:val="auto"/>
              </w:rPr>
            </w:pPr>
            <w:r>
              <w:rPr>
                <w:rFonts w:ascii="Arial" w:cs="Arial" w:eastAsia="Arial" w:hAnsi="Arial"/>
                <w:sz w:val="11"/>
                <w:szCs w:val="11"/>
                <w:color w:val="auto"/>
              </w:rPr>
              <w:t>11.6%</w:t>
            </w:r>
          </w:p>
        </w:tc>
        <w:tc>
          <w:tcPr>
            <w:tcW w:w="1160" w:type="dxa"/>
            <w:vAlign w:val="bottom"/>
          </w:tcPr>
          <w:p>
            <w:pPr>
              <w:jc w:val="right"/>
              <w:ind w:right="223"/>
              <w:spacing w:after="0" w:line="99" w:lineRule="exact"/>
              <w:rPr>
                <w:sz w:val="20"/>
                <w:szCs w:val="20"/>
                <w:color w:val="auto"/>
              </w:rPr>
            </w:pPr>
            <w:r>
              <w:rPr>
                <w:rFonts w:ascii="Arial" w:cs="Arial" w:eastAsia="Arial" w:hAnsi="Arial"/>
                <w:sz w:val="11"/>
                <w:szCs w:val="11"/>
                <w:color w:val="auto"/>
              </w:rPr>
              <w:t>15,011,282</w:t>
            </w:r>
          </w:p>
        </w:tc>
        <w:tc>
          <w:tcPr>
            <w:tcW w:w="860" w:type="dxa"/>
            <w:vAlign w:val="bottom"/>
          </w:tcPr>
          <w:p>
            <w:pPr>
              <w:jc w:val="right"/>
              <w:ind w:right="83"/>
              <w:spacing w:after="0" w:line="99" w:lineRule="exact"/>
              <w:rPr>
                <w:sz w:val="20"/>
                <w:szCs w:val="20"/>
                <w:color w:val="auto"/>
              </w:rPr>
            </w:pPr>
            <w:r>
              <w:rPr>
                <w:rFonts w:ascii="Arial" w:cs="Arial" w:eastAsia="Arial" w:hAnsi="Arial"/>
                <w:sz w:val="11"/>
                <w:szCs w:val="11"/>
                <w:color w:val="auto"/>
              </w:rPr>
              <w:t>18,798,495</w:t>
            </w:r>
          </w:p>
        </w:tc>
        <w:tc>
          <w:tcPr>
            <w:tcW w:w="900" w:type="dxa"/>
            <w:vAlign w:val="bottom"/>
          </w:tcPr>
          <w:p>
            <w:pPr>
              <w:jc w:val="center"/>
              <w:ind w:right="43"/>
              <w:spacing w:after="0" w:line="99" w:lineRule="exact"/>
              <w:rPr>
                <w:sz w:val="20"/>
                <w:szCs w:val="20"/>
                <w:color w:val="auto"/>
              </w:rPr>
            </w:pPr>
            <w:r>
              <w:rPr>
                <w:rFonts w:ascii="Arial" w:cs="Arial" w:eastAsia="Arial" w:hAnsi="Arial"/>
                <w:sz w:val="11"/>
                <w:szCs w:val="11"/>
                <w:color w:val="auto"/>
              </w:rPr>
              <w:t>25.2%</w:t>
            </w:r>
          </w:p>
        </w:tc>
        <w:tc>
          <w:tcPr>
            <w:tcW w:w="20" w:type="dxa"/>
            <w:vAlign w:val="bottom"/>
          </w:tcPr>
          <w:p>
            <w:pPr>
              <w:spacing w:after="0"/>
              <w:rPr>
                <w:sz w:val="8"/>
                <w:szCs w:val="8"/>
                <w:color w:val="auto"/>
              </w:rPr>
            </w:pPr>
          </w:p>
        </w:tc>
      </w:tr>
      <w:tr>
        <w:trPr>
          <w:trHeight w:val="122"/>
        </w:trPr>
        <w:tc>
          <w:tcPr>
            <w:tcW w:w="3820" w:type="dxa"/>
            <w:vAlign w:val="bottom"/>
          </w:tcPr>
          <w:p>
            <w:pPr>
              <w:ind w:left="160"/>
              <w:spacing w:after="0" w:line="122" w:lineRule="exact"/>
              <w:rPr>
                <w:sz w:val="20"/>
                <w:szCs w:val="20"/>
                <w:color w:val="auto"/>
              </w:rPr>
            </w:pPr>
            <w:r>
              <w:rPr>
                <w:rFonts w:ascii="Arial" w:cs="Arial" w:eastAsia="Arial" w:hAnsi="Arial"/>
                <w:sz w:val="11"/>
                <w:szCs w:val="11"/>
                <w:color w:val="auto"/>
              </w:rPr>
              <w:t>Interest Expense</w:t>
            </w:r>
          </w:p>
        </w:tc>
        <w:tc>
          <w:tcPr>
            <w:tcW w:w="11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(1,221,735)</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(1,565,058)</w:t>
            </w:r>
          </w:p>
        </w:tc>
        <w:tc>
          <w:tcPr>
            <w:tcW w:w="920" w:type="dxa"/>
            <w:vAlign w:val="bottom"/>
          </w:tcPr>
          <w:p>
            <w:pPr>
              <w:jc w:val="right"/>
              <w:ind w:right="23"/>
              <w:spacing w:after="0" w:line="122" w:lineRule="exact"/>
              <w:rPr>
                <w:sz w:val="20"/>
                <w:szCs w:val="20"/>
                <w:color w:val="auto"/>
              </w:rPr>
            </w:pPr>
            <w:r>
              <w:rPr>
                <w:rFonts w:ascii="Arial" w:cs="Arial" w:eastAsia="Arial" w:hAnsi="Arial"/>
                <w:sz w:val="11"/>
                <w:szCs w:val="11"/>
                <w:color w:val="auto"/>
              </w:rPr>
              <w:t>(1,522,358)</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-2.7%</w:t>
            </w:r>
          </w:p>
        </w:tc>
        <w:tc>
          <w:tcPr>
            <w:tcW w:w="780" w:type="dxa"/>
            <w:vAlign w:val="bottom"/>
          </w:tcPr>
          <w:p>
            <w:pPr>
              <w:jc w:val="center"/>
              <w:ind w:right="43"/>
              <w:spacing w:after="0" w:line="122" w:lineRule="exact"/>
              <w:rPr>
                <w:sz w:val="20"/>
                <w:szCs w:val="20"/>
                <w:color w:val="auto"/>
              </w:rPr>
            </w:pPr>
            <w:r>
              <w:rPr>
                <w:rFonts w:ascii="Arial" w:cs="Arial" w:eastAsia="Arial" w:hAnsi="Arial"/>
                <w:sz w:val="11"/>
                <w:szCs w:val="11"/>
                <w:color w:val="auto"/>
              </w:rPr>
              <w:t>24.6%</w:t>
            </w:r>
          </w:p>
        </w:tc>
        <w:tc>
          <w:tcPr>
            <w:tcW w:w="1160" w:type="dxa"/>
            <w:vAlign w:val="bottom"/>
          </w:tcPr>
          <w:p>
            <w:pPr>
              <w:jc w:val="right"/>
              <w:ind w:right="183"/>
              <w:spacing w:after="0" w:line="122" w:lineRule="exact"/>
              <w:rPr>
                <w:sz w:val="20"/>
                <w:szCs w:val="20"/>
                <w:color w:val="auto"/>
              </w:rPr>
            </w:pPr>
            <w:r>
              <w:rPr>
                <w:rFonts w:ascii="Arial" w:cs="Arial" w:eastAsia="Arial" w:hAnsi="Arial"/>
                <w:sz w:val="11"/>
                <w:szCs w:val="11"/>
                <w:color w:val="auto"/>
              </w:rPr>
              <w:t>(3,919,664)</w:t>
            </w:r>
          </w:p>
        </w:tc>
        <w:tc>
          <w:tcPr>
            <w:tcW w:w="8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(5,860,523)</w:t>
            </w:r>
          </w:p>
        </w:tc>
        <w:tc>
          <w:tcPr>
            <w:tcW w:w="900" w:type="dxa"/>
            <w:vAlign w:val="bottom"/>
          </w:tcPr>
          <w:p>
            <w:pPr>
              <w:jc w:val="center"/>
              <w:ind w:right="43"/>
              <w:spacing w:after="0" w:line="122" w:lineRule="exact"/>
              <w:rPr>
                <w:sz w:val="20"/>
                <w:szCs w:val="20"/>
                <w:color w:val="auto"/>
              </w:rPr>
            </w:pPr>
            <w:r>
              <w:rPr>
                <w:rFonts w:ascii="Arial" w:cs="Arial" w:eastAsia="Arial" w:hAnsi="Arial"/>
                <w:sz w:val="11"/>
                <w:szCs w:val="11"/>
                <w:color w:val="auto"/>
              </w:rPr>
              <w:t>49.5%</w:t>
            </w:r>
          </w:p>
        </w:tc>
        <w:tc>
          <w:tcPr>
            <w:tcW w:w="20" w:type="dxa"/>
            <w:vAlign w:val="bottom"/>
          </w:tcPr>
          <w:p>
            <w:pPr>
              <w:spacing w:after="0"/>
              <w:rPr>
                <w:sz w:val="10"/>
                <w:szCs w:val="10"/>
                <w:color w:val="auto"/>
              </w:rPr>
            </w:pPr>
          </w:p>
        </w:tc>
      </w:tr>
      <w:tr>
        <w:trPr>
          <w:trHeight w:val="122"/>
        </w:trPr>
        <w:tc>
          <w:tcPr>
            <w:tcW w:w="3820" w:type="dxa"/>
            <w:vAlign w:val="bottom"/>
          </w:tcPr>
          <w:p>
            <w:pPr>
              <w:ind w:left="300"/>
              <w:spacing w:after="0" w:line="122" w:lineRule="exact"/>
              <w:rPr>
                <w:sz w:val="20"/>
                <w:szCs w:val="20"/>
                <w:color w:val="auto"/>
              </w:rPr>
            </w:pPr>
            <w:r>
              <w:rPr>
                <w:rFonts w:ascii="Arial" w:cs="Arial" w:eastAsia="Arial" w:hAnsi="Arial"/>
                <w:sz w:val="11"/>
                <w:szCs w:val="11"/>
                <w:color w:val="auto"/>
              </w:rPr>
              <w:t>Interest Expense (excluding Net Insurance Financial Expenses)</w:t>
            </w:r>
          </w:p>
        </w:tc>
        <w:tc>
          <w:tcPr>
            <w:tcW w:w="11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(1,118,966)</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(1,448,593)</w:t>
            </w:r>
          </w:p>
        </w:tc>
        <w:tc>
          <w:tcPr>
            <w:tcW w:w="920" w:type="dxa"/>
            <w:vAlign w:val="bottom"/>
          </w:tcPr>
          <w:p>
            <w:pPr>
              <w:jc w:val="right"/>
              <w:ind w:right="23"/>
              <w:spacing w:after="0" w:line="122" w:lineRule="exact"/>
              <w:rPr>
                <w:sz w:val="20"/>
                <w:szCs w:val="20"/>
                <w:color w:val="auto"/>
              </w:rPr>
            </w:pPr>
            <w:r>
              <w:rPr>
                <w:rFonts w:ascii="Arial" w:cs="Arial" w:eastAsia="Arial" w:hAnsi="Arial"/>
                <w:sz w:val="11"/>
                <w:szCs w:val="11"/>
                <w:color w:val="auto"/>
              </w:rPr>
              <w:t>(1,402,925)</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-3.2%</w:t>
            </w:r>
          </w:p>
        </w:tc>
        <w:tc>
          <w:tcPr>
            <w:tcW w:w="780" w:type="dxa"/>
            <w:vAlign w:val="bottom"/>
          </w:tcPr>
          <w:p>
            <w:pPr>
              <w:jc w:val="center"/>
              <w:ind w:right="43"/>
              <w:spacing w:after="0" w:line="122" w:lineRule="exact"/>
              <w:rPr>
                <w:sz w:val="20"/>
                <w:szCs w:val="20"/>
                <w:color w:val="auto"/>
              </w:rPr>
            </w:pPr>
            <w:r>
              <w:rPr>
                <w:rFonts w:ascii="Arial" w:cs="Arial" w:eastAsia="Arial" w:hAnsi="Arial"/>
                <w:sz w:val="11"/>
                <w:szCs w:val="11"/>
                <w:color w:val="auto"/>
              </w:rPr>
              <w:t>25.4%</w:t>
            </w:r>
          </w:p>
        </w:tc>
        <w:tc>
          <w:tcPr>
            <w:tcW w:w="1160" w:type="dxa"/>
            <w:vAlign w:val="bottom"/>
          </w:tcPr>
          <w:p>
            <w:pPr>
              <w:jc w:val="right"/>
              <w:ind w:right="183"/>
              <w:spacing w:after="0" w:line="122" w:lineRule="exact"/>
              <w:rPr>
                <w:sz w:val="20"/>
                <w:szCs w:val="20"/>
                <w:color w:val="auto"/>
              </w:rPr>
            </w:pPr>
            <w:r>
              <w:rPr>
                <w:rFonts w:ascii="Arial" w:cs="Arial" w:eastAsia="Arial" w:hAnsi="Arial"/>
                <w:sz w:val="11"/>
                <w:szCs w:val="11"/>
                <w:color w:val="auto"/>
              </w:rPr>
              <w:t>(3,493,187)</w:t>
            </w:r>
          </w:p>
        </w:tc>
        <w:tc>
          <w:tcPr>
            <w:tcW w:w="8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(5,393,709)</w:t>
            </w:r>
          </w:p>
        </w:tc>
        <w:tc>
          <w:tcPr>
            <w:tcW w:w="900" w:type="dxa"/>
            <w:vAlign w:val="bottom"/>
          </w:tcPr>
          <w:p>
            <w:pPr>
              <w:jc w:val="center"/>
              <w:ind w:right="43"/>
              <w:spacing w:after="0" w:line="122" w:lineRule="exact"/>
              <w:rPr>
                <w:sz w:val="20"/>
                <w:szCs w:val="20"/>
                <w:color w:val="auto"/>
              </w:rPr>
            </w:pPr>
            <w:r>
              <w:rPr>
                <w:rFonts w:ascii="Arial" w:cs="Arial" w:eastAsia="Arial" w:hAnsi="Arial"/>
                <w:sz w:val="11"/>
                <w:szCs w:val="11"/>
                <w:color w:val="auto"/>
              </w:rPr>
              <w:t>54.4%</w:t>
            </w:r>
          </w:p>
        </w:tc>
        <w:tc>
          <w:tcPr>
            <w:tcW w:w="20" w:type="dxa"/>
            <w:vAlign w:val="bottom"/>
          </w:tcPr>
          <w:p>
            <w:pPr>
              <w:spacing w:after="0"/>
              <w:rPr>
                <w:sz w:val="10"/>
                <w:szCs w:val="10"/>
                <w:color w:val="auto"/>
              </w:rPr>
            </w:pPr>
          </w:p>
        </w:tc>
      </w:tr>
      <w:tr>
        <w:trPr>
          <w:trHeight w:val="137"/>
        </w:trPr>
        <w:tc>
          <w:tcPr>
            <w:tcW w:w="382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Net Insurance Financial Expenses</w:t>
            </w: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(102,769)</w:t>
            </w: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(116,465)</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(119,433)</w:t>
            </w:r>
          </w:p>
        </w:tc>
        <w:tc>
          <w:tcPr>
            <w:tcW w:w="6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rPr>
              <w:t>2.5%</w:t>
            </w: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rPr>
              <w:t>16.2%</w:t>
            </w: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(426,477)</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(466,814)</w:t>
            </w:r>
          </w:p>
        </w:tc>
        <w:tc>
          <w:tcPr>
            <w:tcW w:w="90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auto"/>
              </w:rPr>
              <w:t>9.5%</w:t>
            </w:r>
          </w:p>
        </w:tc>
        <w:tc>
          <w:tcPr>
            <w:tcW w:w="20" w:type="dxa"/>
            <w:vAlign w:val="bottom"/>
            <w:tcBorders>
              <w:bottom w:val="single" w:sz="8" w:color="auto"/>
            </w:tcBorders>
          </w:tcPr>
          <w:p>
            <w:pPr>
              <w:spacing w:after="0"/>
              <w:rPr>
                <w:sz w:val="11"/>
                <w:szCs w:val="11"/>
                <w:color w:val="auto"/>
              </w:rPr>
            </w:pPr>
          </w:p>
        </w:tc>
      </w:tr>
      <w:tr>
        <w:trPr>
          <w:trHeight w:val="114"/>
        </w:trPr>
        <w:tc>
          <w:tcPr>
            <w:tcW w:w="3820" w:type="dxa"/>
            <w:vAlign w:val="bottom"/>
            <w:tcBorders>
              <w:bottom w:val="single" w:sz="8" w:color="auto"/>
            </w:tcBorders>
          </w:tcPr>
          <w:p>
            <w:pPr>
              <w:ind w:left="160"/>
              <w:spacing w:after="0" w:line="114" w:lineRule="exact"/>
              <w:rPr>
                <w:sz w:val="20"/>
                <w:szCs w:val="20"/>
                <w:color w:val="auto"/>
              </w:rPr>
            </w:pPr>
            <w:r>
              <w:rPr>
                <w:rFonts w:ascii="Arial" w:cs="Arial" w:eastAsia="Arial" w:hAnsi="Arial"/>
                <w:sz w:val="11"/>
                <w:szCs w:val="11"/>
                <w:b w:val="1"/>
                <w:bCs w:val="1"/>
                <w:color w:val="auto"/>
              </w:rPr>
              <w:t>Net Interest Income</w:t>
            </w:r>
          </w:p>
        </w:tc>
        <w:tc>
          <w:tcPr>
            <w:tcW w:w="1180" w:type="dxa"/>
            <w:vAlign w:val="bottom"/>
            <w:tcBorders>
              <w:bottom w:val="single" w:sz="8" w:color="auto"/>
            </w:tcBorders>
          </w:tcPr>
          <w:p>
            <w:pPr>
              <w:jc w:val="right"/>
              <w:ind w:right="143"/>
              <w:spacing w:after="0" w:line="114" w:lineRule="exact"/>
              <w:rPr>
                <w:sz w:val="20"/>
                <w:szCs w:val="20"/>
                <w:color w:val="auto"/>
              </w:rPr>
            </w:pPr>
            <w:r>
              <w:rPr>
                <w:rFonts w:ascii="Arial" w:cs="Arial" w:eastAsia="Arial" w:hAnsi="Arial"/>
                <w:sz w:val="11"/>
                <w:szCs w:val="11"/>
                <w:color w:val="auto"/>
              </w:rPr>
              <w:t>3,140,404</w:t>
            </w:r>
          </w:p>
        </w:tc>
        <w:tc>
          <w:tcPr>
            <w:tcW w:w="1020" w:type="dxa"/>
            <w:vAlign w:val="bottom"/>
            <w:tcBorders>
              <w:bottom w:val="single" w:sz="8" w:color="auto"/>
            </w:tcBorders>
          </w:tcPr>
          <w:p>
            <w:pPr>
              <w:jc w:val="right"/>
              <w:ind w:right="143"/>
              <w:spacing w:after="0" w:line="114" w:lineRule="exact"/>
              <w:rPr>
                <w:sz w:val="20"/>
                <w:szCs w:val="20"/>
                <w:color w:val="auto"/>
              </w:rPr>
            </w:pPr>
            <w:r>
              <w:rPr>
                <w:rFonts w:ascii="Arial" w:cs="Arial" w:eastAsia="Arial" w:hAnsi="Arial"/>
                <w:sz w:val="11"/>
                <w:szCs w:val="11"/>
                <w:color w:val="auto"/>
              </w:rPr>
              <w:t>3,254,043</w:t>
            </w:r>
          </w:p>
        </w:tc>
        <w:tc>
          <w:tcPr>
            <w:tcW w:w="920" w:type="dxa"/>
            <w:vAlign w:val="bottom"/>
            <w:tcBorders>
              <w:bottom w:val="single" w:sz="8" w:color="auto"/>
            </w:tcBorders>
          </w:tcPr>
          <w:p>
            <w:pPr>
              <w:jc w:val="right"/>
              <w:ind w:right="43"/>
              <w:spacing w:after="0" w:line="114" w:lineRule="exact"/>
              <w:rPr>
                <w:sz w:val="20"/>
                <w:szCs w:val="20"/>
                <w:color w:val="auto"/>
              </w:rPr>
            </w:pPr>
            <w:r>
              <w:rPr>
                <w:rFonts w:ascii="Arial" w:cs="Arial" w:eastAsia="Arial" w:hAnsi="Arial"/>
                <w:sz w:val="11"/>
                <w:szCs w:val="11"/>
                <w:color w:val="auto"/>
              </w:rPr>
              <w:t>3,347,684</w:t>
            </w:r>
          </w:p>
        </w:tc>
        <w:tc>
          <w:tcPr>
            <w:tcW w:w="600" w:type="dxa"/>
            <w:vAlign w:val="bottom"/>
            <w:tcBorders>
              <w:bottom w:val="single" w:sz="8" w:color="auto"/>
            </w:tcBorders>
          </w:tcPr>
          <w:p>
            <w:pPr>
              <w:jc w:val="center"/>
              <w:ind w:right="3"/>
              <w:spacing w:after="0" w:line="114" w:lineRule="exact"/>
              <w:rPr>
                <w:sz w:val="20"/>
                <w:szCs w:val="20"/>
                <w:color w:val="auto"/>
              </w:rPr>
            </w:pPr>
            <w:r>
              <w:rPr>
                <w:rFonts w:ascii="Arial" w:cs="Arial" w:eastAsia="Arial" w:hAnsi="Arial"/>
                <w:sz w:val="11"/>
                <w:szCs w:val="11"/>
                <w:color w:val="auto"/>
              </w:rPr>
              <w:t>2.9%</w:t>
            </w:r>
          </w:p>
        </w:tc>
        <w:tc>
          <w:tcPr>
            <w:tcW w:w="780" w:type="dxa"/>
            <w:vAlign w:val="bottom"/>
            <w:tcBorders>
              <w:bottom w:val="single" w:sz="8" w:color="auto"/>
            </w:tcBorders>
          </w:tcPr>
          <w:p>
            <w:pPr>
              <w:jc w:val="center"/>
              <w:ind w:right="23"/>
              <w:spacing w:after="0" w:line="114" w:lineRule="exact"/>
              <w:rPr>
                <w:sz w:val="20"/>
                <w:szCs w:val="20"/>
                <w:color w:val="auto"/>
              </w:rPr>
            </w:pPr>
            <w:r>
              <w:rPr>
                <w:rFonts w:ascii="Arial" w:cs="Arial" w:eastAsia="Arial" w:hAnsi="Arial"/>
                <w:sz w:val="11"/>
                <w:szCs w:val="11"/>
                <w:color w:val="auto"/>
              </w:rPr>
              <w:t>6.6%</w:t>
            </w:r>
          </w:p>
        </w:tc>
        <w:tc>
          <w:tcPr>
            <w:tcW w:w="116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color w:val="auto"/>
              </w:rPr>
              <w:t>11,091,618</w:t>
            </w:r>
          </w:p>
        </w:tc>
        <w:tc>
          <w:tcPr>
            <w:tcW w:w="860" w:type="dxa"/>
            <w:vAlign w:val="bottom"/>
            <w:tcBorders>
              <w:bottom w:val="single" w:sz="8" w:color="auto"/>
            </w:tcBorders>
          </w:tcPr>
          <w:p>
            <w:pPr>
              <w:jc w:val="right"/>
              <w:ind w:right="83"/>
              <w:spacing w:after="0" w:line="114" w:lineRule="exact"/>
              <w:rPr>
                <w:sz w:val="20"/>
                <w:szCs w:val="20"/>
                <w:color w:val="auto"/>
              </w:rPr>
            </w:pPr>
            <w:r>
              <w:rPr>
                <w:rFonts w:ascii="Arial" w:cs="Arial" w:eastAsia="Arial" w:hAnsi="Arial"/>
                <w:sz w:val="11"/>
                <w:szCs w:val="11"/>
                <w:color w:val="auto"/>
              </w:rPr>
              <w:t>12,937,972</w:t>
            </w:r>
          </w:p>
        </w:tc>
        <w:tc>
          <w:tcPr>
            <w:tcW w:w="900" w:type="dxa"/>
            <w:vAlign w:val="bottom"/>
            <w:tcBorders>
              <w:bottom w:val="single" w:sz="8" w:color="auto"/>
            </w:tcBorders>
          </w:tcPr>
          <w:p>
            <w:pPr>
              <w:jc w:val="center"/>
              <w:ind w:right="43"/>
              <w:spacing w:after="0" w:line="114" w:lineRule="exact"/>
              <w:rPr>
                <w:sz w:val="20"/>
                <w:szCs w:val="20"/>
                <w:color w:val="auto"/>
              </w:rPr>
            </w:pPr>
            <w:r>
              <w:rPr>
                <w:rFonts w:ascii="Arial" w:cs="Arial" w:eastAsia="Arial" w:hAnsi="Arial"/>
                <w:sz w:val="11"/>
                <w:szCs w:val="11"/>
                <w:color w:val="auto"/>
              </w:rPr>
              <w:t>16.6%</w:t>
            </w:r>
          </w:p>
        </w:tc>
        <w:tc>
          <w:tcPr>
            <w:tcW w:w="20" w:type="dxa"/>
            <w:vAlign w:val="bottom"/>
            <w:tcBorders>
              <w:bottom w:val="single" w:sz="8" w:color="auto"/>
            </w:tcBorders>
          </w:tcPr>
          <w:p>
            <w:pPr>
              <w:spacing w:after="0"/>
              <w:rPr>
                <w:sz w:val="9"/>
                <w:szCs w:val="9"/>
                <w:color w:val="auto"/>
              </w:rPr>
            </w:pPr>
          </w:p>
        </w:tc>
      </w:tr>
      <w:tr>
        <w:trPr>
          <w:trHeight w:val="221"/>
        </w:trPr>
        <w:tc>
          <w:tcPr>
            <w:tcW w:w="3820" w:type="dxa"/>
            <w:vAlign w:val="bottom"/>
          </w:tcPr>
          <w:p>
            <w:pPr>
              <w:ind w:left="40"/>
              <w:spacing w:after="0"/>
              <w:rPr>
                <w:sz w:val="20"/>
                <w:szCs w:val="20"/>
                <w:color w:val="auto"/>
              </w:rPr>
            </w:pPr>
            <w:r>
              <w:rPr>
                <w:rFonts w:ascii="Arial" w:cs="Arial" w:eastAsia="Arial" w:hAnsi="Arial"/>
                <w:sz w:val="11"/>
                <w:szCs w:val="11"/>
                <w:b w:val="1"/>
                <w:bCs w:val="1"/>
                <w:color w:val="auto"/>
              </w:rPr>
              <w:t>Balances</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2"/>
        </w:trPr>
        <w:tc>
          <w:tcPr>
            <w:tcW w:w="3820" w:type="dxa"/>
            <w:vAlign w:val="bottom"/>
          </w:tcPr>
          <w:p>
            <w:pPr>
              <w:ind w:left="160"/>
              <w:spacing w:after="0" w:line="122" w:lineRule="exact"/>
              <w:rPr>
                <w:sz w:val="20"/>
                <w:szCs w:val="20"/>
                <w:color w:val="auto"/>
              </w:rPr>
            </w:pPr>
            <w:r>
              <w:rPr>
                <w:rFonts w:ascii="Arial" w:cs="Arial" w:eastAsia="Arial" w:hAnsi="Arial"/>
                <w:sz w:val="11"/>
                <w:szCs w:val="11"/>
                <w:color w:val="auto"/>
              </w:rPr>
              <w:t>Average Interest Earning Assets (IEA)</w:t>
            </w:r>
          </w:p>
        </w:tc>
        <w:tc>
          <w:tcPr>
            <w:tcW w:w="11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225,604,596</w:t>
            </w:r>
          </w:p>
        </w:tc>
        <w:tc>
          <w:tcPr>
            <w:tcW w:w="102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220,724,334</w:t>
            </w:r>
          </w:p>
        </w:tc>
        <w:tc>
          <w:tcPr>
            <w:tcW w:w="9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223,502,057</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w:t>
            </w:r>
          </w:p>
        </w:tc>
        <w:tc>
          <w:tcPr>
            <w:tcW w:w="780" w:type="dxa"/>
            <w:vAlign w:val="bottom"/>
          </w:tcPr>
          <w:p>
            <w:pPr>
              <w:jc w:val="center"/>
              <w:ind w:right="43"/>
              <w:spacing w:after="0" w:line="122" w:lineRule="exact"/>
              <w:rPr>
                <w:sz w:val="20"/>
                <w:szCs w:val="20"/>
                <w:color w:val="auto"/>
              </w:rPr>
            </w:pPr>
            <w:r>
              <w:rPr>
                <w:rFonts w:ascii="Arial" w:cs="Arial" w:eastAsia="Arial" w:hAnsi="Arial"/>
                <w:sz w:val="11"/>
                <w:szCs w:val="11"/>
                <w:color w:val="auto"/>
              </w:rPr>
              <w:t>-1%</w:t>
            </w:r>
          </w:p>
        </w:tc>
        <w:tc>
          <w:tcPr>
            <w:tcW w:w="11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226,384,489</w:t>
            </w:r>
          </w:p>
        </w:tc>
        <w:tc>
          <w:tcPr>
            <w:tcW w:w="8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223,196,576</w:t>
            </w:r>
          </w:p>
        </w:tc>
        <w:tc>
          <w:tcPr>
            <w:tcW w:w="900" w:type="dxa"/>
            <w:vAlign w:val="bottom"/>
          </w:tcPr>
          <w:p>
            <w:pPr>
              <w:jc w:val="center"/>
              <w:ind w:right="23"/>
              <w:spacing w:after="0" w:line="122" w:lineRule="exact"/>
              <w:rPr>
                <w:sz w:val="20"/>
                <w:szCs w:val="20"/>
                <w:color w:val="auto"/>
              </w:rPr>
            </w:pPr>
            <w:r>
              <w:rPr>
                <w:rFonts w:ascii="Arial" w:cs="Arial" w:eastAsia="Arial" w:hAnsi="Arial"/>
                <w:sz w:val="11"/>
                <w:szCs w:val="11"/>
                <w:color w:val="auto"/>
              </w:rPr>
              <w:t>-1.4%</w:t>
            </w:r>
          </w:p>
        </w:tc>
        <w:tc>
          <w:tcPr>
            <w:tcW w:w="20" w:type="dxa"/>
            <w:vAlign w:val="bottom"/>
          </w:tcPr>
          <w:p>
            <w:pPr>
              <w:spacing w:after="0"/>
              <w:rPr>
                <w:sz w:val="10"/>
                <w:szCs w:val="10"/>
                <w:color w:val="auto"/>
              </w:rPr>
            </w:pPr>
          </w:p>
        </w:tc>
      </w:tr>
      <w:tr>
        <w:trPr>
          <w:trHeight w:val="149"/>
        </w:trPr>
        <w:tc>
          <w:tcPr>
            <w:tcW w:w="3820" w:type="dxa"/>
            <w:vAlign w:val="bottom"/>
          </w:tcPr>
          <w:p>
            <w:pPr>
              <w:ind w:left="160"/>
              <w:spacing w:after="0"/>
              <w:rPr>
                <w:sz w:val="20"/>
                <w:szCs w:val="20"/>
                <w:color w:val="auto"/>
              </w:rPr>
            </w:pPr>
            <w:r>
              <w:rPr>
                <w:rFonts w:ascii="Arial" w:cs="Arial" w:eastAsia="Arial" w:hAnsi="Arial"/>
                <w:sz w:val="11"/>
                <w:szCs w:val="11"/>
                <w:color w:val="auto"/>
              </w:rPr>
              <w:t>Average Funding</w:t>
            </w: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190,660,720</w:t>
            </w:r>
          </w:p>
        </w:tc>
        <w:tc>
          <w:tcPr>
            <w:tcW w:w="1020" w:type="dxa"/>
            <w:vAlign w:val="bottom"/>
          </w:tcPr>
          <w:p>
            <w:pPr>
              <w:jc w:val="right"/>
              <w:ind w:right="143"/>
              <w:spacing w:after="0"/>
              <w:rPr>
                <w:sz w:val="20"/>
                <w:szCs w:val="20"/>
                <w:color w:val="auto"/>
              </w:rPr>
            </w:pPr>
            <w:r>
              <w:rPr>
                <w:rFonts w:ascii="Arial" w:cs="Arial" w:eastAsia="Arial" w:hAnsi="Arial"/>
                <w:sz w:val="11"/>
                <w:szCs w:val="11"/>
                <w:color w:val="auto"/>
              </w:rPr>
              <w:t>183,805,091</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185,182,243</w:t>
            </w:r>
          </w:p>
        </w:tc>
        <w:tc>
          <w:tcPr>
            <w:tcW w:w="600" w:type="dxa"/>
            <w:vAlign w:val="bottom"/>
          </w:tcPr>
          <w:p>
            <w:pPr>
              <w:jc w:val="center"/>
              <w:ind w:right="3"/>
              <w:spacing w:after="0"/>
              <w:rPr>
                <w:sz w:val="20"/>
                <w:szCs w:val="20"/>
                <w:color w:val="auto"/>
              </w:rPr>
            </w:pPr>
            <w:r>
              <w:rPr>
                <w:rFonts w:ascii="Arial" w:cs="Arial" w:eastAsia="Arial" w:hAnsi="Arial"/>
                <w:sz w:val="11"/>
                <w:szCs w:val="11"/>
                <w:color w:val="auto"/>
              </w:rPr>
              <w:t>1%</w:t>
            </w:r>
          </w:p>
        </w:tc>
        <w:tc>
          <w:tcPr>
            <w:tcW w:w="780" w:type="dxa"/>
            <w:vAlign w:val="bottom"/>
          </w:tcPr>
          <w:p>
            <w:pPr>
              <w:jc w:val="center"/>
              <w:ind w:right="43"/>
              <w:spacing w:after="0"/>
              <w:rPr>
                <w:sz w:val="20"/>
                <w:szCs w:val="20"/>
                <w:color w:val="auto"/>
              </w:rPr>
            </w:pPr>
            <w:r>
              <w:rPr>
                <w:rFonts w:ascii="Arial" w:cs="Arial" w:eastAsia="Arial" w:hAnsi="Arial"/>
                <w:sz w:val="11"/>
                <w:szCs w:val="11"/>
                <w:color w:val="auto"/>
              </w:rPr>
              <w:t>-3%</w:t>
            </w:r>
          </w:p>
        </w:tc>
        <w:tc>
          <w:tcPr>
            <w:tcW w:w="1160" w:type="dxa"/>
            <w:vAlign w:val="bottom"/>
          </w:tcPr>
          <w:p>
            <w:pPr>
              <w:jc w:val="right"/>
              <w:ind w:right="223"/>
              <w:spacing w:after="0"/>
              <w:rPr>
                <w:sz w:val="20"/>
                <w:szCs w:val="20"/>
                <w:color w:val="auto"/>
              </w:rPr>
            </w:pPr>
            <w:r>
              <w:rPr>
                <w:rFonts w:ascii="Arial" w:cs="Arial" w:eastAsia="Arial" w:hAnsi="Arial"/>
                <w:sz w:val="11"/>
                <w:szCs w:val="11"/>
                <w:color w:val="auto"/>
              </w:rPr>
              <w:t>191,289,310</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185,339,502</w:t>
            </w:r>
          </w:p>
        </w:tc>
        <w:tc>
          <w:tcPr>
            <w:tcW w:w="900" w:type="dxa"/>
            <w:vAlign w:val="bottom"/>
          </w:tcPr>
          <w:p>
            <w:pPr>
              <w:jc w:val="center"/>
              <w:ind w:right="23"/>
              <w:spacing w:after="0"/>
              <w:rPr>
                <w:sz w:val="20"/>
                <w:szCs w:val="20"/>
                <w:color w:val="auto"/>
              </w:rPr>
            </w:pPr>
            <w:r>
              <w:rPr>
                <w:rFonts w:ascii="Arial" w:cs="Arial" w:eastAsia="Arial" w:hAnsi="Arial"/>
                <w:sz w:val="11"/>
                <w:szCs w:val="11"/>
                <w:color w:val="auto"/>
              </w:rPr>
              <w:t>-3.1%</w:t>
            </w:r>
          </w:p>
        </w:tc>
        <w:tc>
          <w:tcPr>
            <w:tcW w:w="20" w:type="dxa"/>
            <w:vAlign w:val="bottom"/>
          </w:tcPr>
          <w:p>
            <w:pPr>
              <w:spacing w:after="0"/>
              <w:rPr>
                <w:sz w:val="12"/>
                <w:szCs w:val="12"/>
                <w:color w:val="auto"/>
              </w:rPr>
            </w:pPr>
          </w:p>
        </w:tc>
      </w:tr>
      <w:tr>
        <w:trPr>
          <w:trHeight w:val="217"/>
        </w:trPr>
        <w:tc>
          <w:tcPr>
            <w:tcW w:w="3820" w:type="dxa"/>
            <w:vAlign w:val="bottom"/>
          </w:tcPr>
          <w:p>
            <w:pPr>
              <w:ind w:left="40"/>
              <w:spacing w:after="0"/>
              <w:rPr>
                <w:sz w:val="20"/>
                <w:szCs w:val="20"/>
                <w:color w:val="auto"/>
              </w:rPr>
            </w:pPr>
            <w:r>
              <w:rPr>
                <w:rFonts w:ascii="Arial" w:cs="Arial" w:eastAsia="Arial" w:hAnsi="Arial"/>
                <w:sz w:val="11"/>
                <w:szCs w:val="11"/>
                <w:b w:val="1"/>
                <w:bCs w:val="1"/>
                <w:color w:val="auto"/>
              </w:rPr>
              <w:t>Yields</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2"/>
        </w:trPr>
        <w:tc>
          <w:tcPr>
            <w:tcW w:w="3820" w:type="dxa"/>
            <w:vAlign w:val="bottom"/>
          </w:tcPr>
          <w:p>
            <w:pPr>
              <w:ind w:left="160"/>
              <w:spacing w:after="0" w:line="122" w:lineRule="exact"/>
              <w:rPr>
                <w:sz w:val="20"/>
                <w:szCs w:val="20"/>
                <w:color w:val="auto"/>
              </w:rPr>
            </w:pPr>
            <w:r>
              <w:rPr>
                <w:rFonts w:ascii="Arial" w:cs="Arial" w:eastAsia="Arial" w:hAnsi="Arial"/>
                <w:sz w:val="11"/>
                <w:szCs w:val="11"/>
                <w:color w:val="auto"/>
              </w:rPr>
              <w:t>Yield on IEAs</w:t>
            </w:r>
          </w:p>
        </w:tc>
        <w:tc>
          <w:tcPr>
            <w:tcW w:w="11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7.73%</w:t>
            </w:r>
          </w:p>
        </w:tc>
        <w:tc>
          <w:tcPr>
            <w:tcW w:w="102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8.73%</w:t>
            </w:r>
          </w:p>
        </w:tc>
        <w:tc>
          <w:tcPr>
            <w:tcW w:w="9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8.72%</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-1bps</w:t>
            </w:r>
          </w:p>
        </w:tc>
        <w:tc>
          <w:tcPr>
            <w:tcW w:w="780" w:type="dxa"/>
            <w:vAlign w:val="bottom"/>
          </w:tcPr>
          <w:p>
            <w:pPr>
              <w:jc w:val="center"/>
              <w:ind w:right="23"/>
              <w:spacing w:after="0" w:line="122" w:lineRule="exact"/>
              <w:rPr>
                <w:sz w:val="20"/>
                <w:szCs w:val="20"/>
                <w:color w:val="auto"/>
              </w:rPr>
            </w:pPr>
            <w:r>
              <w:rPr>
                <w:rFonts w:ascii="Arial" w:cs="Arial" w:eastAsia="Arial" w:hAnsi="Arial"/>
                <w:sz w:val="11"/>
                <w:szCs w:val="11"/>
                <w:color w:val="auto"/>
                <w:w w:val="99"/>
              </w:rPr>
              <w:t>99bps</w:t>
            </w:r>
          </w:p>
        </w:tc>
        <w:tc>
          <w:tcPr>
            <w:tcW w:w="11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6.6%</w:t>
            </w:r>
          </w:p>
        </w:tc>
        <w:tc>
          <w:tcPr>
            <w:tcW w:w="8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8.4%</w:t>
            </w:r>
          </w:p>
        </w:tc>
        <w:tc>
          <w:tcPr>
            <w:tcW w:w="900" w:type="dxa"/>
            <w:vAlign w:val="bottom"/>
          </w:tcPr>
          <w:p>
            <w:pPr>
              <w:jc w:val="center"/>
              <w:ind w:right="23"/>
              <w:spacing w:after="0" w:line="122" w:lineRule="exact"/>
              <w:rPr>
                <w:sz w:val="20"/>
                <w:szCs w:val="20"/>
                <w:color w:val="auto"/>
              </w:rPr>
            </w:pPr>
            <w:r>
              <w:rPr>
                <w:rFonts w:ascii="Arial" w:cs="Arial" w:eastAsia="Arial" w:hAnsi="Arial"/>
                <w:sz w:val="11"/>
                <w:szCs w:val="11"/>
                <w:color w:val="auto"/>
              </w:rPr>
              <w:t>179bps</w:t>
            </w:r>
          </w:p>
        </w:tc>
        <w:tc>
          <w:tcPr>
            <w:tcW w:w="20" w:type="dxa"/>
            <w:vAlign w:val="bottom"/>
          </w:tcPr>
          <w:p>
            <w:pPr>
              <w:spacing w:after="0"/>
              <w:rPr>
                <w:sz w:val="10"/>
                <w:szCs w:val="10"/>
                <w:color w:val="auto"/>
              </w:rPr>
            </w:pPr>
          </w:p>
        </w:tc>
      </w:tr>
      <w:tr>
        <w:trPr>
          <w:trHeight w:val="117"/>
        </w:trPr>
        <w:tc>
          <w:tcPr>
            <w:tcW w:w="3820" w:type="dxa"/>
            <w:vAlign w:val="bottom"/>
          </w:tcPr>
          <w:p>
            <w:pPr>
              <w:ind w:left="160"/>
              <w:spacing w:after="0" w:line="117" w:lineRule="exact"/>
              <w:rPr>
                <w:sz w:val="20"/>
                <w:szCs w:val="20"/>
                <w:color w:val="auto"/>
              </w:rPr>
            </w:pPr>
            <w:r>
              <w:rPr>
                <w:rFonts w:ascii="Arial" w:cs="Arial" w:eastAsia="Arial" w:hAnsi="Arial"/>
                <w:sz w:val="11"/>
                <w:szCs w:val="11"/>
                <w:color w:val="auto"/>
              </w:rPr>
              <w:t>Cost of Funds</w:t>
            </w:r>
          </w:p>
        </w:tc>
        <w:tc>
          <w:tcPr>
            <w:tcW w:w="1180" w:type="dxa"/>
            <w:vAlign w:val="bottom"/>
          </w:tcPr>
          <w:p>
            <w:pPr>
              <w:jc w:val="right"/>
              <w:ind w:right="143"/>
              <w:spacing w:after="0" w:line="117" w:lineRule="exact"/>
              <w:rPr>
                <w:sz w:val="20"/>
                <w:szCs w:val="20"/>
                <w:color w:val="auto"/>
              </w:rPr>
            </w:pPr>
            <w:r>
              <w:rPr>
                <w:rFonts w:ascii="Arial" w:cs="Arial" w:eastAsia="Arial" w:hAnsi="Arial"/>
                <w:sz w:val="11"/>
                <w:szCs w:val="11"/>
                <w:color w:val="auto"/>
              </w:rPr>
              <w:t>2.35%</w:t>
            </w:r>
          </w:p>
        </w:tc>
        <w:tc>
          <w:tcPr>
            <w:tcW w:w="1020" w:type="dxa"/>
            <w:vAlign w:val="bottom"/>
          </w:tcPr>
          <w:p>
            <w:pPr>
              <w:jc w:val="right"/>
              <w:ind w:right="143"/>
              <w:spacing w:after="0" w:line="117" w:lineRule="exact"/>
              <w:rPr>
                <w:sz w:val="20"/>
                <w:szCs w:val="20"/>
                <w:color w:val="auto"/>
              </w:rPr>
            </w:pPr>
            <w:r>
              <w:rPr>
                <w:rFonts w:ascii="Arial" w:cs="Arial" w:eastAsia="Arial" w:hAnsi="Arial"/>
                <w:sz w:val="11"/>
                <w:szCs w:val="11"/>
                <w:color w:val="auto"/>
              </w:rPr>
              <w:t>3.15%</w:t>
            </w:r>
          </w:p>
        </w:tc>
        <w:tc>
          <w:tcPr>
            <w:tcW w:w="920" w:type="dxa"/>
            <w:vAlign w:val="bottom"/>
          </w:tcPr>
          <w:p>
            <w:pPr>
              <w:jc w:val="right"/>
              <w:ind w:right="43"/>
              <w:spacing w:after="0" w:line="117" w:lineRule="exact"/>
              <w:rPr>
                <w:sz w:val="20"/>
                <w:szCs w:val="20"/>
                <w:color w:val="auto"/>
              </w:rPr>
            </w:pPr>
            <w:r>
              <w:rPr>
                <w:rFonts w:ascii="Arial" w:cs="Arial" w:eastAsia="Arial" w:hAnsi="Arial"/>
                <w:sz w:val="11"/>
                <w:szCs w:val="11"/>
                <w:color w:val="auto"/>
              </w:rPr>
              <w:t>3.03%</w:t>
            </w:r>
          </w:p>
        </w:tc>
        <w:tc>
          <w:tcPr>
            <w:tcW w:w="600" w:type="dxa"/>
            <w:vAlign w:val="bottom"/>
          </w:tcPr>
          <w:p>
            <w:pPr>
              <w:jc w:val="center"/>
              <w:ind w:right="3"/>
              <w:spacing w:after="0" w:line="117" w:lineRule="exact"/>
              <w:rPr>
                <w:sz w:val="20"/>
                <w:szCs w:val="20"/>
                <w:color w:val="auto"/>
              </w:rPr>
            </w:pPr>
            <w:r>
              <w:rPr>
                <w:rFonts w:ascii="Arial" w:cs="Arial" w:eastAsia="Arial" w:hAnsi="Arial"/>
                <w:sz w:val="11"/>
                <w:szCs w:val="11"/>
                <w:color w:val="auto"/>
              </w:rPr>
              <w:t>-12bps</w:t>
            </w:r>
          </w:p>
        </w:tc>
        <w:tc>
          <w:tcPr>
            <w:tcW w:w="780" w:type="dxa"/>
            <w:vAlign w:val="bottom"/>
          </w:tcPr>
          <w:p>
            <w:pPr>
              <w:jc w:val="center"/>
              <w:ind w:right="23"/>
              <w:spacing w:after="0" w:line="117" w:lineRule="exact"/>
              <w:rPr>
                <w:sz w:val="20"/>
                <w:szCs w:val="20"/>
                <w:color w:val="auto"/>
              </w:rPr>
            </w:pPr>
            <w:r>
              <w:rPr>
                <w:rFonts w:ascii="Arial" w:cs="Arial" w:eastAsia="Arial" w:hAnsi="Arial"/>
                <w:sz w:val="11"/>
                <w:szCs w:val="11"/>
                <w:color w:val="auto"/>
                <w:w w:val="99"/>
              </w:rPr>
              <w:t>68bps</w:t>
            </w:r>
          </w:p>
        </w:tc>
        <w:tc>
          <w:tcPr>
            <w:tcW w:w="1160" w:type="dxa"/>
            <w:vAlign w:val="bottom"/>
          </w:tcPr>
          <w:p>
            <w:pPr>
              <w:jc w:val="right"/>
              <w:ind w:right="223"/>
              <w:spacing w:after="0" w:line="117" w:lineRule="exact"/>
              <w:rPr>
                <w:sz w:val="20"/>
                <w:szCs w:val="20"/>
                <w:color w:val="auto"/>
              </w:rPr>
            </w:pPr>
            <w:r>
              <w:rPr>
                <w:rFonts w:ascii="Arial" w:cs="Arial" w:eastAsia="Arial" w:hAnsi="Arial"/>
                <w:sz w:val="11"/>
                <w:szCs w:val="11"/>
                <w:color w:val="auto"/>
              </w:rPr>
              <w:t>1.8%</w:t>
            </w:r>
          </w:p>
        </w:tc>
        <w:tc>
          <w:tcPr>
            <w:tcW w:w="860" w:type="dxa"/>
            <w:vAlign w:val="bottom"/>
          </w:tcPr>
          <w:p>
            <w:pPr>
              <w:jc w:val="right"/>
              <w:ind w:right="83"/>
              <w:spacing w:after="0" w:line="117" w:lineRule="exact"/>
              <w:rPr>
                <w:sz w:val="20"/>
                <w:szCs w:val="20"/>
                <w:color w:val="auto"/>
              </w:rPr>
            </w:pPr>
            <w:r>
              <w:rPr>
                <w:rFonts w:ascii="Arial" w:cs="Arial" w:eastAsia="Arial" w:hAnsi="Arial"/>
                <w:sz w:val="11"/>
                <w:szCs w:val="11"/>
                <w:color w:val="auto"/>
              </w:rPr>
              <w:t>2.9%</w:t>
            </w:r>
          </w:p>
        </w:tc>
        <w:tc>
          <w:tcPr>
            <w:tcW w:w="900" w:type="dxa"/>
            <w:vAlign w:val="bottom"/>
          </w:tcPr>
          <w:p>
            <w:pPr>
              <w:jc w:val="center"/>
              <w:ind w:right="23"/>
              <w:spacing w:after="0" w:line="117" w:lineRule="exact"/>
              <w:rPr>
                <w:sz w:val="20"/>
                <w:szCs w:val="20"/>
                <w:color w:val="auto"/>
              </w:rPr>
            </w:pPr>
            <w:r>
              <w:rPr>
                <w:rFonts w:ascii="Arial" w:cs="Arial" w:eastAsia="Arial" w:hAnsi="Arial"/>
                <w:sz w:val="11"/>
                <w:szCs w:val="11"/>
                <w:color w:val="auto"/>
              </w:rPr>
              <w:t>108bps</w:t>
            </w:r>
          </w:p>
        </w:tc>
        <w:tc>
          <w:tcPr>
            <w:tcW w:w="20" w:type="dxa"/>
            <w:vAlign w:val="bottom"/>
          </w:tcPr>
          <w:p>
            <w:pPr>
              <w:spacing w:after="0"/>
              <w:rPr>
                <w:sz w:val="10"/>
                <w:szCs w:val="10"/>
                <w:color w:val="auto"/>
              </w:rPr>
            </w:pPr>
          </w:p>
        </w:tc>
      </w:tr>
      <w:tr>
        <w:trPr>
          <w:trHeight w:val="127"/>
        </w:trPr>
        <w:tc>
          <w:tcPr>
            <w:tcW w:w="3820" w:type="dxa"/>
            <w:vAlign w:val="bottom"/>
          </w:tcPr>
          <w:p>
            <w:pPr>
              <w:ind w:left="160"/>
              <w:spacing w:after="0" w:line="127" w:lineRule="exact"/>
              <w:rPr>
                <w:sz w:val="20"/>
                <w:szCs w:val="20"/>
                <w:color w:val="auto"/>
              </w:rPr>
            </w:pPr>
            <w:r>
              <w:rPr>
                <w:rFonts w:ascii="Arial" w:cs="Arial" w:eastAsia="Arial" w:hAnsi="Arial"/>
                <w:sz w:val="9"/>
                <w:szCs w:val="9"/>
                <w:b w:val="1"/>
                <w:bCs w:val="1"/>
                <w:color w:val="auto"/>
              </w:rPr>
              <w:t>Net Interest Margin (NIM)</w:t>
            </w:r>
            <w:r>
              <w:rPr>
                <w:rFonts w:ascii="Arial" w:cs="Arial" w:eastAsia="Arial" w:hAnsi="Arial"/>
                <w:sz w:val="14"/>
                <w:szCs w:val="14"/>
                <w:b w:val="1"/>
                <w:bCs w:val="1"/>
                <w:color w:val="auto"/>
                <w:vertAlign w:val="superscript"/>
              </w:rPr>
              <w:t>(1)</w:t>
            </w: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5.75%</w:t>
            </w:r>
          </w:p>
        </w:tc>
        <w:tc>
          <w:tcPr>
            <w:tcW w:w="1020" w:type="dxa"/>
            <w:vAlign w:val="bottom"/>
          </w:tcPr>
          <w:p>
            <w:pPr>
              <w:jc w:val="right"/>
              <w:ind w:right="143"/>
              <w:spacing w:after="0"/>
              <w:rPr>
                <w:sz w:val="20"/>
                <w:szCs w:val="20"/>
                <w:color w:val="auto"/>
              </w:rPr>
            </w:pPr>
            <w:r>
              <w:rPr>
                <w:rFonts w:ascii="Arial" w:cs="Arial" w:eastAsia="Arial" w:hAnsi="Arial"/>
                <w:sz w:val="11"/>
                <w:szCs w:val="11"/>
                <w:color w:val="auto"/>
              </w:rPr>
              <w:t>6.11%</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6.21%</w:t>
            </w:r>
          </w:p>
        </w:tc>
        <w:tc>
          <w:tcPr>
            <w:tcW w:w="600" w:type="dxa"/>
            <w:vAlign w:val="bottom"/>
          </w:tcPr>
          <w:p>
            <w:pPr>
              <w:jc w:val="center"/>
              <w:ind w:right="3"/>
              <w:spacing w:after="0"/>
              <w:rPr>
                <w:sz w:val="20"/>
                <w:szCs w:val="20"/>
                <w:color w:val="auto"/>
              </w:rPr>
            </w:pPr>
            <w:r>
              <w:rPr>
                <w:rFonts w:ascii="Arial" w:cs="Arial" w:eastAsia="Arial" w:hAnsi="Arial"/>
                <w:sz w:val="11"/>
                <w:szCs w:val="11"/>
                <w:color w:val="auto"/>
                <w:w w:val="99"/>
              </w:rPr>
              <w:t>10bps</w:t>
            </w:r>
          </w:p>
        </w:tc>
        <w:tc>
          <w:tcPr>
            <w:tcW w:w="780" w:type="dxa"/>
            <w:vAlign w:val="bottom"/>
          </w:tcPr>
          <w:p>
            <w:pPr>
              <w:jc w:val="center"/>
              <w:ind w:right="23"/>
              <w:spacing w:after="0"/>
              <w:rPr>
                <w:sz w:val="20"/>
                <w:szCs w:val="20"/>
                <w:color w:val="auto"/>
              </w:rPr>
            </w:pPr>
            <w:r>
              <w:rPr>
                <w:rFonts w:ascii="Arial" w:cs="Arial" w:eastAsia="Arial" w:hAnsi="Arial"/>
                <w:sz w:val="11"/>
                <w:szCs w:val="11"/>
                <w:color w:val="auto"/>
                <w:w w:val="99"/>
              </w:rPr>
              <w:t>46bps</w:t>
            </w:r>
          </w:p>
        </w:tc>
        <w:tc>
          <w:tcPr>
            <w:tcW w:w="1160" w:type="dxa"/>
            <w:vAlign w:val="bottom"/>
          </w:tcPr>
          <w:p>
            <w:pPr>
              <w:jc w:val="right"/>
              <w:ind w:right="223"/>
              <w:spacing w:after="0"/>
              <w:rPr>
                <w:sz w:val="20"/>
                <w:szCs w:val="20"/>
                <w:color w:val="auto"/>
              </w:rPr>
            </w:pPr>
            <w:r>
              <w:rPr>
                <w:rFonts w:ascii="Arial" w:cs="Arial" w:eastAsia="Arial" w:hAnsi="Arial"/>
                <w:sz w:val="11"/>
                <w:szCs w:val="11"/>
                <w:color w:val="auto"/>
              </w:rPr>
              <w:t>5.1%</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6.0%</w:t>
            </w:r>
          </w:p>
        </w:tc>
        <w:tc>
          <w:tcPr>
            <w:tcW w:w="900" w:type="dxa"/>
            <w:vAlign w:val="bottom"/>
          </w:tcPr>
          <w:p>
            <w:pPr>
              <w:jc w:val="center"/>
              <w:ind w:right="43"/>
              <w:spacing w:after="0"/>
              <w:rPr>
                <w:sz w:val="20"/>
                <w:szCs w:val="20"/>
                <w:color w:val="auto"/>
              </w:rPr>
            </w:pPr>
            <w:r>
              <w:rPr>
                <w:rFonts w:ascii="Arial" w:cs="Arial" w:eastAsia="Arial" w:hAnsi="Arial"/>
                <w:sz w:val="11"/>
                <w:szCs w:val="11"/>
                <w:color w:val="auto"/>
              </w:rPr>
              <w:t>92bps</w:t>
            </w:r>
          </w:p>
        </w:tc>
        <w:tc>
          <w:tcPr>
            <w:tcW w:w="20" w:type="dxa"/>
            <w:vAlign w:val="bottom"/>
          </w:tcPr>
          <w:p>
            <w:pPr>
              <w:spacing w:after="0"/>
              <w:rPr>
                <w:sz w:val="11"/>
                <w:szCs w:val="11"/>
                <w:color w:val="auto"/>
              </w:rPr>
            </w:pPr>
          </w:p>
        </w:tc>
      </w:tr>
      <w:tr>
        <w:trPr>
          <w:trHeight w:val="122"/>
        </w:trPr>
        <w:tc>
          <w:tcPr>
            <w:tcW w:w="382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Risk-Adjusted Net Interest Margin</w:t>
            </w:r>
          </w:p>
        </w:tc>
        <w:tc>
          <w:tcPr>
            <w:tcW w:w="11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4.45%</w:t>
            </w:r>
          </w:p>
        </w:tc>
        <w:tc>
          <w:tcPr>
            <w:tcW w:w="102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4.45%</w:t>
            </w:r>
          </w:p>
        </w:tc>
        <w:tc>
          <w:tcPr>
            <w:tcW w:w="9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4.10%</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-35bps</w:t>
            </w:r>
          </w:p>
        </w:tc>
        <w:tc>
          <w:tcPr>
            <w:tcW w:w="780" w:type="dxa"/>
            <w:vAlign w:val="bottom"/>
          </w:tcPr>
          <w:p>
            <w:pPr>
              <w:jc w:val="center"/>
              <w:ind w:right="23"/>
              <w:spacing w:after="0" w:line="122" w:lineRule="exact"/>
              <w:rPr>
                <w:sz w:val="20"/>
                <w:szCs w:val="20"/>
                <w:color w:val="auto"/>
              </w:rPr>
            </w:pPr>
            <w:r>
              <w:rPr>
                <w:rFonts w:ascii="Arial" w:cs="Arial" w:eastAsia="Arial" w:hAnsi="Arial"/>
                <w:sz w:val="11"/>
                <w:szCs w:val="11"/>
                <w:color w:val="auto"/>
              </w:rPr>
              <w:t>-35bps</w:t>
            </w:r>
          </w:p>
        </w:tc>
        <w:tc>
          <w:tcPr>
            <w:tcW w:w="11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4.3%</w:t>
            </w:r>
          </w:p>
        </w:tc>
        <w:tc>
          <w:tcPr>
            <w:tcW w:w="8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4.4%</w:t>
            </w:r>
          </w:p>
        </w:tc>
        <w:tc>
          <w:tcPr>
            <w:tcW w:w="900" w:type="dxa"/>
            <w:vAlign w:val="bottom"/>
          </w:tcPr>
          <w:p>
            <w:pPr>
              <w:jc w:val="center"/>
              <w:ind w:right="43"/>
              <w:spacing w:after="0" w:line="122" w:lineRule="exact"/>
              <w:rPr>
                <w:sz w:val="20"/>
                <w:szCs w:val="20"/>
                <w:color w:val="auto"/>
              </w:rPr>
            </w:pPr>
            <w:r>
              <w:rPr>
                <w:rFonts w:ascii="Arial" w:cs="Arial" w:eastAsia="Arial" w:hAnsi="Arial"/>
                <w:sz w:val="11"/>
                <w:szCs w:val="11"/>
                <w:color w:val="auto"/>
              </w:rPr>
              <w:t>9bps</w:t>
            </w:r>
          </w:p>
        </w:tc>
        <w:tc>
          <w:tcPr>
            <w:tcW w:w="20" w:type="dxa"/>
            <w:vAlign w:val="bottom"/>
          </w:tcPr>
          <w:p>
            <w:pPr>
              <w:spacing w:after="0"/>
              <w:rPr>
                <w:sz w:val="10"/>
                <w:szCs w:val="10"/>
                <w:color w:val="auto"/>
              </w:rPr>
            </w:pPr>
          </w:p>
        </w:tc>
      </w:tr>
      <w:tr>
        <w:trPr>
          <w:trHeight w:val="122"/>
        </w:trPr>
        <w:tc>
          <w:tcPr>
            <w:tcW w:w="382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Peru's Reference Rate</w:t>
            </w:r>
          </w:p>
        </w:tc>
        <w:tc>
          <w:tcPr>
            <w:tcW w:w="11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7.50%</w:t>
            </w:r>
          </w:p>
        </w:tc>
        <w:tc>
          <w:tcPr>
            <w:tcW w:w="102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7.50%</w:t>
            </w:r>
          </w:p>
        </w:tc>
        <w:tc>
          <w:tcPr>
            <w:tcW w:w="9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6.75%</w:t>
            </w:r>
          </w:p>
        </w:tc>
        <w:tc>
          <w:tcPr>
            <w:tcW w:w="600" w:type="dxa"/>
            <w:vAlign w:val="bottom"/>
          </w:tcPr>
          <w:p>
            <w:pPr>
              <w:jc w:val="center"/>
              <w:ind w:right="3"/>
              <w:spacing w:after="0" w:line="122" w:lineRule="exact"/>
              <w:rPr>
                <w:sz w:val="20"/>
                <w:szCs w:val="20"/>
                <w:color w:val="auto"/>
              </w:rPr>
            </w:pPr>
            <w:r>
              <w:rPr>
                <w:rFonts w:ascii="Arial" w:cs="Arial" w:eastAsia="Arial" w:hAnsi="Arial"/>
                <w:sz w:val="11"/>
                <w:szCs w:val="11"/>
                <w:color w:val="auto"/>
              </w:rPr>
              <w:t>-75bps</w:t>
            </w:r>
          </w:p>
        </w:tc>
        <w:tc>
          <w:tcPr>
            <w:tcW w:w="780" w:type="dxa"/>
            <w:vAlign w:val="bottom"/>
          </w:tcPr>
          <w:p>
            <w:pPr>
              <w:jc w:val="center"/>
              <w:ind w:right="23"/>
              <w:spacing w:after="0" w:line="122" w:lineRule="exact"/>
              <w:rPr>
                <w:sz w:val="20"/>
                <w:szCs w:val="20"/>
                <w:color w:val="auto"/>
              </w:rPr>
            </w:pPr>
            <w:r>
              <w:rPr>
                <w:rFonts w:ascii="Arial" w:cs="Arial" w:eastAsia="Arial" w:hAnsi="Arial"/>
                <w:sz w:val="11"/>
                <w:szCs w:val="11"/>
                <w:color w:val="auto"/>
              </w:rPr>
              <w:t>-75bps</w:t>
            </w:r>
          </w:p>
        </w:tc>
        <w:tc>
          <w:tcPr>
            <w:tcW w:w="11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7.50%</w:t>
            </w:r>
          </w:p>
        </w:tc>
        <w:tc>
          <w:tcPr>
            <w:tcW w:w="8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6.75%</w:t>
            </w:r>
          </w:p>
        </w:tc>
        <w:tc>
          <w:tcPr>
            <w:tcW w:w="900" w:type="dxa"/>
            <w:vAlign w:val="bottom"/>
          </w:tcPr>
          <w:p>
            <w:pPr>
              <w:jc w:val="center"/>
              <w:ind w:right="23"/>
              <w:spacing w:after="0" w:line="122" w:lineRule="exact"/>
              <w:rPr>
                <w:sz w:val="20"/>
                <w:szCs w:val="20"/>
                <w:color w:val="auto"/>
              </w:rPr>
            </w:pPr>
            <w:r>
              <w:rPr>
                <w:rFonts w:ascii="Arial" w:cs="Arial" w:eastAsia="Arial" w:hAnsi="Arial"/>
                <w:sz w:val="11"/>
                <w:szCs w:val="11"/>
                <w:color w:val="auto"/>
              </w:rPr>
              <w:t>-75bps</w:t>
            </w:r>
          </w:p>
        </w:tc>
        <w:tc>
          <w:tcPr>
            <w:tcW w:w="20" w:type="dxa"/>
            <w:vAlign w:val="bottom"/>
          </w:tcPr>
          <w:p>
            <w:pPr>
              <w:spacing w:after="0"/>
              <w:rPr>
                <w:sz w:val="10"/>
                <w:szCs w:val="10"/>
                <w:color w:val="auto"/>
              </w:rPr>
            </w:pPr>
          </w:p>
        </w:tc>
      </w:tr>
      <w:tr>
        <w:trPr>
          <w:trHeight w:val="144"/>
        </w:trPr>
        <w:tc>
          <w:tcPr>
            <w:tcW w:w="3820" w:type="dxa"/>
            <w:vAlign w:val="bottom"/>
          </w:tcPr>
          <w:p>
            <w:pPr>
              <w:ind w:left="160"/>
              <w:spacing w:after="0"/>
              <w:rPr>
                <w:sz w:val="20"/>
                <w:szCs w:val="20"/>
                <w:color w:val="auto"/>
              </w:rPr>
            </w:pPr>
            <w:r>
              <w:rPr>
                <w:rFonts w:ascii="Arial" w:cs="Arial" w:eastAsia="Arial" w:hAnsi="Arial"/>
                <w:sz w:val="11"/>
                <w:szCs w:val="11"/>
                <w:b w:val="1"/>
                <w:bCs w:val="1"/>
                <w:color w:val="auto"/>
              </w:rPr>
              <w:t>FED funds rate</w:t>
            </w:r>
          </w:p>
        </w:tc>
        <w:tc>
          <w:tcPr>
            <w:tcW w:w="1180" w:type="dxa"/>
            <w:vAlign w:val="bottom"/>
          </w:tcPr>
          <w:p>
            <w:pPr>
              <w:jc w:val="right"/>
              <w:ind w:right="143"/>
              <w:spacing w:after="0"/>
              <w:rPr>
                <w:sz w:val="20"/>
                <w:szCs w:val="20"/>
                <w:color w:val="auto"/>
              </w:rPr>
            </w:pPr>
            <w:r>
              <w:rPr>
                <w:rFonts w:ascii="Arial" w:cs="Arial" w:eastAsia="Arial" w:hAnsi="Arial"/>
                <w:sz w:val="11"/>
                <w:szCs w:val="11"/>
                <w:color w:val="auto"/>
              </w:rPr>
              <w:t>4.50%</w:t>
            </w:r>
          </w:p>
        </w:tc>
        <w:tc>
          <w:tcPr>
            <w:tcW w:w="1020" w:type="dxa"/>
            <w:vAlign w:val="bottom"/>
          </w:tcPr>
          <w:p>
            <w:pPr>
              <w:jc w:val="right"/>
              <w:ind w:right="143"/>
              <w:spacing w:after="0"/>
              <w:rPr>
                <w:sz w:val="20"/>
                <w:szCs w:val="20"/>
                <w:color w:val="auto"/>
              </w:rPr>
            </w:pPr>
            <w:r>
              <w:rPr>
                <w:rFonts w:ascii="Arial" w:cs="Arial" w:eastAsia="Arial" w:hAnsi="Arial"/>
                <w:sz w:val="11"/>
                <w:szCs w:val="11"/>
                <w:color w:val="auto"/>
              </w:rPr>
              <w:t>5.50%</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5.50%</w:t>
            </w:r>
          </w:p>
        </w:tc>
        <w:tc>
          <w:tcPr>
            <w:tcW w:w="600" w:type="dxa"/>
            <w:vAlign w:val="bottom"/>
          </w:tcPr>
          <w:p>
            <w:pPr>
              <w:jc w:val="center"/>
              <w:ind w:right="3"/>
              <w:spacing w:after="0"/>
              <w:rPr>
                <w:sz w:val="20"/>
                <w:szCs w:val="20"/>
                <w:color w:val="auto"/>
              </w:rPr>
            </w:pPr>
            <w:r>
              <w:rPr>
                <w:rFonts w:ascii="Arial" w:cs="Arial" w:eastAsia="Arial" w:hAnsi="Arial"/>
                <w:sz w:val="11"/>
                <w:szCs w:val="11"/>
                <w:color w:val="auto"/>
              </w:rPr>
              <w:t>0bps</w:t>
            </w:r>
          </w:p>
        </w:tc>
        <w:tc>
          <w:tcPr>
            <w:tcW w:w="780" w:type="dxa"/>
            <w:vAlign w:val="bottom"/>
          </w:tcPr>
          <w:p>
            <w:pPr>
              <w:jc w:val="center"/>
              <w:ind w:right="23"/>
              <w:spacing w:after="0"/>
              <w:rPr>
                <w:sz w:val="20"/>
                <w:szCs w:val="20"/>
                <w:color w:val="auto"/>
              </w:rPr>
            </w:pPr>
            <w:r>
              <w:rPr>
                <w:rFonts w:ascii="Arial" w:cs="Arial" w:eastAsia="Arial" w:hAnsi="Arial"/>
                <w:sz w:val="11"/>
                <w:szCs w:val="11"/>
                <w:color w:val="auto"/>
              </w:rPr>
              <w:t>100bps</w:t>
            </w:r>
          </w:p>
        </w:tc>
        <w:tc>
          <w:tcPr>
            <w:tcW w:w="1160" w:type="dxa"/>
            <w:vAlign w:val="bottom"/>
          </w:tcPr>
          <w:p>
            <w:pPr>
              <w:jc w:val="right"/>
              <w:ind w:right="223"/>
              <w:spacing w:after="0"/>
              <w:rPr>
                <w:sz w:val="20"/>
                <w:szCs w:val="20"/>
                <w:color w:val="auto"/>
              </w:rPr>
            </w:pPr>
            <w:r>
              <w:rPr>
                <w:rFonts w:ascii="Arial" w:cs="Arial" w:eastAsia="Arial" w:hAnsi="Arial"/>
                <w:sz w:val="11"/>
                <w:szCs w:val="11"/>
                <w:color w:val="auto"/>
              </w:rPr>
              <w:t>4.50%</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5.50%</w:t>
            </w:r>
          </w:p>
        </w:tc>
        <w:tc>
          <w:tcPr>
            <w:tcW w:w="900" w:type="dxa"/>
            <w:vAlign w:val="bottom"/>
          </w:tcPr>
          <w:p>
            <w:pPr>
              <w:jc w:val="center"/>
              <w:ind w:right="23"/>
              <w:spacing w:after="0"/>
              <w:rPr>
                <w:sz w:val="20"/>
                <w:szCs w:val="20"/>
                <w:color w:val="auto"/>
              </w:rPr>
            </w:pPr>
            <w:r>
              <w:rPr>
                <w:rFonts w:ascii="Arial" w:cs="Arial" w:eastAsia="Arial" w:hAnsi="Arial"/>
                <w:sz w:val="11"/>
                <w:szCs w:val="11"/>
                <w:color w:val="auto"/>
              </w:rPr>
              <w:t>100bps</w:t>
            </w:r>
          </w:p>
        </w:tc>
        <w:tc>
          <w:tcPr>
            <w:tcW w:w="20" w:type="dxa"/>
            <w:vAlign w:val="bottom"/>
          </w:tcPr>
          <w:p>
            <w:pPr>
              <w:spacing w:after="0"/>
              <w:rPr>
                <w:sz w:val="12"/>
                <w:szCs w:val="12"/>
                <w:color w:val="auto"/>
              </w:rPr>
            </w:pPr>
          </w:p>
        </w:tc>
      </w:tr>
    </w:tbl>
    <w:p>
      <w:pPr>
        <w:spacing w:after="0"/>
        <w:rPr>
          <w:sz w:val="20"/>
          <w:szCs w:val="20"/>
          <w:color w:val="auto"/>
        </w:rPr>
      </w:pPr>
      <w:r>
        <w:rPr>
          <w:rFonts w:ascii="Arial" w:cs="Arial" w:eastAsia="Arial" w:hAnsi="Arial"/>
          <w:sz w:val="11"/>
          <w:szCs w:val="11"/>
          <w:color w:val="auto"/>
        </w:rPr>
        <w:t>(1) For further detail on the new NIM calculation due to IFRS17, please refer to Annex 12.1.8</w:t>
      </w:r>
    </w:p>
    <w:p>
      <w:pPr>
        <w:spacing w:after="0" w:line="167"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QoQ, Net Interest Income (NII) reported growth of 2.9%. This evolution was primarily attributable to an uptick in financial income, which was primarily driven by an increase in income from loans. The positive contribution of loans was due to a decrease in the weight of wholesale loans within the total portfolio versus an increase in the share of retail loans, which was primarily driven by growth in SME-Pyme loans. Investments were the secondary driver of the improvement in NII. Interest expenses, in turn, dropped 2.7% this quarter, spurred by recovery in the balance of Low-cost deposits and the expiration of other more costly sources of funding such as Time Deposits. Despite a context of dropping interest rates, the aforementioned income and expense dynamics led the IEA yield to remain relatively stable (-1 pbs) while the cost of funding fell 12 bps.</w:t>
      </w:r>
    </w:p>
    <w:p>
      <w:pPr>
        <w:spacing w:after="0" w:line="149"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YoY, NII rose 6.6% despite the fact that growth in expenses outpaced the expansion registered for income. In the case of income, growth was driven by an increase in income from loans, which reflected an uptick in retail loans’ weight within the mix. It is important to note that YoY, both SME-Pyme and Credit Cards increased their share in the loan portfolio. An increase in positions in securities within Investments also contributed to growth in income, although to a lesser extent. Expenses rose 24.6% YoY. This evolution was fueled primarily by growth in the balance of time deposits, which had been placed at high interest rates, and to a lesser extent by an increase in the balance of Due to banks and correspondents.</w:t>
      </w:r>
    </w:p>
    <w:p>
      <w:pPr>
        <w:spacing w:after="0" w:line="147"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YTD, NII rose 16.6%, which reflected growth in income from loans. This evolution was partially offset primarily by higher expenses for deposits and secondarily by growth in Due to banks.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58"/>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31" w:name="page32"/>
    <w:bookmarkEnd w:id="31"/>
    <w:p>
      <w:pPr>
        <w:jc w:val="right"/>
        <w:ind w:right="420"/>
        <w:spacing w:after="0"/>
        <w:tabs>
          <w:tab w:leader="none" w:pos="7880" w:val="left"/>
          <w:tab w:leader="none" w:pos="33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321310</wp:posOffset>
            </wp:positionV>
            <wp:extent cx="7145655" cy="410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04. Net Interest Income (NII)</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w:t>
      </w:r>
    </w:p>
    <w:p>
      <w:pPr>
        <w:spacing w:after="0" w:line="182" w:lineRule="exact"/>
        <w:rPr>
          <w:sz w:val="20"/>
          <w:szCs w:val="20"/>
          <w:color w:val="auto"/>
        </w:rPr>
      </w:pPr>
    </w:p>
    <w:p>
      <w:pPr>
        <w:jc w:val="both"/>
        <w:ind w:right="5740"/>
        <w:spacing w:after="0" w:line="244" w:lineRule="auto"/>
        <w:rPr>
          <w:sz w:val="20"/>
          <w:szCs w:val="20"/>
          <w:color w:val="auto"/>
        </w:rPr>
      </w:pPr>
      <w:r>
        <w:rPr>
          <w:rFonts w:ascii="Arial" w:cs="Arial" w:eastAsia="Arial" w:hAnsi="Arial"/>
          <w:sz w:val="16"/>
          <w:szCs w:val="16"/>
          <w:color w:val="auto"/>
        </w:rPr>
        <w:t>NIM increased 10 bps QoQ and reported an uptick in the pace of growth compared to the previous quarter. This evolution was driven by a reduction in interest expenses due to a recovery in the balance of Low-cost deposits. Risk-adjusted NIM dropped 35 bps over the same period and stood at 4.10%, impacted by provisions set aside for FEN, which reduced this line by 45 bps in 4Q23. YTD, the dynamics of the balance led NIM to increase to 6.01% in 2023, which represented a 92 bps increase over the figure in 2022, while risk-adjusted NIM stood at 4.38%, 9 bps above last year’s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-939165</wp:posOffset>
            </wp:positionV>
            <wp:extent cx="3096895" cy="17030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96895" cy="170307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 Dynamics by Currency</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99"/>
        </w:trPr>
        <w:tc>
          <w:tcPr>
            <w:tcW w:w="2040" w:type="dxa"/>
            <w:vAlign w:val="bottom"/>
            <w:tcBorders>
              <w:top w:val="single" w:sz="8" w:color="auto"/>
              <w:left w:val="single" w:sz="8" w:color="auto"/>
              <w:right w:val="single" w:sz="8" w:color="auto"/>
            </w:tcBorders>
            <w:shd w:val="clear" w:color="auto" w:fill="2AD2C9"/>
          </w:tcPr>
          <w:p>
            <w:pPr>
              <w:ind w:left="40"/>
              <w:spacing w:after="0" w:line="99" w:lineRule="exact"/>
              <w:rPr>
                <w:sz w:val="20"/>
                <w:szCs w:val="20"/>
                <w:color w:val="auto"/>
              </w:rPr>
            </w:pPr>
            <w:r>
              <w:rPr>
                <w:rFonts w:ascii="Arial" w:cs="Arial" w:eastAsia="Arial" w:hAnsi="Arial"/>
                <w:sz w:val="11"/>
                <w:szCs w:val="11"/>
                <w:b w:val="1"/>
                <w:bCs w:val="1"/>
                <w:color w:val="FFFFFF"/>
              </w:rPr>
              <w:t>Interest Income / IEA</w:t>
            </w:r>
          </w:p>
        </w:tc>
        <w:tc>
          <w:tcPr>
            <w:tcW w:w="700" w:type="dxa"/>
            <w:vAlign w:val="bottom"/>
            <w:tcBorders>
              <w:top w:val="single" w:sz="8" w:color="auto"/>
            </w:tcBorders>
            <w:shd w:val="clear" w:color="auto" w:fill="2AD2C9"/>
          </w:tcPr>
          <w:p>
            <w:pPr>
              <w:spacing w:after="0"/>
              <w:rPr>
                <w:sz w:val="8"/>
                <w:szCs w:val="8"/>
                <w:color w:val="auto"/>
              </w:rPr>
            </w:pPr>
          </w:p>
        </w:tc>
        <w:tc>
          <w:tcPr>
            <w:tcW w:w="600" w:type="dxa"/>
            <w:vAlign w:val="bottom"/>
            <w:tcBorders>
              <w:top w:val="single" w:sz="8" w:color="auto"/>
            </w:tcBorders>
            <w:shd w:val="clear" w:color="auto" w:fill="2AD2C9"/>
          </w:tcPr>
          <w:p>
            <w:pPr>
              <w:jc w:val="right"/>
              <w:ind w:right="203"/>
              <w:spacing w:after="0" w:line="99" w:lineRule="exact"/>
              <w:rPr>
                <w:sz w:val="20"/>
                <w:szCs w:val="20"/>
                <w:color w:val="auto"/>
              </w:rPr>
            </w:pPr>
            <w:r>
              <w:rPr>
                <w:rFonts w:ascii="Arial" w:cs="Arial" w:eastAsia="Arial" w:hAnsi="Arial"/>
                <w:sz w:val="11"/>
                <w:szCs w:val="11"/>
                <w:b w:val="1"/>
                <w:bCs w:val="1"/>
                <w:color w:val="FFFFFF"/>
              </w:rPr>
              <w:t>4Q22</w:t>
            </w:r>
          </w:p>
        </w:tc>
        <w:tc>
          <w:tcPr>
            <w:tcW w:w="540" w:type="dxa"/>
            <w:vAlign w:val="bottom"/>
            <w:tcBorders>
              <w:top w:val="single" w:sz="8" w:color="auto"/>
              <w:right w:val="single" w:sz="8" w:color="auto"/>
            </w:tcBorders>
            <w:shd w:val="clear" w:color="auto" w:fill="2AD2C9"/>
          </w:tcPr>
          <w:p>
            <w:pPr>
              <w:spacing w:after="0"/>
              <w:rPr>
                <w:sz w:val="8"/>
                <w:szCs w:val="8"/>
                <w:color w:val="auto"/>
              </w:rPr>
            </w:pPr>
          </w:p>
        </w:tc>
        <w:tc>
          <w:tcPr>
            <w:tcW w:w="660" w:type="dxa"/>
            <w:vAlign w:val="bottom"/>
            <w:tcBorders>
              <w:top w:val="single" w:sz="8" w:color="auto"/>
            </w:tcBorders>
            <w:shd w:val="clear" w:color="auto" w:fill="2AD2C9"/>
          </w:tcPr>
          <w:p>
            <w:pPr>
              <w:spacing w:after="0"/>
              <w:rPr>
                <w:sz w:val="8"/>
                <w:szCs w:val="8"/>
                <w:color w:val="auto"/>
              </w:rPr>
            </w:pPr>
          </w:p>
        </w:tc>
        <w:tc>
          <w:tcPr>
            <w:tcW w:w="600" w:type="dxa"/>
            <w:vAlign w:val="bottom"/>
            <w:tcBorders>
              <w:top w:val="single" w:sz="8" w:color="auto"/>
            </w:tcBorders>
            <w:shd w:val="clear" w:color="auto" w:fill="2AD2C9"/>
          </w:tcPr>
          <w:p>
            <w:pPr>
              <w:jc w:val="right"/>
              <w:ind w:right="183"/>
              <w:spacing w:after="0" w:line="99" w:lineRule="exact"/>
              <w:rPr>
                <w:sz w:val="20"/>
                <w:szCs w:val="20"/>
                <w:color w:val="auto"/>
              </w:rPr>
            </w:pPr>
            <w:r>
              <w:rPr>
                <w:rFonts w:ascii="Arial" w:cs="Arial" w:eastAsia="Arial" w:hAnsi="Arial"/>
                <w:sz w:val="11"/>
                <w:szCs w:val="11"/>
                <w:b w:val="1"/>
                <w:bCs w:val="1"/>
                <w:color w:val="FFFFFF"/>
              </w:rPr>
              <w:t>3Q23</w:t>
            </w:r>
          </w:p>
        </w:tc>
        <w:tc>
          <w:tcPr>
            <w:tcW w:w="520" w:type="dxa"/>
            <w:vAlign w:val="bottom"/>
            <w:tcBorders>
              <w:top w:val="single" w:sz="8" w:color="auto"/>
              <w:right w:val="single" w:sz="8" w:color="auto"/>
            </w:tcBorders>
            <w:shd w:val="clear" w:color="auto" w:fill="2AD2C9"/>
          </w:tcPr>
          <w:p>
            <w:pPr>
              <w:spacing w:after="0"/>
              <w:rPr>
                <w:sz w:val="8"/>
                <w:szCs w:val="8"/>
                <w:color w:val="auto"/>
              </w:rPr>
            </w:pPr>
          </w:p>
        </w:tc>
        <w:tc>
          <w:tcPr>
            <w:tcW w:w="680" w:type="dxa"/>
            <w:vAlign w:val="bottom"/>
            <w:tcBorders>
              <w:top w:val="single" w:sz="8" w:color="auto"/>
            </w:tcBorders>
            <w:shd w:val="clear" w:color="auto" w:fill="2AD2C9"/>
          </w:tcPr>
          <w:p>
            <w:pPr>
              <w:spacing w:after="0"/>
              <w:rPr>
                <w:sz w:val="8"/>
                <w:szCs w:val="8"/>
                <w:color w:val="auto"/>
              </w:rPr>
            </w:pPr>
          </w:p>
        </w:tc>
        <w:tc>
          <w:tcPr>
            <w:tcW w:w="600" w:type="dxa"/>
            <w:vAlign w:val="bottom"/>
            <w:tcBorders>
              <w:top w:val="single" w:sz="8" w:color="auto"/>
            </w:tcBorders>
            <w:shd w:val="clear" w:color="auto" w:fill="2AD2C9"/>
          </w:tcPr>
          <w:p>
            <w:pPr>
              <w:jc w:val="right"/>
              <w:ind w:right="203"/>
              <w:spacing w:after="0" w:line="99" w:lineRule="exact"/>
              <w:rPr>
                <w:sz w:val="20"/>
                <w:szCs w:val="20"/>
                <w:color w:val="auto"/>
              </w:rPr>
            </w:pPr>
            <w:r>
              <w:rPr>
                <w:rFonts w:ascii="Arial" w:cs="Arial" w:eastAsia="Arial" w:hAnsi="Arial"/>
                <w:sz w:val="11"/>
                <w:szCs w:val="11"/>
                <w:b w:val="1"/>
                <w:bCs w:val="1"/>
                <w:color w:val="FFFFFF"/>
              </w:rPr>
              <w:t>4Q23</w:t>
            </w:r>
          </w:p>
        </w:tc>
        <w:tc>
          <w:tcPr>
            <w:tcW w:w="520" w:type="dxa"/>
            <w:vAlign w:val="bottom"/>
            <w:tcBorders>
              <w:top w:val="single" w:sz="8" w:color="auto"/>
              <w:right w:val="single" w:sz="8" w:color="auto"/>
            </w:tcBorders>
            <w:shd w:val="clear" w:color="auto" w:fill="2AD2C9"/>
          </w:tcPr>
          <w:p>
            <w:pPr>
              <w:spacing w:after="0"/>
              <w:rPr>
                <w:sz w:val="8"/>
                <w:szCs w:val="8"/>
                <w:color w:val="auto"/>
              </w:rPr>
            </w:pPr>
          </w:p>
        </w:tc>
      </w:tr>
      <w:tr>
        <w:trPr>
          <w:trHeight w:val="122"/>
        </w:trPr>
        <w:tc>
          <w:tcPr>
            <w:tcW w:w="2040" w:type="dxa"/>
            <w:vAlign w:val="bottom"/>
            <w:tcBorders>
              <w:left w:val="single" w:sz="8" w:color="auto"/>
              <w:right w:val="single" w:sz="8" w:color="auto"/>
            </w:tcBorders>
            <w:shd w:val="clear" w:color="auto" w:fill="2AD2C9"/>
          </w:tcPr>
          <w:p>
            <w:pPr>
              <w:ind w:left="40"/>
              <w:spacing w:after="0" w:line="122" w:lineRule="exact"/>
              <w:rPr>
                <w:sz w:val="20"/>
                <w:szCs w:val="20"/>
                <w:color w:val="auto"/>
              </w:rPr>
            </w:pPr>
            <w:r>
              <w:rPr>
                <w:rFonts w:ascii="Arial" w:cs="Arial" w:eastAsia="Arial" w:hAnsi="Arial"/>
                <w:sz w:val="11"/>
                <w:szCs w:val="11"/>
                <w:b w:val="1"/>
                <w:bCs w:val="1"/>
                <w:color w:val="FFFFFF"/>
              </w:rPr>
              <w:t>S/ millions</w:t>
            </w:r>
          </w:p>
        </w:tc>
        <w:tc>
          <w:tcPr>
            <w:tcW w:w="700" w:type="dxa"/>
            <w:vAlign w:val="bottom"/>
            <w:shd w:val="clear" w:color="auto" w:fill="2AD2C9"/>
          </w:tcPr>
          <w:p>
            <w:pPr>
              <w:jc w:val="right"/>
              <w:ind w:right="83"/>
              <w:spacing w:after="0" w:line="122" w:lineRule="exact"/>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2AD2C9"/>
          </w:tcPr>
          <w:p>
            <w:pPr>
              <w:spacing w:after="0"/>
              <w:rPr>
                <w:sz w:val="10"/>
                <w:szCs w:val="10"/>
                <w:color w:val="auto"/>
              </w:rPr>
            </w:pPr>
          </w:p>
        </w:tc>
        <w:tc>
          <w:tcPr>
            <w:tcW w:w="540" w:type="dxa"/>
            <w:vAlign w:val="bottom"/>
            <w:tcBorders>
              <w:right w:val="single" w:sz="8" w:color="auto"/>
            </w:tcBorders>
            <w:shd w:val="clear" w:color="auto" w:fill="2AD2C9"/>
          </w:tcPr>
          <w:p>
            <w:pPr>
              <w:spacing w:after="0"/>
              <w:rPr>
                <w:sz w:val="10"/>
                <w:szCs w:val="10"/>
                <w:color w:val="auto"/>
              </w:rPr>
            </w:pPr>
          </w:p>
        </w:tc>
        <w:tc>
          <w:tcPr>
            <w:tcW w:w="660" w:type="dxa"/>
            <w:vAlign w:val="bottom"/>
            <w:shd w:val="clear" w:color="auto" w:fill="2AD2C9"/>
          </w:tcPr>
          <w:p>
            <w:pPr>
              <w:jc w:val="right"/>
              <w:ind w:right="63"/>
              <w:spacing w:after="0" w:line="122" w:lineRule="exact"/>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2AD2C9"/>
          </w:tcPr>
          <w:p>
            <w:pPr>
              <w:spacing w:after="0"/>
              <w:rPr>
                <w:sz w:val="10"/>
                <w:szCs w:val="10"/>
                <w:color w:val="auto"/>
              </w:rPr>
            </w:pPr>
          </w:p>
        </w:tc>
        <w:tc>
          <w:tcPr>
            <w:tcW w:w="520" w:type="dxa"/>
            <w:vAlign w:val="bottom"/>
            <w:tcBorders>
              <w:right w:val="single" w:sz="8" w:color="auto"/>
            </w:tcBorders>
            <w:shd w:val="clear" w:color="auto" w:fill="2AD2C9"/>
          </w:tcPr>
          <w:p>
            <w:pPr>
              <w:spacing w:after="0"/>
              <w:rPr>
                <w:sz w:val="10"/>
                <w:szCs w:val="10"/>
                <w:color w:val="auto"/>
              </w:rPr>
            </w:pPr>
          </w:p>
        </w:tc>
        <w:tc>
          <w:tcPr>
            <w:tcW w:w="680" w:type="dxa"/>
            <w:vAlign w:val="bottom"/>
            <w:shd w:val="clear" w:color="auto" w:fill="2AD2C9"/>
          </w:tcPr>
          <w:p>
            <w:pPr>
              <w:jc w:val="right"/>
              <w:ind w:right="83"/>
              <w:spacing w:after="0" w:line="122" w:lineRule="exact"/>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2AD2C9"/>
          </w:tcPr>
          <w:p>
            <w:pPr>
              <w:spacing w:after="0"/>
              <w:rPr>
                <w:sz w:val="10"/>
                <w:szCs w:val="10"/>
                <w:color w:val="auto"/>
              </w:rPr>
            </w:pPr>
          </w:p>
        </w:tc>
        <w:tc>
          <w:tcPr>
            <w:tcW w:w="520" w:type="dxa"/>
            <w:vAlign w:val="bottom"/>
            <w:tcBorders>
              <w:right w:val="single" w:sz="8" w:color="auto"/>
            </w:tcBorders>
            <w:shd w:val="clear" w:color="auto" w:fill="2AD2C9"/>
          </w:tcPr>
          <w:p>
            <w:pPr>
              <w:spacing w:after="0"/>
              <w:rPr>
                <w:sz w:val="10"/>
                <w:szCs w:val="10"/>
                <w:color w:val="auto"/>
              </w:rPr>
            </w:pPr>
          </w:p>
        </w:tc>
      </w:tr>
      <w:tr>
        <w:trPr>
          <w:trHeight w:val="137"/>
        </w:trPr>
        <w:tc>
          <w:tcPr>
            <w:tcW w:w="204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700" w:type="dxa"/>
            <w:vAlign w:val="bottom"/>
            <w:tcBorders>
              <w:bottom w:val="single" w:sz="8" w:color="auto"/>
            </w:tcBorders>
            <w:shd w:val="clear" w:color="auto" w:fill="2AD2C9"/>
          </w:tcPr>
          <w:p>
            <w:pPr>
              <w:jc w:val="right"/>
              <w:ind w:right="10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103"/>
              <w:spacing w:after="0"/>
              <w:rPr>
                <w:sz w:val="20"/>
                <w:szCs w:val="20"/>
                <w:color w:val="auto"/>
              </w:rPr>
            </w:pPr>
            <w:r>
              <w:rPr>
                <w:rFonts w:ascii="Arial" w:cs="Arial" w:eastAsia="Arial" w:hAnsi="Arial"/>
                <w:sz w:val="11"/>
                <w:szCs w:val="11"/>
                <w:b w:val="1"/>
                <w:bCs w:val="1"/>
                <w:color w:val="FFFFFF"/>
              </w:rPr>
              <w:t>Income</w:t>
            </w:r>
          </w:p>
        </w:tc>
        <w:tc>
          <w:tcPr>
            <w:tcW w:w="540" w:type="dxa"/>
            <w:vAlign w:val="bottom"/>
            <w:tcBorders>
              <w:bottom w:val="single" w:sz="8" w:color="auto"/>
              <w:right w:val="single" w:sz="8" w:color="auto"/>
            </w:tcBorders>
            <w:shd w:val="clear" w:color="auto" w:fill="2AD2C9"/>
          </w:tcPr>
          <w:p>
            <w:pPr>
              <w:jc w:val="right"/>
              <w:ind w:right="103"/>
              <w:spacing w:after="0"/>
              <w:rPr>
                <w:sz w:val="20"/>
                <w:szCs w:val="20"/>
                <w:color w:val="auto"/>
              </w:rPr>
            </w:pPr>
            <w:r>
              <w:rPr>
                <w:rFonts w:ascii="Arial" w:cs="Arial" w:eastAsia="Arial" w:hAnsi="Arial"/>
                <w:sz w:val="11"/>
                <w:szCs w:val="11"/>
                <w:b w:val="1"/>
                <w:bCs w:val="1"/>
                <w:color w:val="FFFFFF"/>
              </w:rPr>
              <w:t>Yields</w:t>
            </w:r>
          </w:p>
        </w:tc>
        <w:tc>
          <w:tcPr>
            <w:tcW w:w="66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Income</w:t>
            </w:r>
          </w:p>
        </w:tc>
        <w:tc>
          <w:tcPr>
            <w:tcW w:w="520" w:type="dxa"/>
            <w:vAlign w:val="bottom"/>
            <w:tcBorders>
              <w:bottom w:val="single" w:sz="8" w:color="auto"/>
              <w:right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Yields</w:t>
            </w:r>
          </w:p>
        </w:tc>
        <w:tc>
          <w:tcPr>
            <w:tcW w:w="68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Income</w:t>
            </w:r>
          </w:p>
        </w:tc>
        <w:tc>
          <w:tcPr>
            <w:tcW w:w="520" w:type="dxa"/>
            <w:vAlign w:val="bottom"/>
            <w:tcBorders>
              <w:bottom w:val="single" w:sz="8" w:color="auto"/>
              <w:right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Yields</w:t>
            </w:r>
          </w:p>
        </w:tc>
      </w:tr>
      <w:tr>
        <w:trPr>
          <w:trHeight w:val="99"/>
        </w:trPr>
        <w:tc>
          <w:tcPr>
            <w:tcW w:w="204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1"/>
                <w:szCs w:val="11"/>
                <w:color w:val="auto"/>
              </w:rPr>
              <w:t>Cash and equivalents</w:t>
            </w:r>
          </w:p>
        </w:tc>
        <w:tc>
          <w:tcPr>
            <w:tcW w:w="700" w:type="dxa"/>
            <w:vAlign w:val="bottom"/>
          </w:tcPr>
          <w:p>
            <w:pPr>
              <w:jc w:val="right"/>
              <w:spacing w:after="0" w:line="99" w:lineRule="exact"/>
              <w:rPr>
                <w:sz w:val="20"/>
                <w:szCs w:val="20"/>
                <w:color w:val="auto"/>
              </w:rPr>
            </w:pPr>
            <w:r>
              <w:rPr>
                <w:rFonts w:ascii="Arial" w:cs="Arial" w:eastAsia="Arial" w:hAnsi="Arial"/>
                <w:sz w:val="11"/>
                <w:szCs w:val="11"/>
                <w:color w:val="auto"/>
              </w:rPr>
              <w:t>28,114</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238</w:t>
            </w:r>
          </w:p>
        </w:tc>
        <w:tc>
          <w:tcPr>
            <w:tcW w:w="54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3.4%</w:t>
            </w:r>
          </w:p>
        </w:tc>
        <w:tc>
          <w:tcPr>
            <w:tcW w:w="660" w:type="dxa"/>
            <w:vAlign w:val="bottom"/>
          </w:tcPr>
          <w:p>
            <w:pPr>
              <w:jc w:val="right"/>
              <w:spacing w:after="0" w:line="99" w:lineRule="exact"/>
              <w:rPr>
                <w:sz w:val="20"/>
                <w:szCs w:val="20"/>
                <w:color w:val="auto"/>
              </w:rPr>
            </w:pPr>
            <w:r>
              <w:rPr>
                <w:rFonts w:ascii="Arial" w:cs="Arial" w:eastAsia="Arial" w:hAnsi="Arial"/>
                <w:sz w:val="11"/>
                <w:szCs w:val="11"/>
                <w:color w:val="auto"/>
              </w:rPr>
              <w:t>25,472</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290</w:t>
            </w:r>
          </w:p>
        </w:tc>
        <w:tc>
          <w:tcPr>
            <w:tcW w:w="52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4.6%</w:t>
            </w: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25,321</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279</w:t>
            </w:r>
          </w:p>
        </w:tc>
        <w:tc>
          <w:tcPr>
            <w:tcW w:w="52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4.4%</w:t>
            </w:r>
          </w:p>
        </w:tc>
      </w:tr>
      <w:tr>
        <w:trPr>
          <w:trHeight w:val="122"/>
        </w:trPr>
        <w:tc>
          <w:tcPr>
            <w:tcW w:w="204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Other IEA</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1,344</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45</w:t>
            </w:r>
          </w:p>
        </w:tc>
        <w:tc>
          <w:tcPr>
            <w:tcW w:w="5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13.4%</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1,688</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24</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5.7%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1,462</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28</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204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Investments</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46,137</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564</w:t>
            </w:r>
          </w:p>
        </w:tc>
        <w:tc>
          <w:tcPr>
            <w:tcW w:w="5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4.9%</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49,576</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652</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5.3%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51,666</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655</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22"/>
        </w:trPr>
        <w:tc>
          <w:tcPr>
            <w:tcW w:w="204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Loans</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150,009</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3,515</w:t>
            </w:r>
          </w:p>
        </w:tc>
        <w:tc>
          <w:tcPr>
            <w:tcW w:w="5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9.4%</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143,987</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3,853</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10.7%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145,053</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3,908</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10.8%</w:t>
            </w:r>
          </w:p>
        </w:tc>
      </w:tr>
      <w:tr>
        <w:trPr>
          <w:trHeight w:val="122"/>
        </w:trPr>
        <w:tc>
          <w:tcPr>
            <w:tcW w:w="20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Structural</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139,153</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3,459</w:t>
            </w:r>
          </w:p>
        </w:tc>
        <w:tc>
          <w:tcPr>
            <w:tcW w:w="5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9.9%</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139,427</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3,822</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11.0%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141,165</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3,862</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10.9%</w:t>
            </w:r>
          </w:p>
        </w:tc>
      </w:tr>
      <w:tr>
        <w:trPr>
          <w:trHeight w:val="137"/>
        </w:trPr>
        <w:tc>
          <w:tcPr>
            <w:tcW w:w="20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Government Programs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10,856</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4,560</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3,888</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45</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4.7%</w:t>
            </w:r>
          </w:p>
        </w:tc>
      </w:tr>
      <w:tr>
        <w:trPr>
          <w:trHeight w:val="114"/>
        </w:trPr>
        <w:tc>
          <w:tcPr>
            <w:tcW w:w="204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b w:val="1"/>
                <w:bCs w:val="1"/>
                <w:color w:val="auto"/>
              </w:rPr>
              <w:t>Total IEA</w:t>
            </w: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225,605</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4,362</w:t>
            </w:r>
          </w:p>
        </w:tc>
        <w:tc>
          <w:tcPr>
            <w:tcW w:w="54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7.7%</w:t>
            </w:r>
          </w:p>
        </w:tc>
        <w:tc>
          <w:tcPr>
            <w:tcW w:w="6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220,724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4,819</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8.7%</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223,502</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4,870</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8.7%</w:t>
            </w:r>
          </w:p>
        </w:tc>
      </w:tr>
      <w:tr>
        <w:trPr>
          <w:trHeight w:val="114"/>
        </w:trPr>
        <w:tc>
          <w:tcPr>
            <w:tcW w:w="204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color w:val="auto"/>
              </w:rPr>
              <w:t>IEA (LC)</w:t>
            </w: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56.6%</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73.1%</w:t>
            </w:r>
          </w:p>
        </w:tc>
        <w:tc>
          <w:tcPr>
            <w:tcW w:w="54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10.0%</w:t>
            </w:r>
          </w:p>
        </w:tc>
        <w:tc>
          <w:tcPr>
            <w:tcW w:w="6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57.7%</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71.3%</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10.8%</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57.6%</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70.5%</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10.7%</w:t>
            </w:r>
          </w:p>
        </w:tc>
      </w:tr>
      <w:tr>
        <w:trPr>
          <w:trHeight w:val="114"/>
        </w:trPr>
        <w:tc>
          <w:tcPr>
            <w:tcW w:w="204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color w:val="auto"/>
              </w:rPr>
              <w:t>IEA (FC)</w:t>
            </w: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43.4%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26.9%</w:t>
            </w:r>
          </w:p>
        </w:tc>
        <w:tc>
          <w:tcPr>
            <w:tcW w:w="54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4.8%</w:t>
            </w:r>
          </w:p>
        </w:tc>
        <w:tc>
          <w:tcPr>
            <w:tcW w:w="6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42.3%</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28.7%</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5.9%</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42.4%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29.5%</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6.1%</w:t>
            </w:r>
          </w:p>
        </w:tc>
      </w:tr>
      <w:tr>
        <w:trPr>
          <w:trHeight w:val="175"/>
        </w:trPr>
        <w:tc>
          <w:tcPr>
            <w:tcW w:w="20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99"/>
        </w:trPr>
        <w:tc>
          <w:tcPr>
            <w:tcW w:w="2040" w:type="dxa"/>
            <w:vAlign w:val="bottom"/>
            <w:tcBorders>
              <w:left w:val="single" w:sz="8" w:color="auto"/>
              <w:right w:val="single" w:sz="8" w:color="auto"/>
            </w:tcBorders>
            <w:shd w:val="clear" w:color="auto" w:fill="2AD2C9"/>
          </w:tcPr>
          <w:p>
            <w:pPr>
              <w:ind w:left="40"/>
              <w:spacing w:after="0" w:line="99" w:lineRule="exact"/>
              <w:rPr>
                <w:sz w:val="20"/>
                <w:szCs w:val="20"/>
                <w:color w:val="auto"/>
              </w:rPr>
            </w:pPr>
            <w:r>
              <w:rPr>
                <w:rFonts w:ascii="Arial" w:cs="Arial" w:eastAsia="Arial" w:hAnsi="Arial"/>
                <w:sz w:val="11"/>
                <w:szCs w:val="11"/>
                <w:b w:val="1"/>
                <w:bCs w:val="1"/>
                <w:color w:val="FFFFFF"/>
              </w:rPr>
              <w:t>Interest Expense / Funding</w:t>
            </w:r>
          </w:p>
        </w:tc>
        <w:tc>
          <w:tcPr>
            <w:tcW w:w="700" w:type="dxa"/>
            <w:vAlign w:val="bottom"/>
            <w:shd w:val="clear" w:color="auto" w:fill="2AD2C9"/>
          </w:tcPr>
          <w:p>
            <w:pPr>
              <w:spacing w:after="0"/>
              <w:rPr>
                <w:sz w:val="8"/>
                <w:szCs w:val="8"/>
                <w:color w:val="auto"/>
              </w:rPr>
            </w:pPr>
          </w:p>
        </w:tc>
        <w:tc>
          <w:tcPr>
            <w:tcW w:w="600" w:type="dxa"/>
            <w:vAlign w:val="bottom"/>
            <w:shd w:val="clear" w:color="auto" w:fill="2AD2C9"/>
          </w:tcPr>
          <w:p>
            <w:pPr>
              <w:jc w:val="right"/>
              <w:ind w:right="203"/>
              <w:spacing w:after="0" w:line="99" w:lineRule="exact"/>
              <w:rPr>
                <w:sz w:val="20"/>
                <w:szCs w:val="20"/>
                <w:color w:val="auto"/>
              </w:rPr>
            </w:pPr>
            <w:r>
              <w:rPr>
                <w:rFonts w:ascii="Arial" w:cs="Arial" w:eastAsia="Arial" w:hAnsi="Arial"/>
                <w:sz w:val="11"/>
                <w:szCs w:val="11"/>
                <w:b w:val="1"/>
                <w:bCs w:val="1"/>
                <w:color w:val="FFFFFF"/>
              </w:rPr>
              <w:t>4Q22</w:t>
            </w:r>
          </w:p>
        </w:tc>
        <w:tc>
          <w:tcPr>
            <w:tcW w:w="540" w:type="dxa"/>
            <w:vAlign w:val="bottom"/>
            <w:tcBorders>
              <w:right w:val="single" w:sz="8" w:color="auto"/>
            </w:tcBorders>
            <w:shd w:val="clear" w:color="auto" w:fill="2AD2C9"/>
          </w:tcPr>
          <w:p>
            <w:pPr>
              <w:spacing w:after="0"/>
              <w:rPr>
                <w:sz w:val="8"/>
                <w:szCs w:val="8"/>
                <w:color w:val="auto"/>
              </w:rPr>
            </w:pPr>
          </w:p>
        </w:tc>
        <w:tc>
          <w:tcPr>
            <w:tcW w:w="660" w:type="dxa"/>
            <w:vAlign w:val="bottom"/>
            <w:shd w:val="clear" w:color="auto" w:fill="2AD2C9"/>
          </w:tcPr>
          <w:p>
            <w:pPr>
              <w:spacing w:after="0"/>
              <w:rPr>
                <w:sz w:val="8"/>
                <w:szCs w:val="8"/>
                <w:color w:val="auto"/>
              </w:rPr>
            </w:pPr>
          </w:p>
        </w:tc>
        <w:tc>
          <w:tcPr>
            <w:tcW w:w="600" w:type="dxa"/>
            <w:vAlign w:val="bottom"/>
            <w:shd w:val="clear" w:color="auto" w:fill="2AD2C9"/>
          </w:tcPr>
          <w:p>
            <w:pPr>
              <w:jc w:val="right"/>
              <w:ind w:right="183"/>
              <w:spacing w:after="0" w:line="99" w:lineRule="exact"/>
              <w:rPr>
                <w:sz w:val="20"/>
                <w:szCs w:val="20"/>
                <w:color w:val="auto"/>
              </w:rPr>
            </w:pPr>
            <w:r>
              <w:rPr>
                <w:rFonts w:ascii="Arial" w:cs="Arial" w:eastAsia="Arial" w:hAnsi="Arial"/>
                <w:sz w:val="11"/>
                <w:szCs w:val="11"/>
                <w:b w:val="1"/>
                <w:bCs w:val="1"/>
                <w:color w:val="FFFFFF"/>
              </w:rPr>
              <w:t>3Q23</w:t>
            </w:r>
          </w:p>
        </w:tc>
        <w:tc>
          <w:tcPr>
            <w:tcW w:w="520" w:type="dxa"/>
            <w:vAlign w:val="bottom"/>
            <w:tcBorders>
              <w:right w:val="single" w:sz="8" w:color="auto"/>
            </w:tcBorders>
            <w:shd w:val="clear" w:color="auto" w:fill="2AD2C9"/>
          </w:tcPr>
          <w:p>
            <w:pPr>
              <w:spacing w:after="0"/>
              <w:rPr>
                <w:sz w:val="8"/>
                <w:szCs w:val="8"/>
                <w:color w:val="auto"/>
              </w:rPr>
            </w:pPr>
          </w:p>
        </w:tc>
        <w:tc>
          <w:tcPr>
            <w:tcW w:w="680" w:type="dxa"/>
            <w:vAlign w:val="bottom"/>
            <w:shd w:val="clear" w:color="auto" w:fill="2AD2C9"/>
          </w:tcPr>
          <w:p>
            <w:pPr>
              <w:spacing w:after="0"/>
              <w:rPr>
                <w:sz w:val="8"/>
                <w:szCs w:val="8"/>
                <w:color w:val="auto"/>
              </w:rPr>
            </w:pPr>
          </w:p>
        </w:tc>
        <w:tc>
          <w:tcPr>
            <w:tcW w:w="600" w:type="dxa"/>
            <w:vAlign w:val="bottom"/>
            <w:shd w:val="clear" w:color="auto" w:fill="2AD2C9"/>
          </w:tcPr>
          <w:p>
            <w:pPr>
              <w:jc w:val="right"/>
              <w:ind w:right="203"/>
              <w:spacing w:after="0" w:line="99" w:lineRule="exact"/>
              <w:rPr>
                <w:sz w:val="20"/>
                <w:szCs w:val="20"/>
                <w:color w:val="auto"/>
              </w:rPr>
            </w:pPr>
            <w:r>
              <w:rPr>
                <w:rFonts w:ascii="Arial" w:cs="Arial" w:eastAsia="Arial" w:hAnsi="Arial"/>
                <w:sz w:val="11"/>
                <w:szCs w:val="11"/>
                <w:b w:val="1"/>
                <w:bCs w:val="1"/>
                <w:color w:val="FFFFFF"/>
              </w:rPr>
              <w:t>4Q23</w:t>
            </w:r>
          </w:p>
        </w:tc>
        <w:tc>
          <w:tcPr>
            <w:tcW w:w="520" w:type="dxa"/>
            <w:vAlign w:val="bottom"/>
            <w:tcBorders>
              <w:right w:val="single" w:sz="8" w:color="auto"/>
            </w:tcBorders>
            <w:shd w:val="clear" w:color="auto" w:fill="2AD2C9"/>
          </w:tcPr>
          <w:p>
            <w:pPr>
              <w:spacing w:after="0"/>
              <w:rPr>
                <w:sz w:val="8"/>
                <w:szCs w:val="8"/>
                <w:color w:val="auto"/>
              </w:rPr>
            </w:pPr>
          </w:p>
        </w:tc>
      </w:tr>
      <w:tr>
        <w:trPr>
          <w:trHeight w:val="122"/>
        </w:trPr>
        <w:tc>
          <w:tcPr>
            <w:tcW w:w="2040" w:type="dxa"/>
            <w:vAlign w:val="bottom"/>
            <w:tcBorders>
              <w:left w:val="single" w:sz="8" w:color="auto"/>
              <w:right w:val="single" w:sz="8" w:color="auto"/>
            </w:tcBorders>
            <w:shd w:val="clear" w:color="auto" w:fill="2AD2C9"/>
          </w:tcPr>
          <w:p>
            <w:pPr>
              <w:ind w:left="40"/>
              <w:spacing w:after="0" w:line="122" w:lineRule="exact"/>
              <w:rPr>
                <w:sz w:val="20"/>
                <w:szCs w:val="20"/>
                <w:color w:val="auto"/>
              </w:rPr>
            </w:pPr>
            <w:r>
              <w:rPr>
                <w:rFonts w:ascii="Arial" w:cs="Arial" w:eastAsia="Arial" w:hAnsi="Arial"/>
                <w:sz w:val="11"/>
                <w:szCs w:val="11"/>
                <w:b w:val="1"/>
                <w:bCs w:val="1"/>
                <w:color w:val="FFFFFF"/>
              </w:rPr>
              <w:t>S/ millions</w:t>
            </w:r>
          </w:p>
        </w:tc>
        <w:tc>
          <w:tcPr>
            <w:tcW w:w="700" w:type="dxa"/>
            <w:vAlign w:val="bottom"/>
            <w:shd w:val="clear" w:color="auto" w:fill="2AD2C9"/>
          </w:tcPr>
          <w:p>
            <w:pPr>
              <w:jc w:val="right"/>
              <w:ind w:right="83"/>
              <w:spacing w:after="0" w:line="122" w:lineRule="exact"/>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2AD2C9"/>
          </w:tcPr>
          <w:p>
            <w:pPr>
              <w:spacing w:after="0"/>
              <w:rPr>
                <w:sz w:val="10"/>
                <w:szCs w:val="10"/>
                <w:color w:val="auto"/>
              </w:rPr>
            </w:pPr>
          </w:p>
        </w:tc>
        <w:tc>
          <w:tcPr>
            <w:tcW w:w="540" w:type="dxa"/>
            <w:vAlign w:val="bottom"/>
            <w:tcBorders>
              <w:right w:val="single" w:sz="8" w:color="auto"/>
            </w:tcBorders>
            <w:shd w:val="clear" w:color="auto" w:fill="2AD2C9"/>
          </w:tcPr>
          <w:p>
            <w:pPr>
              <w:spacing w:after="0"/>
              <w:rPr>
                <w:sz w:val="10"/>
                <w:szCs w:val="10"/>
                <w:color w:val="auto"/>
              </w:rPr>
            </w:pPr>
          </w:p>
        </w:tc>
        <w:tc>
          <w:tcPr>
            <w:tcW w:w="660" w:type="dxa"/>
            <w:vAlign w:val="bottom"/>
            <w:shd w:val="clear" w:color="auto" w:fill="2AD2C9"/>
          </w:tcPr>
          <w:p>
            <w:pPr>
              <w:jc w:val="right"/>
              <w:ind w:right="63"/>
              <w:spacing w:after="0" w:line="122" w:lineRule="exact"/>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2AD2C9"/>
          </w:tcPr>
          <w:p>
            <w:pPr>
              <w:spacing w:after="0"/>
              <w:rPr>
                <w:sz w:val="10"/>
                <w:szCs w:val="10"/>
                <w:color w:val="auto"/>
              </w:rPr>
            </w:pPr>
          </w:p>
        </w:tc>
        <w:tc>
          <w:tcPr>
            <w:tcW w:w="520" w:type="dxa"/>
            <w:vAlign w:val="bottom"/>
            <w:tcBorders>
              <w:right w:val="single" w:sz="8" w:color="auto"/>
            </w:tcBorders>
            <w:shd w:val="clear" w:color="auto" w:fill="2AD2C9"/>
          </w:tcPr>
          <w:p>
            <w:pPr>
              <w:spacing w:after="0"/>
              <w:rPr>
                <w:sz w:val="10"/>
                <w:szCs w:val="10"/>
                <w:color w:val="auto"/>
              </w:rPr>
            </w:pPr>
          </w:p>
        </w:tc>
        <w:tc>
          <w:tcPr>
            <w:tcW w:w="680" w:type="dxa"/>
            <w:vAlign w:val="bottom"/>
            <w:shd w:val="clear" w:color="auto" w:fill="2AD2C9"/>
          </w:tcPr>
          <w:p>
            <w:pPr>
              <w:jc w:val="right"/>
              <w:ind w:right="83"/>
              <w:spacing w:after="0" w:line="122" w:lineRule="exact"/>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2AD2C9"/>
          </w:tcPr>
          <w:p>
            <w:pPr>
              <w:spacing w:after="0"/>
              <w:rPr>
                <w:sz w:val="10"/>
                <w:szCs w:val="10"/>
                <w:color w:val="auto"/>
              </w:rPr>
            </w:pPr>
          </w:p>
        </w:tc>
        <w:tc>
          <w:tcPr>
            <w:tcW w:w="520" w:type="dxa"/>
            <w:vAlign w:val="bottom"/>
            <w:tcBorders>
              <w:right w:val="single" w:sz="8" w:color="auto"/>
            </w:tcBorders>
            <w:shd w:val="clear" w:color="auto" w:fill="2AD2C9"/>
          </w:tcPr>
          <w:p>
            <w:pPr>
              <w:spacing w:after="0"/>
              <w:rPr>
                <w:sz w:val="10"/>
                <w:szCs w:val="10"/>
                <w:color w:val="auto"/>
              </w:rPr>
            </w:pPr>
          </w:p>
        </w:tc>
      </w:tr>
      <w:tr>
        <w:trPr>
          <w:trHeight w:val="137"/>
        </w:trPr>
        <w:tc>
          <w:tcPr>
            <w:tcW w:w="204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700" w:type="dxa"/>
            <w:vAlign w:val="bottom"/>
            <w:tcBorders>
              <w:bottom w:val="single" w:sz="8" w:color="auto"/>
            </w:tcBorders>
            <w:shd w:val="clear" w:color="auto" w:fill="2AD2C9"/>
          </w:tcPr>
          <w:p>
            <w:pPr>
              <w:jc w:val="right"/>
              <w:ind w:right="10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63"/>
              <w:spacing w:after="0"/>
              <w:rPr>
                <w:sz w:val="20"/>
                <w:szCs w:val="20"/>
                <w:color w:val="auto"/>
              </w:rPr>
            </w:pPr>
            <w:r>
              <w:rPr>
                <w:rFonts w:ascii="Arial" w:cs="Arial" w:eastAsia="Arial" w:hAnsi="Arial"/>
                <w:sz w:val="11"/>
                <w:szCs w:val="11"/>
                <w:b w:val="1"/>
                <w:bCs w:val="1"/>
                <w:color w:val="FFFFFF"/>
              </w:rPr>
              <w:t>Expense</w:t>
            </w:r>
          </w:p>
        </w:tc>
        <w:tc>
          <w:tcPr>
            <w:tcW w:w="540" w:type="dxa"/>
            <w:vAlign w:val="bottom"/>
            <w:tcBorders>
              <w:bottom w:val="single" w:sz="8" w:color="auto"/>
              <w:right w:val="single" w:sz="8" w:color="auto"/>
            </w:tcBorders>
            <w:shd w:val="clear" w:color="auto" w:fill="2AD2C9"/>
          </w:tcPr>
          <w:p>
            <w:pPr>
              <w:jc w:val="right"/>
              <w:ind w:right="103"/>
              <w:spacing w:after="0"/>
              <w:rPr>
                <w:sz w:val="20"/>
                <w:szCs w:val="20"/>
                <w:color w:val="auto"/>
              </w:rPr>
            </w:pPr>
            <w:r>
              <w:rPr>
                <w:rFonts w:ascii="Arial" w:cs="Arial" w:eastAsia="Arial" w:hAnsi="Arial"/>
                <w:sz w:val="11"/>
                <w:szCs w:val="11"/>
                <w:b w:val="1"/>
                <w:bCs w:val="1"/>
                <w:color w:val="FFFFFF"/>
              </w:rPr>
              <w:t>Yields</w:t>
            </w:r>
          </w:p>
        </w:tc>
        <w:tc>
          <w:tcPr>
            <w:tcW w:w="66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43"/>
              <w:spacing w:after="0"/>
              <w:rPr>
                <w:sz w:val="20"/>
                <w:szCs w:val="20"/>
                <w:color w:val="auto"/>
              </w:rPr>
            </w:pPr>
            <w:r>
              <w:rPr>
                <w:rFonts w:ascii="Arial" w:cs="Arial" w:eastAsia="Arial" w:hAnsi="Arial"/>
                <w:sz w:val="11"/>
                <w:szCs w:val="11"/>
                <w:b w:val="1"/>
                <w:bCs w:val="1"/>
                <w:color w:val="FFFFFF"/>
              </w:rPr>
              <w:t>Expense</w:t>
            </w:r>
          </w:p>
        </w:tc>
        <w:tc>
          <w:tcPr>
            <w:tcW w:w="520" w:type="dxa"/>
            <w:vAlign w:val="bottom"/>
            <w:tcBorders>
              <w:bottom w:val="single" w:sz="8" w:color="auto"/>
              <w:right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Yields</w:t>
            </w:r>
          </w:p>
        </w:tc>
        <w:tc>
          <w:tcPr>
            <w:tcW w:w="68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63"/>
              <w:spacing w:after="0"/>
              <w:rPr>
                <w:sz w:val="20"/>
                <w:szCs w:val="20"/>
                <w:color w:val="auto"/>
              </w:rPr>
            </w:pPr>
            <w:r>
              <w:rPr>
                <w:rFonts w:ascii="Arial" w:cs="Arial" w:eastAsia="Arial" w:hAnsi="Arial"/>
                <w:sz w:val="11"/>
                <w:szCs w:val="11"/>
                <w:b w:val="1"/>
                <w:bCs w:val="1"/>
                <w:color w:val="FFFFFF"/>
              </w:rPr>
              <w:t>Expense</w:t>
            </w:r>
          </w:p>
        </w:tc>
        <w:tc>
          <w:tcPr>
            <w:tcW w:w="520" w:type="dxa"/>
            <w:vAlign w:val="bottom"/>
            <w:tcBorders>
              <w:bottom w:val="single" w:sz="8" w:color="auto"/>
              <w:right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Yields</w:t>
            </w:r>
          </w:p>
        </w:tc>
      </w:tr>
      <w:tr>
        <w:trPr>
          <w:trHeight w:val="99"/>
        </w:trPr>
        <w:tc>
          <w:tcPr>
            <w:tcW w:w="204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1"/>
                <w:szCs w:val="11"/>
                <w:color w:val="auto"/>
              </w:rPr>
              <w:t>Deposits</w:t>
            </w:r>
          </w:p>
        </w:tc>
        <w:tc>
          <w:tcPr>
            <w:tcW w:w="700" w:type="dxa"/>
            <w:vAlign w:val="bottom"/>
          </w:tcPr>
          <w:p>
            <w:pPr>
              <w:jc w:val="right"/>
              <w:spacing w:after="0" w:line="99" w:lineRule="exact"/>
              <w:rPr>
                <w:sz w:val="20"/>
                <w:szCs w:val="20"/>
                <w:color w:val="auto"/>
              </w:rPr>
            </w:pPr>
            <w:r>
              <w:rPr>
                <w:rFonts w:ascii="Arial" w:cs="Arial" w:eastAsia="Arial" w:hAnsi="Arial"/>
                <w:sz w:val="11"/>
                <w:szCs w:val="11"/>
                <w:color w:val="auto"/>
              </w:rPr>
              <w:t>149,906</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582</w:t>
            </w:r>
          </w:p>
        </w:tc>
        <w:tc>
          <w:tcPr>
            <w:tcW w:w="54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1.6%</w:t>
            </w:r>
          </w:p>
        </w:tc>
        <w:tc>
          <w:tcPr>
            <w:tcW w:w="660" w:type="dxa"/>
            <w:vAlign w:val="bottom"/>
          </w:tcPr>
          <w:p>
            <w:pPr>
              <w:jc w:val="right"/>
              <w:spacing w:after="0" w:line="99" w:lineRule="exact"/>
              <w:rPr>
                <w:sz w:val="20"/>
                <w:szCs w:val="20"/>
                <w:color w:val="auto"/>
              </w:rPr>
            </w:pPr>
            <w:r>
              <w:rPr>
                <w:rFonts w:ascii="Arial" w:cs="Arial" w:eastAsia="Arial" w:hAnsi="Arial"/>
                <w:sz w:val="11"/>
                <w:szCs w:val="11"/>
                <w:color w:val="auto"/>
              </w:rPr>
              <w:t>145,930</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860</w:t>
            </w:r>
          </w:p>
        </w:tc>
        <w:tc>
          <w:tcPr>
            <w:tcW w:w="52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2.4%</w:t>
            </w: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148,088</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827</w:t>
            </w:r>
          </w:p>
        </w:tc>
        <w:tc>
          <w:tcPr>
            <w:tcW w:w="52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2.2%</w:t>
            </w:r>
          </w:p>
        </w:tc>
      </w:tr>
      <w:tr>
        <w:trPr>
          <w:trHeight w:val="122"/>
        </w:trPr>
        <w:tc>
          <w:tcPr>
            <w:tcW w:w="204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BCRP + Due to Banks</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21,843</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240</w:t>
            </w:r>
          </w:p>
        </w:tc>
        <w:tc>
          <w:tcPr>
            <w:tcW w:w="5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4.4%</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20,972</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326</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6.2%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19,925</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297</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6.0%</w:t>
            </w:r>
          </w:p>
        </w:tc>
      </w:tr>
      <w:tr>
        <w:trPr>
          <w:trHeight w:val="122"/>
        </w:trPr>
        <w:tc>
          <w:tcPr>
            <w:tcW w:w="204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Bonds and Notes</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17,013</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171</w:t>
            </w:r>
          </w:p>
        </w:tc>
        <w:tc>
          <w:tcPr>
            <w:tcW w:w="5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4.0%</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14,575</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149</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4.1%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14,755</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153</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4.1%</w:t>
            </w:r>
          </w:p>
        </w:tc>
      </w:tr>
      <w:tr>
        <w:trPr>
          <w:trHeight w:val="137"/>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Others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1,079</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230</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46.9%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1,272</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230</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35.8%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1,201</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245</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41.8%</w:t>
            </w:r>
          </w:p>
        </w:tc>
      </w:tr>
      <w:tr>
        <w:trPr>
          <w:trHeight w:val="114"/>
        </w:trPr>
        <w:tc>
          <w:tcPr>
            <w:tcW w:w="204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b w:val="1"/>
                <w:bCs w:val="1"/>
                <w:color w:val="auto"/>
              </w:rPr>
              <w:t>Total Funding</w:t>
            </w: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190,661</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1,222</w:t>
            </w:r>
          </w:p>
        </w:tc>
        <w:tc>
          <w:tcPr>
            <w:tcW w:w="54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2.3%</w:t>
            </w:r>
          </w:p>
        </w:tc>
        <w:tc>
          <w:tcPr>
            <w:tcW w:w="6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183,805</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1,565</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3.2%</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185,182</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1,522</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3.0%</w:t>
            </w:r>
          </w:p>
        </w:tc>
      </w:tr>
      <w:tr>
        <w:trPr>
          <w:trHeight w:val="114"/>
        </w:trPr>
        <w:tc>
          <w:tcPr>
            <w:tcW w:w="204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color w:val="auto"/>
              </w:rPr>
              <w:t>Funding (LC)</w:t>
            </w: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50.8%</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58.6%</w:t>
            </w:r>
          </w:p>
        </w:tc>
        <w:tc>
          <w:tcPr>
            <w:tcW w:w="54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2.7%</w:t>
            </w:r>
          </w:p>
        </w:tc>
        <w:tc>
          <w:tcPr>
            <w:tcW w:w="6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50.9%</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59.8%</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3.7%</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50.2%</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55.9%</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3.3%</w:t>
            </w:r>
          </w:p>
        </w:tc>
      </w:tr>
      <w:tr>
        <w:trPr>
          <w:trHeight w:val="114"/>
        </w:trPr>
        <w:tc>
          <w:tcPr>
            <w:tcW w:w="204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color w:val="auto"/>
              </w:rPr>
              <w:t>Funding (FC)</w:t>
            </w: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49.2%</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41.4%</w:t>
            </w:r>
          </w:p>
        </w:tc>
        <w:tc>
          <w:tcPr>
            <w:tcW w:w="54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2.0%</w:t>
            </w:r>
          </w:p>
        </w:tc>
        <w:tc>
          <w:tcPr>
            <w:tcW w:w="6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49.1%</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40.2%</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2.6%</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49.8%</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44.1%</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2.7%</w:t>
            </w:r>
          </w:p>
        </w:tc>
      </w:tr>
      <w:tr>
        <w:trPr>
          <w:trHeight w:val="114"/>
        </w:trPr>
        <w:tc>
          <w:tcPr>
            <w:tcW w:w="20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14"/>
        </w:trPr>
        <w:tc>
          <w:tcPr>
            <w:tcW w:w="2040" w:type="dxa"/>
            <w:vAlign w:val="bottom"/>
            <w:tcBorders>
              <w:bottom w:val="single" w:sz="8" w:color="auto"/>
            </w:tcBorders>
          </w:tcPr>
          <w:p>
            <w:pPr>
              <w:ind w:left="40"/>
              <w:spacing w:after="0" w:line="114" w:lineRule="exact"/>
              <w:rPr>
                <w:sz w:val="20"/>
                <w:szCs w:val="20"/>
                <w:color w:val="auto"/>
              </w:rPr>
            </w:pPr>
            <w:r>
              <w:rPr>
                <w:rFonts w:ascii="Arial" w:cs="Arial" w:eastAsia="Arial" w:hAnsi="Arial"/>
                <w:sz w:val="11"/>
                <w:szCs w:val="11"/>
                <w:b w:val="1"/>
                <w:bCs w:val="1"/>
                <w:color w:val="auto"/>
              </w:rPr>
              <w:t>NIM</w:t>
            </w: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225,605</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3,140</w:t>
            </w:r>
          </w:p>
        </w:tc>
        <w:tc>
          <w:tcPr>
            <w:tcW w:w="5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5.6%</w:t>
            </w:r>
          </w:p>
        </w:tc>
        <w:tc>
          <w:tcPr>
            <w:tcW w:w="6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220,724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3,254</w:t>
            </w: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5.9%</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223,502</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3,348</w:t>
            </w: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6.0%</w:t>
            </w:r>
          </w:p>
        </w:tc>
      </w:tr>
      <w:tr>
        <w:trPr>
          <w:trHeight w:val="114"/>
        </w:trPr>
        <w:tc>
          <w:tcPr>
            <w:tcW w:w="2040" w:type="dxa"/>
            <w:vAlign w:val="bottom"/>
            <w:tcBorders>
              <w:bottom w:val="single" w:sz="8" w:color="auto"/>
            </w:tcBorders>
          </w:tcPr>
          <w:p>
            <w:pPr>
              <w:ind w:left="40"/>
              <w:spacing w:after="0" w:line="114" w:lineRule="exact"/>
              <w:rPr>
                <w:sz w:val="20"/>
                <w:szCs w:val="20"/>
                <w:color w:val="auto"/>
              </w:rPr>
            </w:pPr>
            <w:r>
              <w:rPr>
                <w:rFonts w:ascii="Arial" w:cs="Arial" w:eastAsia="Arial" w:hAnsi="Arial"/>
                <w:sz w:val="11"/>
                <w:szCs w:val="11"/>
                <w:color w:val="auto"/>
              </w:rPr>
              <w:t>NIM (LC)</w:t>
            </w: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56.6%</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78.7%</w:t>
            </w:r>
          </w:p>
        </w:tc>
        <w:tc>
          <w:tcPr>
            <w:tcW w:w="5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7.8%</w:t>
            </w:r>
          </w:p>
        </w:tc>
        <w:tc>
          <w:tcPr>
            <w:tcW w:w="6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57.7%</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76.8%</w:t>
            </w: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7.9%</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57.6%</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77.2%</w:t>
            </w: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8.0%</w:t>
            </w:r>
          </w:p>
        </w:tc>
      </w:tr>
      <w:tr>
        <w:trPr>
          <w:trHeight w:val="121"/>
        </w:trPr>
        <w:tc>
          <w:tcPr>
            <w:tcW w:w="2040" w:type="dxa"/>
            <w:vAlign w:val="bottom"/>
          </w:tcPr>
          <w:p>
            <w:pPr>
              <w:ind w:left="40"/>
              <w:spacing w:after="0" w:line="121" w:lineRule="exact"/>
              <w:rPr>
                <w:sz w:val="20"/>
                <w:szCs w:val="20"/>
                <w:color w:val="auto"/>
              </w:rPr>
            </w:pPr>
            <w:r>
              <w:rPr>
                <w:rFonts w:ascii="Arial" w:cs="Arial" w:eastAsia="Arial" w:hAnsi="Arial"/>
                <w:sz w:val="11"/>
                <w:szCs w:val="11"/>
                <w:color w:val="auto"/>
              </w:rPr>
              <w:t>NIM (FC)</w:t>
            </w: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43.4%</w:t>
            </w:r>
          </w:p>
        </w:tc>
        <w:tc>
          <w:tcPr>
            <w:tcW w:w="600" w:type="dxa"/>
            <w:vAlign w:val="bottom"/>
          </w:tcPr>
          <w:p>
            <w:pPr>
              <w:jc w:val="right"/>
              <w:ind w:right="3"/>
              <w:spacing w:after="0" w:line="121" w:lineRule="exact"/>
              <w:rPr>
                <w:sz w:val="20"/>
                <w:szCs w:val="20"/>
                <w:color w:val="auto"/>
              </w:rPr>
            </w:pPr>
            <w:r>
              <w:rPr>
                <w:rFonts w:ascii="Arial" w:cs="Arial" w:eastAsia="Arial" w:hAnsi="Arial"/>
                <w:sz w:val="11"/>
                <w:szCs w:val="11"/>
                <w:color w:val="auto"/>
              </w:rPr>
              <w:t>21.3%</w:t>
            </w: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2.7%</w:t>
            </w: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42.3%</w:t>
            </w:r>
          </w:p>
        </w:tc>
        <w:tc>
          <w:tcPr>
            <w:tcW w:w="600" w:type="dxa"/>
            <w:vAlign w:val="bottom"/>
          </w:tcPr>
          <w:p>
            <w:pPr>
              <w:jc w:val="right"/>
              <w:ind w:right="3"/>
              <w:spacing w:after="0" w:line="121" w:lineRule="exact"/>
              <w:rPr>
                <w:sz w:val="20"/>
                <w:szCs w:val="20"/>
                <w:color w:val="auto"/>
              </w:rPr>
            </w:pPr>
            <w:r>
              <w:rPr>
                <w:rFonts w:ascii="Arial" w:cs="Arial" w:eastAsia="Arial" w:hAnsi="Arial"/>
                <w:sz w:val="11"/>
                <w:szCs w:val="11"/>
                <w:color w:val="auto"/>
              </w:rPr>
              <w:t>23.2%</w:t>
            </w: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3.2%</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42.4%</w:t>
            </w:r>
          </w:p>
        </w:tc>
        <w:tc>
          <w:tcPr>
            <w:tcW w:w="600" w:type="dxa"/>
            <w:vAlign w:val="bottom"/>
          </w:tcPr>
          <w:p>
            <w:pPr>
              <w:jc w:val="right"/>
              <w:ind w:right="3"/>
              <w:spacing w:after="0" w:line="121" w:lineRule="exact"/>
              <w:rPr>
                <w:sz w:val="20"/>
                <w:szCs w:val="20"/>
                <w:color w:val="auto"/>
              </w:rPr>
            </w:pPr>
            <w:r>
              <w:rPr>
                <w:rFonts w:ascii="Arial" w:cs="Arial" w:eastAsia="Arial" w:hAnsi="Arial"/>
                <w:sz w:val="11"/>
                <w:szCs w:val="11"/>
                <w:color w:val="auto"/>
              </w:rPr>
              <w:t>22.8%</w:t>
            </w: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-259080</wp:posOffset>
            </wp:positionV>
            <wp:extent cx="4730115" cy="263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30115" cy="26352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(1) The yield calculation includes “Financial Expense associated with the insurance and reinsurance activity,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34"/>
        </w:trPr>
        <w:tc>
          <w:tcPr>
            <w:tcW w:w="680" w:type="dxa"/>
            <w:vAlign w:val="bottom"/>
            <w:tcBorders>
              <w:top w:val="single" w:sz="8" w:color="auto"/>
              <w:left w:val="single" w:sz="8" w:color="auto"/>
            </w:tcBorders>
            <w:vMerge w:val="restart"/>
            <w:shd w:val="clear" w:color="auto" w:fill="2AD2C9"/>
          </w:tcPr>
          <w:p>
            <w:pPr>
              <w:jc w:val="right"/>
              <w:ind w:right="63"/>
              <w:spacing w:after="0"/>
              <w:rPr>
                <w:sz w:val="20"/>
                <w:szCs w:val="20"/>
                <w:color w:val="auto"/>
              </w:rPr>
            </w:pPr>
            <w:r>
              <w:rPr>
                <w:rFonts w:ascii="Arial" w:cs="Arial" w:eastAsia="Arial" w:hAnsi="Arial"/>
                <w:sz w:val="11"/>
                <w:szCs w:val="11"/>
                <w:b w:val="1"/>
                <w:bCs w:val="1"/>
                <w:color w:val="FFFFFF"/>
              </w:rPr>
              <w:t>Average</w:t>
            </w:r>
          </w:p>
        </w:tc>
        <w:tc>
          <w:tcPr>
            <w:tcW w:w="600" w:type="dxa"/>
            <w:vAlign w:val="bottom"/>
            <w:tcBorders>
              <w:top w:val="single" w:sz="8" w:color="auto"/>
            </w:tcBorders>
            <w:shd w:val="clear" w:color="auto" w:fill="2AD2C9"/>
          </w:tcPr>
          <w:p>
            <w:pPr>
              <w:jc w:val="right"/>
              <w:ind w:right="203"/>
              <w:spacing w:after="0"/>
              <w:rPr>
                <w:sz w:val="20"/>
                <w:szCs w:val="20"/>
                <w:color w:val="auto"/>
              </w:rPr>
            </w:pPr>
            <w:r>
              <w:rPr>
                <w:rFonts w:ascii="Arial" w:cs="Arial" w:eastAsia="Arial" w:hAnsi="Arial"/>
                <w:sz w:val="11"/>
                <w:szCs w:val="11"/>
                <w:b w:val="1"/>
                <w:bCs w:val="1"/>
                <w:color w:val="FFFFFF"/>
              </w:rPr>
              <w:t>2022</w:t>
            </w:r>
          </w:p>
        </w:tc>
        <w:tc>
          <w:tcPr>
            <w:tcW w:w="520" w:type="dxa"/>
            <w:vAlign w:val="bottom"/>
            <w:tcBorders>
              <w:top w:val="single" w:sz="8" w:color="auto"/>
              <w:right w:val="single" w:sz="8" w:color="auto"/>
            </w:tcBorders>
            <w:shd w:val="clear" w:color="auto" w:fill="2AD2C9"/>
          </w:tcPr>
          <w:p>
            <w:pPr>
              <w:spacing w:after="0"/>
              <w:rPr>
                <w:sz w:val="11"/>
                <w:szCs w:val="11"/>
                <w:color w:val="auto"/>
              </w:rPr>
            </w:pPr>
          </w:p>
        </w:tc>
        <w:tc>
          <w:tcPr>
            <w:tcW w:w="680" w:type="dxa"/>
            <w:vAlign w:val="bottom"/>
            <w:tcBorders>
              <w:top w:val="single" w:sz="8" w:color="auto"/>
            </w:tcBorders>
            <w:vMerge w:val="restart"/>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Average</w:t>
            </w:r>
          </w:p>
        </w:tc>
        <w:tc>
          <w:tcPr>
            <w:tcW w:w="600" w:type="dxa"/>
            <w:vAlign w:val="bottom"/>
            <w:tcBorders>
              <w:top w:val="single" w:sz="8" w:color="auto"/>
            </w:tcBorders>
            <w:shd w:val="clear" w:color="auto" w:fill="2AD2C9"/>
          </w:tcPr>
          <w:p>
            <w:pPr>
              <w:jc w:val="right"/>
              <w:ind w:right="203"/>
              <w:spacing w:after="0"/>
              <w:rPr>
                <w:sz w:val="20"/>
                <w:szCs w:val="20"/>
                <w:color w:val="auto"/>
              </w:rPr>
            </w:pPr>
            <w:r>
              <w:rPr>
                <w:rFonts w:ascii="Arial" w:cs="Arial" w:eastAsia="Arial" w:hAnsi="Arial"/>
                <w:sz w:val="11"/>
                <w:szCs w:val="11"/>
                <w:b w:val="1"/>
                <w:bCs w:val="1"/>
                <w:color w:val="FFFFFF"/>
              </w:rPr>
              <w:t>2023</w:t>
            </w:r>
          </w:p>
        </w:tc>
        <w:tc>
          <w:tcPr>
            <w:tcW w:w="520" w:type="dxa"/>
            <w:vAlign w:val="bottom"/>
            <w:tcBorders>
              <w:top w:val="single" w:sz="8" w:color="auto"/>
              <w:right w:val="single" w:sz="8" w:color="auto"/>
            </w:tcBorders>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80" w:type="dxa"/>
            <w:vAlign w:val="bottom"/>
            <w:tcBorders>
              <w:left w:val="single" w:sz="8" w:color="auto"/>
            </w:tcBorders>
            <w:vMerge w:val="continue"/>
            <w:shd w:val="clear" w:color="auto" w:fill="2AD2C9"/>
          </w:tcPr>
          <w:p>
            <w:pPr>
              <w:spacing w:after="0"/>
              <w:rPr>
                <w:sz w:val="9"/>
                <w:szCs w:val="9"/>
                <w:color w:val="auto"/>
              </w:rPr>
            </w:pPr>
          </w:p>
        </w:tc>
        <w:tc>
          <w:tcPr>
            <w:tcW w:w="600" w:type="dxa"/>
            <w:vAlign w:val="bottom"/>
            <w:shd w:val="clear" w:color="auto" w:fill="2AD2C9"/>
          </w:tcPr>
          <w:p>
            <w:pPr>
              <w:spacing w:after="0"/>
              <w:rPr>
                <w:sz w:val="9"/>
                <w:szCs w:val="9"/>
                <w:color w:val="auto"/>
              </w:rPr>
            </w:pPr>
          </w:p>
        </w:tc>
        <w:tc>
          <w:tcPr>
            <w:tcW w:w="520" w:type="dxa"/>
            <w:vAlign w:val="bottom"/>
            <w:tcBorders>
              <w:right w:val="single" w:sz="8" w:color="auto"/>
            </w:tcBorders>
            <w:shd w:val="clear" w:color="auto" w:fill="2AD2C9"/>
          </w:tcPr>
          <w:p>
            <w:pPr>
              <w:spacing w:after="0"/>
              <w:rPr>
                <w:sz w:val="9"/>
                <w:szCs w:val="9"/>
                <w:color w:val="auto"/>
              </w:rPr>
            </w:pPr>
          </w:p>
        </w:tc>
        <w:tc>
          <w:tcPr>
            <w:tcW w:w="680" w:type="dxa"/>
            <w:vAlign w:val="bottom"/>
            <w:vMerge w:val="continue"/>
            <w:shd w:val="clear" w:color="auto" w:fill="2AD2C9"/>
          </w:tcPr>
          <w:p>
            <w:pPr>
              <w:spacing w:after="0"/>
              <w:rPr>
                <w:sz w:val="9"/>
                <w:szCs w:val="9"/>
                <w:color w:val="auto"/>
              </w:rPr>
            </w:pPr>
          </w:p>
        </w:tc>
        <w:tc>
          <w:tcPr>
            <w:tcW w:w="600" w:type="dxa"/>
            <w:vAlign w:val="bottom"/>
            <w:shd w:val="clear" w:color="auto" w:fill="2AD2C9"/>
          </w:tcPr>
          <w:p>
            <w:pPr>
              <w:spacing w:after="0"/>
              <w:rPr>
                <w:sz w:val="9"/>
                <w:szCs w:val="9"/>
                <w:color w:val="auto"/>
              </w:rPr>
            </w:pPr>
          </w:p>
        </w:tc>
        <w:tc>
          <w:tcPr>
            <w:tcW w:w="520" w:type="dxa"/>
            <w:vAlign w:val="bottom"/>
            <w:tcBorders>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80" w:type="dxa"/>
            <w:vAlign w:val="bottom"/>
            <w:tcBorders>
              <w:left w:val="single" w:sz="8" w:color="auto"/>
              <w:bottom w:val="single" w:sz="8" w:color="auto"/>
            </w:tcBorders>
            <w:shd w:val="clear" w:color="auto" w:fill="2AD2C9"/>
          </w:tcPr>
          <w:p>
            <w:pPr>
              <w:jc w:val="right"/>
              <w:ind w:right="6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Income</w:t>
            </w:r>
          </w:p>
        </w:tc>
        <w:tc>
          <w:tcPr>
            <w:tcW w:w="520" w:type="dxa"/>
            <w:vAlign w:val="bottom"/>
            <w:tcBorders>
              <w:bottom w:val="single" w:sz="8" w:color="auto"/>
              <w:right w:val="single" w:sz="8" w:color="auto"/>
            </w:tcBorders>
            <w:shd w:val="clear" w:color="auto" w:fill="2AD2C9"/>
          </w:tcPr>
          <w:p>
            <w:pPr>
              <w:jc w:val="right"/>
              <w:ind w:right="63"/>
              <w:spacing w:after="0"/>
              <w:rPr>
                <w:sz w:val="20"/>
                <w:szCs w:val="20"/>
                <w:color w:val="auto"/>
              </w:rPr>
            </w:pPr>
            <w:r>
              <w:rPr>
                <w:rFonts w:ascii="Arial" w:cs="Arial" w:eastAsia="Arial" w:hAnsi="Arial"/>
                <w:sz w:val="11"/>
                <w:szCs w:val="11"/>
                <w:b w:val="1"/>
                <w:bCs w:val="1"/>
                <w:color w:val="FFFFFF"/>
              </w:rPr>
              <w:t>Yields</w:t>
            </w:r>
          </w:p>
        </w:tc>
        <w:tc>
          <w:tcPr>
            <w:tcW w:w="68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Income</w:t>
            </w:r>
          </w:p>
        </w:tc>
        <w:tc>
          <w:tcPr>
            <w:tcW w:w="520" w:type="dxa"/>
            <w:vAlign w:val="bottom"/>
            <w:tcBorders>
              <w:bottom w:val="single" w:sz="8" w:color="auto"/>
              <w:right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Yields</w:t>
            </w:r>
          </w:p>
        </w:tc>
        <w:tc>
          <w:tcPr>
            <w:tcW w:w="0" w:type="dxa"/>
            <w:vAlign w:val="bottom"/>
          </w:tcPr>
          <w:p>
            <w:pPr>
              <w:spacing w:after="0"/>
              <w:rPr>
                <w:sz w:val="1"/>
                <w:szCs w:val="1"/>
                <w:color w:val="auto"/>
              </w:rPr>
            </w:pPr>
          </w:p>
        </w:tc>
      </w:tr>
      <w:tr>
        <w:trPr>
          <w:trHeight w:val="99"/>
        </w:trPr>
        <w:tc>
          <w:tcPr>
            <w:tcW w:w="680" w:type="dxa"/>
            <w:vAlign w:val="bottom"/>
            <w:tcBorders>
              <w:left w:val="single" w:sz="8" w:color="auto"/>
            </w:tcBorders>
          </w:tcPr>
          <w:p>
            <w:pPr>
              <w:jc w:val="right"/>
              <w:spacing w:after="0" w:line="99" w:lineRule="exact"/>
              <w:rPr>
                <w:sz w:val="20"/>
                <w:szCs w:val="20"/>
                <w:color w:val="auto"/>
              </w:rPr>
            </w:pPr>
            <w:r>
              <w:rPr>
                <w:rFonts w:ascii="Arial" w:cs="Arial" w:eastAsia="Arial" w:hAnsi="Arial"/>
                <w:sz w:val="11"/>
                <w:szCs w:val="11"/>
                <w:color w:val="auto"/>
              </w:rPr>
              <w:t>29,646</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463</w:t>
            </w:r>
          </w:p>
        </w:tc>
        <w:tc>
          <w:tcPr>
            <w:tcW w:w="52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1.6%</w:t>
            </w: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26,316</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1,133</w:t>
            </w:r>
          </w:p>
        </w:tc>
        <w:tc>
          <w:tcPr>
            <w:tcW w:w="52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2"/>
        </w:trPr>
        <w:tc>
          <w:tcPr>
            <w:tcW w:w="680" w:type="dxa"/>
            <w:vAlign w:val="bottom"/>
            <w:tcBorders>
              <w:left w:val="single" w:sz="8" w:color="auto"/>
            </w:tcBorders>
          </w:tcPr>
          <w:p>
            <w:pPr>
              <w:jc w:val="right"/>
              <w:spacing w:after="0" w:line="122" w:lineRule="exact"/>
              <w:rPr>
                <w:sz w:val="20"/>
                <w:szCs w:val="20"/>
                <w:color w:val="auto"/>
              </w:rPr>
            </w:pPr>
            <w:r>
              <w:rPr>
                <w:rFonts w:ascii="Arial" w:cs="Arial" w:eastAsia="Arial" w:hAnsi="Arial"/>
                <w:sz w:val="11"/>
                <w:szCs w:val="11"/>
                <w:color w:val="auto"/>
              </w:rPr>
              <w:t>1,434</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94</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6.6%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1,256</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85</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22"/>
        </w:trPr>
        <w:tc>
          <w:tcPr>
            <w:tcW w:w="680" w:type="dxa"/>
            <w:vAlign w:val="bottom"/>
            <w:tcBorders>
              <w:left w:val="single" w:sz="8" w:color="auto"/>
            </w:tcBorders>
          </w:tcPr>
          <w:p>
            <w:pPr>
              <w:jc w:val="right"/>
              <w:spacing w:after="0" w:line="122" w:lineRule="exact"/>
              <w:rPr>
                <w:sz w:val="20"/>
                <w:szCs w:val="20"/>
                <w:color w:val="auto"/>
              </w:rPr>
            </w:pPr>
            <w:r>
              <w:rPr>
                <w:rFonts w:ascii="Arial" w:cs="Arial" w:eastAsia="Arial" w:hAnsi="Arial"/>
                <w:sz w:val="11"/>
                <w:szCs w:val="11"/>
                <w:color w:val="auto"/>
              </w:rPr>
              <w:t>47,192</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2,035</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4.3%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48,823</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2,535</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22"/>
        </w:trPr>
        <w:tc>
          <w:tcPr>
            <w:tcW w:w="680" w:type="dxa"/>
            <w:vAlign w:val="bottom"/>
            <w:tcBorders>
              <w:left w:val="single" w:sz="8" w:color="auto"/>
            </w:tcBorders>
          </w:tcPr>
          <w:p>
            <w:pPr>
              <w:jc w:val="right"/>
              <w:spacing w:after="0" w:line="122" w:lineRule="exact"/>
              <w:rPr>
                <w:sz w:val="20"/>
                <w:szCs w:val="20"/>
                <w:color w:val="auto"/>
              </w:rPr>
            </w:pPr>
            <w:r>
              <w:rPr>
                <w:rFonts w:ascii="Arial" w:cs="Arial" w:eastAsia="Arial" w:hAnsi="Arial"/>
                <w:sz w:val="11"/>
                <w:szCs w:val="11"/>
                <w:color w:val="auto"/>
              </w:rPr>
              <w:t>148,112</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12,419</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8.4%</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146,801</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15,045</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22"/>
        </w:trPr>
        <w:tc>
          <w:tcPr>
            <w:tcW w:w="680" w:type="dxa"/>
            <w:vAlign w:val="bottom"/>
            <w:tcBorders>
              <w:left w:val="single" w:sz="8" w:color="auto"/>
            </w:tcBorders>
          </w:tcPr>
          <w:p>
            <w:pPr>
              <w:jc w:val="right"/>
              <w:spacing w:after="0" w:line="122" w:lineRule="exact"/>
              <w:rPr>
                <w:sz w:val="20"/>
                <w:szCs w:val="20"/>
                <w:color w:val="auto"/>
              </w:rPr>
            </w:pPr>
            <w:r>
              <w:rPr>
                <w:rFonts w:ascii="Arial" w:cs="Arial" w:eastAsia="Arial" w:hAnsi="Arial"/>
                <w:sz w:val="11"/>
                <w:szCs w:val="11"/>
                <w:color w:val="auto"/>
              </w:rPr>
              <w:t>134,021</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12,184</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9.1%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140,248</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14,891</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37"/>
        </w:trPr>
        <w:tc>
          <w:tcPr>
            <w:tcW w:w="6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14,090</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235</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6,553</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154</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226,384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15,011</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6.6%</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223,197</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18,798</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8.4%</w:t>
            </w: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56.8%</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76.0%</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8.9%</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57.4%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71.1%</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43.2%</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24.0%</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3.7%</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42.6%</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28.9%</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75"/>
        </w:trPr>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80" w:type="dxa"/>
            <w:vAlign w:val="bottom"/>
            <w:tcBorders>
              <w:left w:val="single" w:sz="8" w:color="auto"/>
            </w:tcBorders>
            <w:vMerge w:val="restart"/>
            <w:shd w:val="clear" w:color="auto" w:fill="2AD2C9"/>
          </w:tcPr>
          <w:p>
            <w:pPr>
              <w:jc w:val="right"/>
              <w:ind w:right="63"/>
              <w:spacing w:after="0"/>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2AD2C9"/>
          </w:tcPr>
          <w:p>
            <w:pPr>
              <w:jc w:val="right"/>
              <w:ind w:right="203"/>
              <w:spacing w:after="0" w:line="114" w:lineRule="exact"/>
              <w:rPr>
                <w:sz w:val="20"/>
                <w:szCs w:val="20"/>
                <w:color w:val="auto"/>
              </w:rPr>
            </w:pPr>
            <w:r>
              <w:rPr>
                <w:rFonts w:ascii="Arial" w:cs="Arial" w:eastAsia="Arial" w:hAnsi="Arial"/>
                <w:sz w:val="11"/>
                <w:szCs w:val="11"/>
                <w:b w:val="1"/>
                <w:bCs w:val="1"/>
                <w:color w:val="FFFFFF"/>
              </w:rPr>
              <w:t>2022</w:t>
            </w:r>
          </w:p>
        </w:tc>
        <w:tc>
          <w:tcPr>
            <w:tcW w:w="520" w:type="dxa"/>
            <w:vAlign w:val="bottom"/>
            <w:tcBorders>
              <w:right w:val="single" w:sz="8" w:color="auto"/>
            </w:tcBorders>
            <w:shd w:val="clear" w:color="auto" w:fill="2AD2C9"/>
          </w:tcPr>
          <w:p>
            <w:pPr>
              <w:spacing w:after="0"/>
              <w:rPr>
                <w:sz w:val="9"/>
                <w:szCs w:val="9"/>
                <w:color w:val="auto"/>
              </w:rPr>
            </w:pPr>
          </w:p>
        </w:tc>
        <w:tc>
          <w:tcPr>
            <w:tcW w:w="680" w:type="dxa"/>
            <w:vAlign w:val="bottom"/>
            <w:shd w:val="clear" w:color="auto" w:fill="2AD2C9"/>
          </w:tcPr>
          <w:p>
            <w:pPr>
              <w:spacing w:after="0"/>
              <w:rPr>
                <w:sz w:val="9"/>
                <w:szCs w:val="9"/>
                <w:color w:val="auto"/>
              </w:rPr>
            </w:pPr>
          </w:p>
        </w:tc>
        <w:tc>
          <w:tcPr>
            <w:tcW w:w="600" w:type="dxa"/>
            <w:vAlign w:val="bottom"/>
            <w:shd w:val="clear" w:color="auto" w:fill="2AD2C9"/>
          </w:tcPr>
          <w:p>
            <w:pPr>
              <w:jc w:val="right"/>
              <w:ind w:right="203"/>
              <w:spacing w:after="0" w:line="114" w:lineRule="exact"/>
              <w:rPr>
                <w:sz w:val="20"/>
                <w:szCs w:val="20"/>
                <w:color w:val="auto"/>
              </w:rPr>
            </w:pPr>
            <w:r>
              <w:rPr>
                <w:rFonts w:ascii="Arial" w:cs="Arial" w:eastAsia="Arial" w:hAnsi="Arial"/>
                <w:sz w:val="11"/>
                <w:szCs w:val="11"/>
                <w:b w:val="1"/>
                <w:bCs w:val="1"/>
                <w:color w:val="FFFFFF"/>
              </w:rPr>
              <w:t>2023</w:t>
            </w:r>
          </w:p>
        </w:tc>
        <w:tc>
          <w:tcPr>
            <w:tcW w:w="520" w:type="dxa"/>
            <w:vAlign w:val="bottom"/>
            <w:tcBorders>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80" w:type="dxa"/>
            <w:vAlign w:val="bottom"/>
            <w:tcBorders>
              <w:left w:val="single" w:sz="8" w:color="auto"/>
            </w:tcBorders>
            <w:vMerge w:val="continue"/>
            <w:shd w:val="clear" w:color="auto" w:fill="2AD2C9"/>
          </w:tcPr>
          <w:p>
            <w:pPr>
              <w:spacing w:after="0"/>
              <w:rPr>
                <w:sz w:val="9"/>
                <w:szCs w:val="9"/>
                <w:color w:val="auto"/>
              </w:rPr>
            </w:pPr>
          </w:p>
        </w:tc>
        <w:tc>
          <w:tcPr>
            <w:tcW w:w="600" w:type="dxa"/>
            <w:vAlign w:val="bottom"/>
            <w:shd w:val="clear" w:color="auto" w:fill="2AD2C9"/>
          </w:tcPr>
          <w:p>
            <w:pPr>
              <w:spacing w:after="0"/>
              <w:rPr>
                <w:sz w:val="9"/>
                <w:szCs w:val="9"/>
                <w:color w:val="auto"/>
              </w:rPr>
            </w:pPr>
          </w:p>
        </w:tc>
        <w:tc>
          <w:tcPr>
            <w:tcW w:w="520" w:type="dxa"/>
            <w:vAlign w:val="bottom"/>
            <w:tcBorders>
              <w:right w:val="single" w:sz="8" w:color="auto"/>
            </w:tcBorders>
            <w:shd w:val="clear" w:color="auto" w:fill="2AD2C9"/>
          </w:tcPr>
          <w:p>
            <w:pPr>
              <w:spacing w:after="0"/>
              <w:rPr>
                <w:sz w:val="9"/>
                <w:szCs w:val="9"/>
                <w:color w:val="auto"/>
              </w:rPr>
            </w:pPr>
          </w:p>
        </w:tc>
        <w:tc>
          <w:tcPr>
            <w:tcW w:w="680" w:type="dxa"/>
            <w:vAlign w:val="bottom"/>
            <w:shd w:val="clear" w:color="auto" w:fill="2AD2C9"/>
          </w:tcPr>
          <w:p>
            <w:pPr>
              <w:jc w:val="right"/>
              <w:ind w:right="83"/>
              <w:spacing w:after="0" w:line="107" w:lineRule="exact"/>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2AD2C9"/>
          </w:tcPr>
          <w:p>
            <w:pPr>
              <w:spacing w:after="0"/>
              <w:rPr>
                <w:sz w:val="9"/>
                <w:szCs w:val="9"/>
                <w:color w:val="auto"/>
              </w:rPr>
            </w:pPr>
          </w:p>
        </w:tc>
        <w:tc>
          <w:tcPr>
            <w:tcW w:w="520" w:type="dxa"/>
            <w:vAlign w:val="bottom"/>
            <w:tcBorders>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80" w:type="dxa"/>
            <w:vAlign w:val="bottom"/>
            <w:tcBorders>
              <w:left w:val="single" w:sz="8" w:color="auto"/>
              <w:bottom w:val="single" w:sz="8" w:color="auto"/>
            </w:tcBorders>
            <w:shd w:val="clear" w:color="auto" w:fill="2AD2C9"/>
          </w:tcPr>
          <w:p>
            <w:pPr>
              <w:jc w:val="right"/>
              <w:ind w:right="6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43"/>
              <w:spacing w:after="0"/>
              <w:rPr>
                <w:sz w:val="20"/>
                <w:szCs w:val="20"/>
                <w:color w:val="auto"/>
              </w:rPr>
            </w:pPr>
            <w:r>
              <w:rPr>
                <w:rFonts w:ascii="Arial" w:cs="Arial" w:eastAsia="Arial" w:hAnsi="Arial"/>
                <w:sz w:val="11"/>
                <w:szCs w:val="11"/>
                <w:b w:val="1"/>
                <w:bCs w:val="1"/>
                <w:color w:val="FFFFFF"/>
              </w:rPr>
              <w:t>Expense</w:t>
            </w:r>
          </w:p>
        </w:tc>
        <w:tc>
          <w:tcPr>
            <w:tcW w:w="520" w:type="dxa"/>
            <w:vAlign w:val="bottom"/>
            <w:tcBorders>
              <w:bottom w:val="single" w:sz="8" w:color="auto"/>
              <w:right w:val="single" w:sz="8" w:color="auto"/>
            </w:tcBorders>
            <w:shd w:val="clear" w:color="auto" w:fill="2AD2C9"/>
          </w:tcPr>
          <w:p>
            <w:pPr>
              <w:jc w:val="right"/>
              <w:ind w:right="63"/>
              <w:spacing w:after="0"/>
              <w:rPr>
                <w:sz w:val="20"/>
                <w:szCs w:val="20"/>
                <w:color w:val="auto"/>
              </w:rPr>
            </w:pPr>
            <w:r>
              <w:rPr>
                <w:rFonts w:ascii="Arial" w:cs="Arial" w:eastAsia="Arial" w:hAnsi="Arial"/>
                <w:sz w:val="11"/>
                <w:szCs w:val="11"/>
                <w:b w:val="1"/>
                <w:bCs w:val="1"/>
                <w:color w:val="FFFFFF"/>
              </w:rPr>
              <w:t>Yields</w:t>
            </w:r>
          </w:p>
        </w:tc>
        <w:tc>
          <w:tcPr>
            <w:tcW w:w="680" w:type="dxa"/>
            <w:vAlign w:val="bottom"/>
            <w:tcBorders>
              <w:bottom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2AD2C9"/>
          </w:tcPr>
          <w:p>
            <w:pPr>
              <w:jc w:val="right"/>
              <w:ind w:right="43"/>
              <w:spacing w:after="0"/>
              <w:rPr>
                <w:sz w:val="20"/>
                <w:szCs w:val="20"/>
                <w:color w:val="auto"/>
              </w:rPr>
            </w:pPr>
            <w:r>
              <w:rPr>
                <w:rFonts w:ascii="Arial" w:cs="Arial" w:eastAsia="Arial" w:hAnsi="Arial"/>
                <w:sz w:val="11"/>
                <w:szCs w:val="11"/>
                <w:b w:val="1"/>
                <w:bCs w:val="1"/>
                <w:color w:val="FFFFFF"/>
              </w:rPr>
              <w:t>Expense</w:t>
            </w:r>
          </w:p>
        </w:tc>
        <w:tc>
          <w:tcPr>
            <w:tcW w:w="520" w:type="dxa"/>
            <w:vAlign w:val="bottom"/>
            <w:tcBorders>
              <w:bottom w:val="single" w:sz="8" w:color="auto"/>
              <w:right w:val="single" w:sz="8" w:color="auto"/>
            </w:tcBorders>
            <w:shd w:val="clear" w:color="auto" w:fill="2AD2C9"/>
          </w:tcPr>
          <w:p>
            <w:pPr>
              <w:jc w:val="right"/>
              <w:ind w:right="83"/>
              <w:spacing w:after="0"/>
              <w:rPr>
                <w:sz w:val="20"/>
                <w:szCs w:val="20"/>
                <w:color w:val="auto"/>
              </w:rPr>
            </w:pPr>
            <w:r>
              <w:rPr>
                <w:rFonts w:ascii="Arial" w:cs="Arial" w:eastAsia="Arial" w:hAnsi="Arial"/>
                <w:sz w:val="11"/>
                <w:szCs w:val="11"/>
                <w:b w:val="1"/>
                <w:bCs w:val="1"/>
                <w:color w:val="FFFFFF"/>
              </w:rPr>
              <w:t>Yields</w:t>
            </w:r>
          </w:p>
        </w:tc>
        <w:tc>
          <w:tcPr>
            <w:tcW w:w="0" w:type="dxa"/>
            <w:vAlign w:val="bottom"/>
          </w:tcPr>
          <w:p>
            <w:pPr>
              <w:spacing w:after="0"/>
              <w:rPr>
                <w:sz w:val="1"/>
                <w:szCs w:val="1"/>
                <w:color w:val="auto"/>
              </w:rPr>
            </w:pPr>
          </w:p>
        </w:tc>
      </w:tr>
      <w:tr>
        <w:trPr>
          <w:trHeight w:val="99"/>
        </w:trPr>
        <w:tc>
          <w:tcPr>
            <w:tcW w:w="680" w:type="dxa"/>
            <w:vAlign w:val="bottom"/>
            <w:tcBorders>
              <w:left w:val="single" w:sz="8" w:color="auto"/>
            </w:tcBorders>
          </w:tcPr>
          <w:p>
            <w:pPr>
              <w:jc w:val="right"/>
              <w:spacing w:after="0" w:line="99" w:lineRule="exact"/>
              <w:rPr>
                <w:sz w:val="20"/>
                <w:szCs w:val="20"/>
                <w:color w:val="auto"/>
              </w:rPr>
            </w:pPr>
            <w:r>
              <w:rPr>
                <w:rFonts w:ascii="Arial" w:cs="Arial" w:eastAsia="Arial" w:hAnsi="Arial"/>
                <w:sz w:val="11"/>
                <w:szCs w:val="11"/>
                <w:color w:val="auto"/>
              </w:rPr>
              <w:t>150,064</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1,688</w:t>
            </w:r>
          </w:p>
        </w:tc>
        <w:tc>
          <w:tcPr>
            <w:tcW w:w="52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1.1%</w:t>
            </w: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147,363</w:t>
            </w:r>
          </w:p>
        </w:tc>
        <w:tc>
          <w:tcPr>
            <w:tcW w:w="600" w:type="dxa"/>
            <w:vAlign w:val="bottom"/>
          </w:tcPr>
          <w:p>
            <w:pPr>
              <w:jc w:val="right"/>
              <w:ind w:right="3"/>
              <w:spacing w:after="0" w:line="99" w:lineRule="exact"/>
              <w:rPr>
                <w:sz w:val="20"/>
                <w:szCs w:val="20"/>
                <w:color w:val="auto"/>
              </w:rPr>
            </w:pPr>
            <w:r>
              <w:rPr>
                <w:rFonts w:ascii="Arial" w:cs="Arial" w:eastAsia="Arial" w:hAnsi="Arial"/>
                <w:sz w:val="11"/>
                <w:szCs w:val="11"/>
                <w:color w:val="auto"/>
              </w:rPr>
              <w:t>3,141</w:t>
            </w:r>
          </w:p>
        </w:tc>
        <w:tc>
          <w:tcPr>
            <w:tcW w:w="520" w:type="dxa"/>
            <w:vAlign w:val="bottom"/>
            <w:tcBorders>
              <w:right w:val="single" w:sz="8" w:color="auto"/>
            </w:tcBorders>
          </w:tcPr>
          <w:p>
            <w:pPr>
              <w:jc w:val="right"/>
              <w:spacing w:after="0" w:line="99" w:lineRule="exact"/>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22"/>
        </w:trPr>
        <w:tc>
          <w:tcPr>
            <w:tcW w:w="680" w:type="dxa"/>
            <w:vAlign w:val="bottom"/>
            <w:tcBorders>
              <w:left w:val="single" w:sz="8" w:color="auto"/>
            </w:tcBorders>
          </w:tcPr>
          <w:p>
            <w:pPr>
              <w:jc w:val="right"/>
              <w:spacing w:after="0" w:line="122" w:lineRule="exact"/>
              <w:rPr>
                <w:sz w:val="20"/>
                <w:szCs w:val="20"/>
                <w:color w:val="auto"/>
              </w:rPr>
            </w:pPr>
            <w:r>
              <w:rPr>
                <w:rFonts w:ascii="Arial" w:cs="Arial" w:eastAsia="Arial" w:hAnsi="Arial"/>
                <w:sz w:val="11"/>
                <w:szCs w:val="11"/>
                <w:color w:val="auto"/>
              </w:rPr>
              <w:t>23,452</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683</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2.9%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19,988</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1,159</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22"/>
        </w:trPr>
        <w:tc>
          <w:tcPr>
            <w:tcW w:w="680" w:type="dxa"/>
            <w:vAlign w:val="bottom"/>
            <w:tcBorders>
              <w:left w:val="single" w:sz="8" w:color="auto"/>
            </w:tcBorders>
          </w:tcPr>
          <w:p>
            <w:pPr>
              <w:jc w:val="right"/>
              <w:spacing w:after="0" w:line="122" w:lineRule="exact"/>
              <w:rPr>
                <w:sz w:val="20"/>
                <w:szCs w:val="20"/>
                <w:color w:val="auto"/>
              </w:rPr>
            </w:pPr>
            <w:r>
              <w:rPr>
                <w:rFonts w:ascii="Arial" w:cs="Arial" w:eastAsia="Arial" w:hAnsi="Arial"/>
                <w:sz w:val="11"/>
                <w:szCs w:val="11"/>
                <w:color w:val="auto"/>
              </w:rPr>
              <w:t>17,283</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722</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4.2%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15,801</w:t>
            </w:r>
          </w:p>
        </w:tc>
        <w:tc>
          <w:tcPr>
            <w:tcW w:w="600" w:type="dxa"/>
            <w:vAlign w:val="bottom"/>
          </w:tcPr>
          <w:p>
            <w:pPr>
              <w:jc w:val="right"/>
              <w:ind w:right="3"/>
              <w:spacing w:after="0" w:line="122" w:lineRule="exact"/>
              <w:rPr>
                <w:sz w:val="20"/>
                <w:szCs w:val="20"/>
                <w:color w:val="auto"/>
              </w:rPr>
            </w:pPr>
            <w:r>
              <w:rPr>
                <w:rFonts w:ascii="Arial" w:cs="Arial" w:eastAsia="Arial" w:hAnsi="Arial"/>
                <w:sz w:val="11"/>
                <w:szCs w:val="11"/>
                <w:color w:val="auto"/>
              </w:rPr>
              <w:t>634</w:t>
            </w:r>
          </w:p>
        </w:tc>
        <w:tc>
          <w:tcPr>
            <w:tcW w:w="52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7"/>
        </w:trPr>
        <w:tc>
          <w:tcPr>
            <w:tcW w:w="6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2,226</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826</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2,188</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926</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193,024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3,920</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1.8%</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185,340</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5,861</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2.9%</w:t>
            </w: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50.2%</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58.4%</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2.1%</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50.1%</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58.2%</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49.8%</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41.6%</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1.5%</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49.9%</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41.8%</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14"/>
        </w:trPr>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226,384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11,091</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4.9%</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223,197</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b w:val="1"/>
                <w:bCs w:val="1"/>
                <w:color w:val="auto"/>
              </w:rPr>
              <w:t>12,938</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5.8%</w:t>
            </w: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56.8%</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82.2%</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7.1%</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57.4%</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77.0%</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14"/>
        </w:trPr>
        <w:tc>
          <w:tcPr>
            <w:tcW w:w="680" w:type="dxa"/>
            <w:vAlign w:val="bottom"/>
            <w:tcBorders>
              <w:left w:val="single" w:sz="8" w:color="auto"/>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43.2%</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17.8%</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2.0%</w:t>
            </w: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42.6%</w:t>
            </w:r>
          </w:p>
        </w:tc>
        <w:tc>
          <w:tcPr>
            <w:tcW w:w="60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1"/>
                <w:szCs w:val="11"/>
                <w:color w:val="auto"/>
              </w:rPr>
              <w:t>23.0%</w:t>
            </w:r>
          </w:p>
        </w:tc>
        <w:tc>
          <w:tcPr>
            <w:tcW w:w="5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bl>
    <w:p>
      <w:pPr>
        <w:spacing w:after="0" w:line="288" w:lineRule="exact"/>
        <w:rPr>
          <w:sz w:val="20"/>
          <w:szCs w:val="20"/>
          <w:color w:val="auto"/>
        </w:rPr>
      </w:pPr>
    </w:p>
    <w:p>
      <w:pPr>
        <w:sectPr>
          <w:pgSz w:w="11900" w:h="16838" w:orient="portrait"/>
          <w:cols w:equalWidth="0" w:num="2">
            <w:col w:w="7440" w:space="220"/>
            <w:col w:w="3600"/>
          </w:cols>
          <w:pgMar w:left="320" w:top="679" w:right="319" w:bottom="1440" w:gutter="0" w:footer="0" w:header="0"/>
          <w:type w:val="continuous"/>
        </w:sectPr>
      </w:pPr>
    </w:p>
    <w:p>
      <w:pPr>
        <w:spacing w:after="0"/>
        <w:rPr>
          <w:sz w:val="20"/>
          <w:szCs w:val="20"/>
          <w:color w:val="auto"/>
        </w:rPr>
      </w:pPr>
      <w:r>
        <w:rPr>
          <w:rFonts w:ascii="Arial" w:cs="Arial" w:eastAsia="Arial" w:hAnsi="Arial"/>
          <w:sz w:val="16"/>
          <w:szCs w:val="16"/>
          <w:b w:val="1"/>
          <w:bCs w:val="1"/>
          <w:u w:val="single" w:color="auto"/>
          <w:color w:val="auto"/>
        </w:rPr>
        <w:t>QoQ Analysis</w:t>
      </w:r>
    </w:p>
    <w:p>
      <w:pPr>
        <w:spacing w:after="0" w:line="182"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 xml:space="preserve">QoQ, Net Interest Income </w:t>
      </w:r>
      <w:r>
        <w:rPr>
          <w:rFonts w:ascii="Arial" w:cs="Arial" w:eastAsia="Arial" w:hAnsi="Arial"/>
          <w:sz w:val="16"/>
          <w:szCs w:val="16"/>
          <w:b w:val="1"/>
          <w:bCs w:val="1"/>
          <w:color w:val="auto"/>
        </w:rPr>
        <w:t>(NII)</w:t>
      </w:r>
      <w:r>
        <w:rPr>
          <w:rFonts w:ascii="Arial" w:cs="Arial" w:eastAsia="Arial" w:hAnsi="Arial"/>
          <w:sz w:val="16"/>
          <w:szCs w:val="16"/>
          <w:color w:val="auto"/>
        </w:rPr>
        <w:t xml:space="preserve"> rose 2.9%, driven by an uptick in NII in both LC and FC. IEAs in LC represented 57.6% of total IEAs and accounted for 70.5% of the Net Interest Income generated in 4Q23.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in Local Currency (LC)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LC </w:t>
      </w:r>
      <w:r>
        <w:rPr>
          <w:rFonts w:ascii="Arial" w:cs="Arial" w:eastAsia="Arial" w:hAnsi="Arial"/>
          <w:sz w:val="16"/>
          <w:szCs w:val="16"/>
          <w:color w:val="auto"/>
        </w:rPr>
        <w:t>rose 3.4%, driven by the following dynamics:</w:t>
      </w:r>
    </w:p>
    <w:p>
      <w:pPr>
        <w:spacing w:after="0" w:line="18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Average IEA in LC increased 1.1%, spurred primarily by investments, while loans and the remainder of IEA registered a drop in balances. Despite an uptick in IEA volumes, interest income remained stable given that short-term loans and available funds were renewed at lower rates. This evolution was partially offset by a positive shift in the mix, which reported an increase in retail banking loans’ share of total loans. In this context, the IEA yield in LC dropped 12 bps to 10.7%.</w:t>
      </w:r>
    </w:p>
    <w:p>
      <w:pPr>
        <w:spacing w:after="0" w:line="14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the funding side, average balances in LC dropped 0.6% QoQ due to a decrease in the balances for BCRP and Due to Banks. The aforementioned was partially offset by growth in deposits (1.6% QoQ). This evolution was fueled by growth in Low-cost deposits, compensating for a reduction in time deposits. A more favorable funding mix led to a 34 bps reduction in the cost of funding and was reflected in a 9.0% decrease in interest expenses in LC in 4Q23.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79" w:right="319" w:bottom="1440" w:gutter="0" w:footer="0" w:header="0"/>
          <w:type w:val="continuous"/>
        </w:sectPr>
      </w:pPr>
    </w:p>
    <w:bookmarkStart w:id="32" w:name="page33"/>
    <w:bookmarkEnd w:id="32"/>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04. Net Interest Income (NII)</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in Foreign Currency (FC)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FC </w:t>
      </w:r>
      <w:r>
        <w:rPr>
          <w:rFonts w:ascii="Arial" w:cs="Arial" w:eastAsia="Arial" w:hAnsi="Arial"/>
          <w:sz w:val="16"/>
          <w:szCs w:val="16"/>
          <w:color w:val="auto"/>
        </w:rPr>
        <w:t>increased 1.3% QoQ due to the following dynamics:</w:t>
      </w:r>
    </w:p>
    <w:p>
      <w:pPr>
        <w:spacing w:after="0" w:line="18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Average IEA in foreign currency rose 1.5% QoQ, driven by an uptick in the loan volume (+2.4%), which was fueled primarily by growth in the balances of short-term loans in Middle Market Banking and, to a lesser extent, by growth in the investments balance. Wholesale Banking loans were lent at relatively high rates in US Dollars, which contributed to an increase in the IEA yield from 5.9% to 6.1% (+13 bps). In this context, interest income in FC rose 3.7% in 4Q23.</w:t>
      </w:r>
    </w:p>
    <w:p>
      <w:pPr>
        <w:spacing w:after="0" w:line="33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Average funding in FC rose 2.2% QoQ, fueled mainly by growth in average balances for deposits and followed by Due to banks. It is important to note that growth in FC deposits led the mix to shift to a less favorable composition, which led the funding cost to rise (+12 bps QoQ) but at a slower pace than that registered in previous quarters. At quarter-end in 4Q23, the funding cost stood at 2.7% and interest expenses increased 6.7%.</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YoY Analysis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YoY, </w:t>
      </w:r>
      <w:r>
        <w:rPr>
          <w:rFonts w:ascii="Arial" w:cs="Arial" w:eastAsia="Arial" w:hAnsi="Arial"/>
          <w:sz w:val="16"/>
          <w:szCs w:val="16"/>
          <w:b w:val="1"/>
          <w:bCs w:val="1"/>
          <w:color w:val="auto"/>
        </w:rPr>
        <w:t>NII</w:t>
      </w:r>
      <w:r>
        <w:rPr>
          <w:rFonts w:ascii="Arial" w:cs="Arial" w:eastAsia="Arial" w:hAnsi="Arial"/>
          <w:sz w:val="16"/>
          <w:szCs w:val="16"/>
          <w:color w:val="auto"/>
        </w:rPr>
        <w:t xml:space="preserve"> rose 6.6%, driven by both NII in LC and FC: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in Local Currency (LC)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LC </w:t>
      </w:r>
      <w:r>
        <w:rPr>
          <w:rFonts w:ascii="Arial" w:cs="Arial" w:eastAsia="Arial" w:hAnsi="Arial"/>
          <w:sz w:val="16"/>
          <w:szCs w:val="16"/>
          <w:color w:val="auto"/>
        </w:rPr>
        <w:t>rose 4.5% YoY due to the following dynamics:</w:t>
      </w:r>
    </w:p>
    <w:p>
      <w:pPr>
        <w:spacing w:after="0" w:line="18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Average IEA in LC rose 0.8% YoY due to growth in the investment balance (+19.6% YoY). This evolution offset a drop in total loans (-4.8% YoY), which registered a decline due to the amortization of Government Program loans (GP). Notwithstanding, growth in structural loans (+2.6% YoY) with a more favorable rate mix, coupled with an uptick in income from Investments, increased the IEA yield by 68 bps to 10.7%. In this context, interest income in LC rose 7.7% YoY.</w:t>
      </w:r>
    </w:p>
    <w:p>
      <w:pPr>
        <w:spacing w:after="0" w:line="14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Average funding in LC dropped 4.0% YoY. This was driven by a drop in the balances of BCRP and Due to Banks, which reflects a reduction in Repos balances that includes the expiration of the remaining balance for GP loans. Notwithstanding, the accumulation of time deposits over the year increased the cost of funding 67 bps YoY to stand at 3.3% at year-end. In this context, interest expenses in LC rose 18.8% YoY.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in Foreign Currency (FC)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FC </w:t>
      </w:r>
      <w:r>
        <w:rPr>
          <w:rFonts w:ascii="Arial" w:cs="Arial" w:eastAsia="Arial" w:hAnsi="Arial"/>
          <w:sz w:val="16"/>
          <w:szCs w:val="16"/>
          <w:color w:val="auto"/>
        </w:rPr>
        <w:t>rose 14.5% YoY due to the following dynamics: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Average IEA in FC dropped 3.2% YoY. This evolution was primarily driven by a contraction in Available Funds due to a drop in the BCRP account in FC. Nevertheless, rising rates in US dollars over the period allowed the Group to renew a portion of the loan portfolio at higher rates, which led the IEA yield in FC to rise from 5.9% to 6.1%. In this context, interest income rose 22.3%.</w:t>
      </w:r>
    </w:p>
    <w:p>
      <w:pPr>
        <w:spacing w:after="0" w:line="138"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Average funding in FC, in turn, dropped 1.8% YoY. This evolution was spurred mainly by a decline in Bonds and notes, which reflects, in order of impact, the expiration of corporate bonds at BCP and lower balances for BCRP Instruments and Deposits. Despite these dynamics, the cost of funding increased 70 bps YoY due to an uptick in the share of time deposits within the deposit mix in a context marked by rising rates in FC. In this context, interest expenses rose 32.7%.</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YTD Analysis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2023, </w:t>
      </w:r>
      <w:r>
        <w:rPr>
          <w:rFonts w:ascii="Arial" w:cs="Arial" w:eastAsia="Arial" w:hAnsi="Arial"/>
          <w:sz w:val="16"/>
          <w:szCs w:val="16"/>
          <w:b w:val="1"/>
          <w:bCs w:val="1"/>
          <w:color w:val="auto"/>
        </w:rPr>
        <w:t>NII</w:t>
      </w:r>
      <w:r>
        <w:rPr>
          <w:rFonts w:ascii="Arial" w:cs="Arial" w:eastAsia="Arial" w:hAnsi="Arial"/>
          <w:sz w:val="16"/>
          <w:szCs w:val="16"/>
          <w:color w:val="auto"/>
        </w:rPr>
        <w:t xml:space="preserve"> rose 21.3%, despite the fact that average IEA dropped in both LC (-1.9%) and FC (-5.1%).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in Local Currency (LC)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LC </w:t>
      </w:r>
      <w:r>
        <w:rPr>
          <w:rFonts w:ascii="Arial" w:cs="Arial" w:eastAsia="Arial" w:hAnsi="Arial"/>
          <w:sz w:val="16"/>
          <w:szCs w:val="16"/>
          <w:color w:val="auto"/>
        </w:rPr>
        <w:t>rose 9.2% YTD on the back of the following dynamics:</w:t>
      </w:r>
    </w:p>
    <w:p>
      <w:pPr>
        <w:spacing w:after="0" w:line="18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YTD to December 2023, very similar dynamics to those reported YoY were observed. In this context, interest income increased 17.1% due primarily to growth in structural loans, which was concentrated in Retail Banking, and secondarily to the yield on higher balances for investments. On the funding side, the same growth seen YoY for growth in deposits, concentrated in time deposits was seen YTD, combined with a higher expense in repos (included in BCRP + Due to banks), which led to an uptick in interest expenses to the order of 48.8%.</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33" w:name="page34"/>
    <w:bookmarkEnd w:id="33"/>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04. Net Interest Income (NII)</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Dynamics in Foreign Currency (LC)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FC </w:t>
      </w:r>
      <w:r>
        <w:rPr>
          <w:rFonts w:ascii="Arial" w:cs="Arial" w:eastAsia="Arial" w:hAnsi="Arial"/>
          <w:sz w:val="16"/>
          <w:szCs w:val="16"/>
          <w:color w:val="auto"/>
        </w:rPr>
        <w:t>rose 51.2% YTD due to the following dynamics:</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YTD, interest income in FC rose 50.9% in 2023. This growth, as was the case YoY, was driven by a combination of higher balances and higher market rates. It is important to note that YTD, the impact of rates was greater than that seen YoY. Interest expenses in FC over the period rose 50.5%, which was driven primarily by the evolution of deposits YoY and secondarily by higher expenses for Due to banks and correspondents due to an uptick in market rates.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34" w:name="page35"/>
    <w:bookmarkEnd w:id="34"/>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181610</wp:posOffset>
            </wp:positionV>
            <wp:extent cx="7145655" cy="410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400" w:lineRule="exact"/>
        <w:rPr>
          <w:sz w:val="20"/>
          <w:szCs w:val="20"/>
          <w:color w:val="auto"/>
        </w:rPr>
      </w:pPr>
    </w:p>
    <w:p>
      <w:pPr>
        <w:ind w:left="2"/>
        <w:spacing w:after="0"/>
        <w:rPr>
          <w:sz w:val="20"/>
          <w:szCs w:val="20"/>
          <w:color w:val="auto"/>
        </w:rPr>
      </w:pPr>
      <w:r>
        <w:rPr>
          <w:rFonts w:ascii="Arial" w:cs="Arial" w:eastAsia="Arial" w:hAnsi="Arial"/>
          <w:sz w:val="47"/>
          <w:szCs w:val="47"/>
          <w:b w:val="1"/>
          <w:bCs w:val="1"/>
          <w:color w:val="E93BAB"/>
        </w:rPr>
        <w:t xml:space="preserve">05 </w:t>
      </w:r>
      <w:r>
        <w:rPr>
          <w:rFonts w:ascii="Arial" w:cs="Arial" w:eastAsia="Arial" w:hAnsi="Arial"/>
          <w:sz w:val="29"/>
          <w:szCs w:val="29"/>
          <w:color w:val="E93BAB"/>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45655" cy="1579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655" cy="1579245"/>
                    </a:xfrm>
                    <a:prstGeom prst="rect">
                      <a:avLst/>
                    </a:prstGeom>
                    <a:noFill/>
                  </pic:spPr>
                </pic:pic>
              </a:graphicData>
            </a:graphic>
          </wp:anchor>
        </w:drawing>
      </w:r>
    </w:p>
    <w:p>
      <w:pPr>
        <w:spacing w:after="0" w:line="263" w:lineRule="exact"/>
        <w:rPr>
          <w:sz w:val="20"/>
          <w:szCs w:val="20"/>
          <w:color w:val="auto"/>
        </w:rPr>
      </w:pPr>
    </w:p>
    <w:p>
      <w:pPr>
        <w:jc w:val="both"/>
        <w:ind w:left="122" w:right="120"/>
        <w:spacing w:after="0" w:line="252" w:lineRule="auto"/>
        <w:rPr>
          <w:sz w:val="20"/>
          <w:szCs w:val="20"/>
          <w:color w:val="auto"/>
        </w:rPr>
      </w:pPr>
      <w:r>
        <w:rPr>
          <w:rFonts w:ascii="Arial" w:cs="Arial" w:eastAsia="Arial" w:hAnsi="Arial"/>
          <w:sz w:val="16"/>
          <w:szCs w:val="16"/>
          <w:color w:val="FFFFFF"/>
        </w:rPr>
        <w:t>Provisions for structural loans remained high and included an additional charge this quarter for provisions for the expected losses related to the “El Niño” Phenomenon (FEN), which were set aside based on the information available at the closing of books. If we exclude this impact, provisions rose slightly QoQ, driven by Wholesale Banking due a base effect and by SME-Pyme, due to an uptick in deterioration of the payment capacity of clients affected by the recessive environment. Consequently, the Structural Cost of Risk (CofR) rose 78 bps QoQ (+72 bps for FEN) to stand at 3.3%.</w:t>
      </w:r>
    </w:p>
    <w:p>
      <w:pPr>
        <w:spacing w:after="0" w:line="142" w:lineRule="exact"/>
        <w:rPr>
          <w:sz w:val="20"/>
          <w:szCs w:val="20"/>
          <w:color w:val="auto"/>
        </w:rPr>
      </w:pPr>
    </w:p>
    <w:p>
      <w:pPr>
        <w:jc w:val="both"/>
        <w:ind w:left="122" w:right="120"/>
        <w:spacing w:after="0" w:line="252" w:lineRule="auto"/>
        <w:rPr>
          <w:sz w:val="20"/>
          <w:szCs w:val="20"/>
          <w:color w:val="auto"/>
        </w:rPr>
      </w:pPr>
      <w:r>
        <w:rPr>
          <w:rFonts w:ascii="Arial" w:cs="Arial" w:eastAsia="Arial" w:hAnsi="Arial"/>
          <w:sz w:val="16"/>
          <w:szCs w:val="16"/>
          <w:color w:val="FFFFFF"/>
        </w:rPr>
        <w:t>YoY and YTD, provisions rose. This evolution was fueled by Consumer and Credit Cards, which registered a deterioration in payment capacity among clients from older vintages, and by SME-Pyme, due to a base effect and an uptick in the deterioration of old loans concentrated in higher-risk segments. At Mibanco, the increase in provisions was spurred by a drop in the payment capacity of overindebted clients. In this context, the Structural CofR rose 127 bps YoY and 129 bps YTD to stand at 2.5%.</w:t>
      </w:r>
    </w:p>
    <w:p>
      <w:pPr>
        <w:spacing w:after="0" w:line="142" w:lineRule="exact"/>
        <w:rPr>
          <w:sz w:val="20"/>
          <w:szCs w:val="20"/>
          <w:color w:val="auto"/>
        </w:rPr>
      </w:pPr>
    </w:p>
    <w:p>
      <w:pPr>
        <w:ind w:left="122"/>
        <w:spacing w:after="0"/>
        <w:rPr>
          <w:sz w:val="20"/>
          <w:szCs w:val="20"/>
          <w:color w:val="auto"/>
        </w:rPr>
      </w:pPr>
      <w:r>
        <w:rPr>
          <w:rFonts w:ascii="Arial" w:cs="Arial" w:eastAsia="Arial" w:hAnsi="Arial"/>
          <w:sz w:val="16"/>
          <w:szCs w:val="16"/>
          <w:color w:val="FFFFFF"/>
        </w:rPr>
        <w:t>The CofR increased 71 bps QoQ and 127 bps YoY to stand at 3.2%. YTD, the CofR rose 128 bps and situated at 2.5%.</w:t>
      </w:r>
    </w:p>
    <w:p>
      <w:pPr>
        <w:spacing w:after="0" w:line="200" w:lineRule="exact"/>
        <w:rPr>
          <w:sz w:val="20"/>
          <w:szCs w:val="20"/>
          <w:color w:val="auto"/>
        </w:rPr>
      </w:pPr>
    </w:p>
    <w:p>
      <w:pPr>
        <w:spacing w:after="0" w:line="3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Provisions and Cost of Risk</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Provisions and the Cost of Risk (CoR)</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 xml:space="preserve"> of the Structural Loans Portfolio</w:t>
      </w:r>
    </w:p>
    <w:p>
      <w:pPr>
        <w:spacing w:after="0" w:line="62" w:lineRule="exact"/>
        <w:rPr>
          <w:sz w:val="20"/>
          <w:szCs w:val="20"/>
          <w:color w:val="auto"/>
        </w:rPr>
      </w:pPr>
    </w:p>
    <w:tbl>
      <w:tblPr>
        <w:tblLayout w:type="fixed"/>
        <w:tblInd w:w="12" w:type="dxa"/>
        <w:tblCellMar>
          <w:top w:w="0" w:type="dxa"/>
          <w:left w:w="0" w:type="dxa"/>
          <w:bottom w:w="0" w:type="dxa"/>
          <w:right w:w="0" w:type="dxa"/>
        </w:tblCellMar>
      </w:tblPr>
      <w:tr>
        <w:trPr>
          <w:trHeight w:val="119"/>
        </w:trPr>
        <w:tc>
          <w:tcPr>
            <w:tcW w:w="4060" w:type="dxa"/>
            <w:vAlign w:val="bottom"/>
            <w:tcBorders>
              <w:top w:val="single" w:sz="8" w:color="auto"/>
              <w:left w:val="single" w:sz="8" w:color="auto"/>
              <w:right w:val="single" w:sz="8" w:color="auto"/>
            </w:tcBorders>
            <w:shd w:val="clear" w:color="auto" w:fill="2AD2C9"/>
          </w:tcPr>
          <w:p>
            <w:pPr>
              <w:ind w:left="40"/>
              <w:spacing w:after="0" w:line="119" w:lineRule="exact"/>
              <w:rPr>
                <w:sz w:val="20"/>
                <w:szCs w:val="20"/>
                <w:color w:val="auto"/>
              </w:rPr>
            </w:pPr>
            <w:r>
              <w:rPr>
                <w:rFonts w:ascii="Arial" w:cs="Arial" w:eastAsia="Arial" w:hAnsi="Arial"/>
                <w:sz w:val="11"/>
                <w:szCs w:val="11"/>
                <w:b w:val="1"/>
                <w:bCs w:val="1"/>
                <w:color w:val="FFFFFF"/>
              </w:rPr>
              <w:t>Structural Loan Portfolio Provisions</w:t>
            </w:r>
          </w:p>
        </w:tc>
        <w:tc>
          <w:tcPr>
            <w:tcW w:w="900" w:type="dxa"/>
            <w:vAlign w:val="bottom"/>
            <w:tcBorders>
              <w:top w:val="single" w:sz="8" w:color="auto"/>
            </w:tcBorders>
            <w:shd w:val="clear" w:color="auto" w:fill="2AD2C9"/>
          </w:tcPr>
          <w:p>
            <w:pPr>
              <w:spacing w:after="0"/>
              <w:rPr>
                <w:sz w:val="10"/>
                <w:szCs w:val="10"/>
                <w:color w:val="auto"/>
              </w:rPr>
            </w:pPr>
          </w:p>
        </w:tc>
        <w:tc>
          <w:tcPr>
            <w:tcW w:w="860" w:type="dxa"/>
            <w:vAlign w:val="bottom"/>
            <w:tcBorders>
              <w:top w:val="single" w:sz="8" w:color="auto"/>
            </w:tcBorders>
            <w:shd w:val="clear" w:color="auto" w:fill="2AD2C9"/>
          </w:tcPr>
          <w:p>
            <w:pPr>
              <w:ind w:left="220"/>
              <w:spacing w:after="0" w:line="119" w:lineRule="exact"/>
              <w:rPr>
                <w:sz w:val="20"/>
                <w:szCs w:val="20"/>
                <w:color w:val="auto"/>
              </w:rPr>
            </w:pPr>
            <w:r>
              <w:rPr>
                <w:rFonts w:ascii="Arial" w:cs="Arial" w:eastAsia="Arial" w:hAnsi="Arial"/>
                <w:sz w:val="11"/>
                <w:szCs w:val="11"/>
                <w:b w:val="1"/>
                <w:bCs w:val="1"/>
                <w:color w:val="FFFFFF"/>
              </w:rPr>
              <w:t>Quarter</w:t>
            </w:r>
          </w:p>
        </w:tc>
        <w:tc>
          <w:tcPr>
            <w:tcW w:w="960" w:type="dxa"/>
            <w:vAlign w:val="bottom"/>
            <w:tcBorders>
              <w:top w:val="single" w:sz="8" w:color="auto"/>
              <w:right w:val="single" w:sz="8" w:color="auto"/>
            </w:tcBorders>
            <w:shd w:val="clear" w:color="auto" w:fill="2AD2C9"/>
          </w:tcPr>
          <w:p>
            <w:pPr>
              <w:spacing w:after="0"/>
              <w:rPr>
                <w:sz w:val="10"/>
                <w:szCs w:val="10"/>
                <w:color w:val="auto"/>
              </w:rPr>
            </w:pPr>
          </w:p>
        </w:tc>
        <w:tc>
          <w:tcPr>
            <w:tcW w:w="600" w:type="dxa"/>
            <w:vAlign w:val="bottom"/>
            <w:tcBorders>
              <w:top w:val="single" w:sz="8" w:color="auto"/>
            </w:tcBorders>
            <w:shd w:val="clear" w:color="auto" w:fill="2AD2C9"/>
          </w:tcPr>
          <w:p>
            <w:pPr>
              <w:spacing w:after="0"/>
              <w:rPr>
                <w:sz w:val="10"/>
                <w:szCs w:val="10"/>
                <w:color w:val="auto"/>
              </w:rPr>
            </w:pPr>
          </w:p>
        </w:tc>
        <w:tc>
          <w:tcPr>
            <w:tcW w:w="1200" w:type="dxa"/>
            <w:vAlign w:val="bottom"/>
            <w:tcBorders>
              <w:top w:val="single" w:sz="8" w:color="auto"/>
              <w:right w:val="single" w:sz="8" w:color="auto"/>
            </w:tcBorders>
            <w:shd w:val="clear" w:color="auto" w:fill="2AD2C9"/>
          </w:tcPr>
          <w:p>
            <w:pPr>
              <w:ind w:left="20"/>
              <w:spacing w:after="0" w:line="119" w:lineRule="exact"/>
              <w:rPr>
                <w:sz w:val="20"/>
                <w:szCs w:val="20"/>
                <w:color w:val="auto"/>
              </w:rPr>
            </w:pPr>
            <w:r>
              <w:rPr>
                <w:rFonts w:ascii="Arial" w:cs="Arial" w:eastAsia="Arial" w:hAnsi="Arial"/>
                <w:sz w:val="11"/>
                <w:szCs w:val="11"/>
                <w:b w:val="1"/>
                <w:bCs w:val="1"/>
                <w:color w:val="FFFFFF"/>
              </w:rPr>
              <w:t>% change</w:t>
            </w:r>
          </w:p>
        </w:tc>
        <w:tc>
          <w:tcPr>
            <w:tcW w:w="720" w:type="dxa"/>
            <w:vAlign w:val="bottom"/>
            <w:tcBorders>
              <w:top w:val="single" w:sz="8" w:color="auto"/>
            </w:tcBorders>
            <w:shd w:val="clear" w:color="auto" w:fill="2AD2C9"/>
          </w:tcPr>
          <w:p>
            <w:pPr>
              <w:spacing w:after="0"/>
              <w:rPr>
                <w:sz w:val="10"/>
                <w:szCs w:val="10"/>
                <w:color w:val="auto"/>
              </w:rPr>
            </w:pPr>
          </w:p>
        </w:tc>
        <w:tc>
          <w:tcPr>
            <w:tcW w:w="1060" w:type="dxa"/>
            <w:vAlign w:val="bottom"/>
            <w:tcBorders>
              <w:top w:val="single" w:sz="8" w:color="auto"/>
              <w:right w:val="single" w:sz="8" w:color="auto"/>
            </w:tcBorders>
            <w:shd w:val="clear" w:color="auto" w:fill="2AD2C9"/>
          </w:tcPr>
          <w:p>
            <w:pPr>
              <w:ind w:left="20"/>
              <w:spacing w:after="0" w:line="119" w:lineRule="exact"/>
              <w:rPr>
                <w:sz w:val="20"/>
                <w:szCs w:val="20"/>
                <w:color w:val="auto"/>
              </w:rPr>
            </w:pPr>
            <w:r>
              <w:rPr>
                <w:rFonts w:ascii="Arial" w:cs="Arial" w:eastAsia="Arial" w:hAnsi="Arial"/>
                <w:sz w:val="11"/>
                <w:szCs w:val="11"/>
                <w:b w:val="1"/>
                <w:bCs w:val="1"/>
                <w:color w:val="FFFFFF"/>
              </w:rPr>
              <w:t>Up to</w:t>
            </w:r>
          </w:p>
        </w:tc>
        <w:tc>
          <w:tcPr>
            <w:tcW w:w="900" w:type="dxa"/>
            <w:vAlign w:val="bottom"/>
            <w:tcBorders>
              <w:top w:val="single" w:sz="8" w:color="auto"/>
              <w:right w:val="single" w:sz="8" w:color="auto"/>
            </w:tcBorders>
            <w:shd w:val="clear" w:color="auto" w:fill="2AD2C9"/>
          </w:tcPr>
          <w:p>
            <w:pPr>
              <w:jc w:val="center"/>
              <w:spacing w:after="0" w:line="119" w:lineRule="exact"/>
              <w:rPr>
                <w:sz w:val="20"/>
                <w:szCs w:val="20"/>
                <w:color w:val="auto"/>
              </w:rPr>
            </w:pPr>
            <w:r>
              <w:rPr>
                <w:rFonts w:ascii="Arial" w:cs="Arial" w:eastAsia="Arial" w:hAnsi="Arial"/>
                <w:sz w:val="11"/>
                <w:szCs w:val="11"/>
                <w:b w:val="1"/>
                <w:bCs w:val="1"/>
                <w:color w:val="FFFFFF"/>
              </w:rPr>
              <w:t>% change</w:t>
            </w:r>
          </w:p>
        </w:tc>
      </w:tr>
      <w:tr>
        <w:trPr>
          <w:trHeight w:val="150"/>
        </w:trPr>
        <w:tc>
          <w:tcPr>
            <w:tcW w:w="40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S/ 000</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4Q22</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3Q23</w:t>
            </w:r>
          </w:p>
        </w:tc>
        <w:tc>
          <w:tcPr>
            <w:tcW w:w="9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600" w:type="dxa"/>
            <w:vAlign w:val="bottom"/>
            <w:tcBorders>
              <w:bottom w:val="single" w:sz="8" w:color="auto"/>
            </w:tcBorders>
            <w:shd w:val="clear" w:color="auto" w:fill="2AD2C9"/>
          </w:tcPr>
          <w:p>
            <w:pPr>
              <w:jc w:val="center"/>
              <w:ind w:left="203"/>
              <w:spacing w:after="0"/>
              <w:rPr>
                <w:sz w:val="20"/>
                <w:szCs w:val="20"/>
                <w:color w:val="auto"/>
              </w:rPr>
            </w:pPr>
            <w:r>
              <w:rPr>
                <w:rFonts w:ascii="Arial" w:cs="Arial" w:eastAsia="Arial" w:hAnsi="Arial"/>
                <w:sz w:val="11"/>
                <w:szCs w:val="11"/>
                <w:b w:val="1"/>
                <w:bCs w:val="1"/>
                <w:color w:val="FFFFFF"/>
              </w:rPr>
              <w:t>QoQ</w:t>
            </w:r>
          </w:p>
        </w:tc>
        <w:tc>
          <w:tcPr>
            <w:tcW w:w="1200" w:type="dxa"/>
            <w:vAlign w:val="bottom"/>
            <w:tcBorders>
              <w:bottom w:val="single" w:sz="8" w:color="auto"/>
              <w:right w:val="single" w:sz="8" w:color="auto"/>
            </w:tcBorders>
            <w:shd w:val="clear" w:color="auto" w:fill="2AD2C9"/>
          </w:tcPr>
          <w:p>
            <w:pPr>
              <w:jc w:val="center"/>
              <w:ind w:left="203"/>
              <w:spacing w:after="0"/>
              <w:rPr>
                <w:sz w:val="20"/>
                <w:szCs w:val="20"/>
                <w:color w:val="auto"/>
              </w:rPr>
            </w:pPr>
            <w:r>
              <w:rPr>
                <w:rFonts w:ascii="Arial" w:cs="Arial" w:eastAsia="Arial" w:hAnsi="Arial"/>
                <w:sz w:val="11"/>
                <w:szCs w:val="11"/>
                <w:b w:val="1"/>
                <w:bCs w:val="1"/>
                <w:color w:val="FFFFFF"/>
              </w:rPr>
              <w:t>YoY</w:t>
            </w:r>
          </w:p>
        </w:tc>
        <w:tc>
          <w:tcPr>
            <w:tcW w:w="720" w:type="dxa"/>
            <w:vAlign w:val="bottom"/>
            <w:tcBorders>
              <w:bottom w:val="single" w:sz="8" w:color="auto"/>
            </w:tcBorders>
            <w:shd w:val="clear" w:color="auto" w:fill="2AD2C9"/>
          </w:tcPr>
          <w:p>
            <w:pPr>
              <w:jc w:val="center"/>
              <w:ind w:left="83"/>
              <w:spacing w:after="0"/>
              <w:rPr>
                <w:sz w:val="20"/>
                <w:szCs w:val="20"/>
                <w:color w:val="auto"/>
              </w:rPr>
            </w:pPr>
            <w:r>
              <w:rPr>
                <w:rFonts w:ascii="Arial" w:cs="Arial" w:eastAsia="Arial" w:hAnsi="Arial"/>
                <w:sz w:val="11"/>
                <w:szCs w:val="11"/>
                <w:b w:val="1"/>
                <w:bCs w:val="1"/>
                <w:color w:val="FFFFFF"/>
              </w:rPr>
              <w:t>2022</w:t>
            </w:r>
          </w:p>
        </w:tc>
        <w:tc>
          <w:tcPr>
            <w:tcW w:w="1060" w:type="dxa"/>
            <w:vAlign w:val="bottom"/>
            <w:tcBorders>
              <w:bottom w:val="single" w:sz="8" w:color="auto"/>
              <w:right w:val="single" w:sz="8" w:color="auto"/>
            </w:tcBorders>
            <w:shd w:val="clear" w:color="auto" w:fill="2AD2C9"/>
          </w:tcPr>
          <w:p>
            <w:pPr>
              <w:jc w:val="center"/>
              <w:ind w:left="83"/>
              <w:spacing w:after="0"/>
              <w:rPr>
                <w:sz w:val="20"/>
                <w:szCs w:val="20"/>
                <w:color w:val="auto"/>
              </w:rPr>
            </w:pPr>
            <w:r>
              <w:rPr>
                <w:rFonts w:ascii="Arial" w:cs="Arial" w:eastAsia="Arial" w:hAnsi="Arial"/>
                <w:sz w:val="11"/>
                <w:szCs w:val="11"/>
                <w:b w:val="1"/>
                <w:bCs w:val="1"/>
                <w:color w:val="FFFFFF"/>
                <w:w w:val="97"/>
              </w:rPr>
              <w:t>2023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2023 / 2022</w:t>
            </w:r>
          </w:p>
        </w:tc>
      </w:tr>
      <w:tr>
        <w:trPr>
          <w:trHeight w:val="99"/>
        </w:trPr>
        <w:tc>
          <w:tcPr>
            <w:tcW w:w="406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1"/>
                <w:szCs w:val="11"/>
                <w:color w:val="auto"/>
              </w:rPr>
              <w:t>Gross provision for credit losses on loan portfolio</w:t>
            </w:r>
          </w:p>
        </w:tc>
        <w:tc>
          <w:tcPr>
            <w:tcW w:w="900" w:type="dxa"/>
            <w:vAlign w:val="bottom"/>
          </w:tcPr>
          <w:p>
            <w:pPr>
              <w:jc w:val="center"/>
              <w:spacing w:after="0" w:line="99" w:lineRule="exact"/>
              <w:rPr>
                <w:sz w:val="20"/>
                <w:szCs w:val="20"/>
                <w:color w:val="auto"/>
              </w:rPr>
            </w:pPr>
            <w:r>
              <w:rPr>
                <w:rFonts w:ascii="Arial" w:cs="Arial" w:eastAsia="Arial" w:hAnsi="Arial"/>
                <w:sz w:val="11"/>
                <w:szCs w:val="11"/>
                <w:color w:val="auto"/>
              </w:rPr>
              <w:t>(799,864)</w:t>
            </w:r>
          </w:p>
        </w:tc>
        <w:tc>
          <w:tcPr>
            <w:tcW w:w="860" w:type="dxa"/>
            <w:vAlign w:val="bottom"/>
          </w:tcPr>
          <w:p>
            <w:pPr>
              <w:jc w:val="center"/>
              <w:spacing w:after="0" w:line="99" w:lineRule="exact"/>
              <w:rPr>
                <w:sz w:val="20"/>
                <w:szCs w:val="20"/>
                <w:color w:val="auto"/>
              </w:rPr>
            </w:pPr>
            <w:r>
              <w:rPr>
                <w:rFonts w:ascii="Arial" w:cs="Arial" w:eastAsia="Arial" w:hAnsi="Arial"/>
                <w:sz w:val="11"/>
                <w:szCs w:val="11"/>
                <w:color w:val="auto"/>
              </w:rPr>
              <w:t>(990,266)</w:t>
            </w:r>
          </w:p>
        </w:tc>
        <w:tc>
          <w:tcPr>
            <w:tcW w:w="9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(1,265,092)</w:t>
            </w:r>
          </w:p>
        </w:tc>
        <w:tc>
          <w:tcPr>
            <w:tcW w:w="600" w:type="dxa"/>
            <w:vAlign w:val="bottom"/>
          </w:tcPr>
          <w:p>
            <w:pPr>
              <w:jc w:val="center"/>
              <w:ind w:left="203"/>
              <w:spacing w:after="0" w:line="99" w:lineRule="exact"/>
              <w:rPr>
                <w:sz w:val="20"/>
                <w:szCs w:val="20"/>
                <w:color w:val="auto"/>
              </w:rPr>
            </w:pPr>
            <w:r>
              <w:rPr>
                <w:rFonts w:ascii="Arial" w:cs="Arial" w:eastAsia="Arial" w:hAnsi="Arial"/>
                <w:sz w:val="11"/>
                <w:szCs w:val="11"/>
                <w:color w:val="auto"/>
              </w:rPr>
              <w:t>27.8%</w:t>
            </w:r>
          </w:p>
        </w:tc>
        <w:tc>
          <w:tcPr>
            <w:tcW w:w="1200" w:type="dxa"/>
            <w:vAlign w:val="bottom"/>
            <w:tcBorders>
              <w:right w:val="single" w:sz="8" w:color="auto"/>
            </w:tcBorders>
          </w:tcPr>
          <w:p>
            <w:pPr>
              <w:jc w:val="center"/>
              <w:ind w:left="183"/>
              <w:spacing w:after="0" w:line="99" w:lineRule="exact"/>
              <w:rPr>
                <w:sz w:val="20"/>
                <w:szCs w:val="20"/>
                <w:color w:val="auto"/>
              </w:rPr>
            </w:pPr>
            <w:r>
              <w:rPr>
                <w:rFonts w:ascii="Arial" w:cs="Arial" w:eastAsia="Arial" w:hAnsi="Arial"/>
                <w:sz w:val="11"/>
                <w:szCs w:val="11"/>
                <w:color w:val="auto"/>
              </w:rPr>
              <w:t>58.2%</w:t>
            </w:r>
          </w:p>
        </w:tc>
        <w:tc>
          <w:tcPr>
            <w:tcW w:w="720" w:type="dxa"/>
            <w:vAlign w:val="bottom"/>
          </w:tcPr>
          <w:p>
            <w:pPr>
              <w:jc w:val="center"/>
              <w:ind w:left="83"/>
              <w:spacing w:after="0" w:line="99" w:lineRule="exact"/>
              <w:rPr>
                <w:sz w:val="20"/>
                <w:szCs w:val="20"/>
                <w:color w:val="auto"/>
              </w:rPr>
            </w:pPr>
            <w:r>
              <w:rPr>
                <w:rFonts w:ascii="Arial" w:cs="Arial" w:eastAsia="Arial" w:hAnsi="Arial"/>
                <w:sz w:val="11"/>
                <w:szCs w:val="11"/>
                <w:color w:val="auto"/>
              </w:rPr>
              <w:t>(2,100,541)</w:t>
            </w:r>
          </w:p>
        </w:tc>
        <w:tc>
          <w:tcPr>
            <w:tcW w:w="1060" w:type="dxa"/>
            <w:vAlign w:val="bottom"/>
            <w:tcBorders>
              <w:right w:val="single" w:sz="8" w:color="auto"/>
            </w:tcBorders>
          </w:tcPr>
          <w:p>
            <w:pPr>
              <w:jc w:val="center"/>
              <w:ind w:left="103"/>
              <w:spacing w:after="0" w:line="99" w:lineRule="exact"/>
              <w:rPr>
                <w:sz w:val="20"/>
                <w:szCs w:val="20"/>
                <w:color w:val="auto"/>
              </w:rPr>
            </w:pPr>
            <w:r>
              <w:rPr>
                <w:rFonts w:ascii="Arial" w:cs="Arial" w:eastAsia="Arial" w:hAnsi="Arial"/>
                <w:sz w:val="11"/>
                <w:szCs w:val="11"/>
                <w:color w:val="auto"/>
              </w:rPr>
              <w:t>(3,937,528)</w:t>
            </w:r>
          </w:p>
        </w:tc>
        <w:tc>
          <w:tcPr>
            <w:tcW w:w="9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87.5%</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Recoveries of written-off loans</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84,908</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91,108</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86,709</w:t>
            </w:r>
          </w:p>
        </w:tc>
        <w:tc>
          <w:tcPr>
            <w:tcW w:w="60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-4.8%</w:t>
            </w:r>
          </w:p>
        </w:tc>
        <w:tc>
          <w:tcPr>
            <w:tcW w:w="12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2.1%</w:t>
            </w:r>
          </w:p>
        </w:tc>
        <w:tc>
          <w:tcPr>
            <w:tcW w:w="720" w:type="dxa"/>
            <w:vAlign w:val="bottom"/>
          </w:tcPr>
          <w:p>
            <w:pPr>
              <w:jc w:val="center"/>
              <w:ind w:left="83"/>
              <w:spacing w:after="0" w:line="122" w:lineRule="exact"/>
              <w:rPr>
                <w:sz w:val="20"/>
                <w:szCs w:val="20"/>
                <w:color w:val="auto"/>
              </w:rPr>
            </w:pPr>
            <w:r>
              <w:rPr>
                <w:rFonts w:ascii="Arial" w:cs="Arial" w:eastAsia="Arial" w:hAnsi="Arial"/>
                <w:sz w:val="11"/>
                <w:szCs w:val="11"/>
                <w:color w:val="auto"/>
              </w:rPr>
              <w:t>347,017</w:t>
            </w:r>
          </w:p>
        </w:tc>
        <w:tc>
          <w:tcPr>
            <w:tcW w:w="1060" w:type="dxa"/>
            <w:vAlign w:val="bottom"/>
            <w:tcBorders>
              <w:right w:val="single" w:sz="8" w:color="auto"/>
            </w:tcBorders>
          </w:tcPr>
          <w:p>
            <w:pPr>
              <w:jc w:val="center"/>
              <w:ind w:left="83"/>
              <w:spacing w:after="0" w:line="122" w:lineRule="exact"/>
              <w:rPr>
                <w:sz w:val="20"/>
                <w:szCs w:val="20"/>
                <w:color w:val="auto"/>
              </w:rPr>
            </w:pPr>
            <w:r>
              <w:rPr>
                <w:rFonts w:ascii="Arial" w:cs="Arial" w:eastAsia="Arial" w:hAnsi="Arial"/>
                <w:sz w:val="11"/>
                <w:szCs w:val="11"/>
                <w:color w:val="auto"/>
              </w:rPr>
              <w:t>334,798</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-3.5%</w:t>
            </w:r>
          </w:p>
        </w:tc>
      </w:tr>
      <w:tr>
        <w:trPr>
          <w:trHeight w:val="137"/>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(714,956)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(899,158)</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(1,178,383)</w:t>
            </w:r>
          </w:p>
        </w:tc>
        <w:tc>
          <w:tcPr>
            <w:tcW w:w="60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31.1%</w:t>
            </w:r>
          </w:p>
        </w:tc>
        <w:tc>
          <w:tcPr>
            <w:tcW w:w="1200" w:type="dxa"/>
            <w:vAlign w:val="bottom"/>
            <w:tcBorders>
              <w:bottom w:val="single" w:sz="8" w:color="auto"/>
              <w:right w:val="single" w:sz="8" w:color="auto"/>
            </w:tcBorders>
          </w:tcPr>
          <w:p>
            <w:pPr>
              <w:jc w:val="center"/>
              <w:ind w:left="183"/>
              <w:spacing w:after="0"/>
              <w:rPr>
                <w:sz w:val="20"/>
                <w:szCs w:val="20"/>
                <w:color w:val="auto"/>
              </w:rPr>
            </w:pPr>
            <w:r>
              <w:rPr>
                <w:rFonts w:ascii="Arial" w:cs="Arial" w:eastAsia="Arial" w:hAnsi="Arial"/>
                <w:sz w:val="11"/>
                <w:szCs w:val="11"/>
                <w:b w:val="1"/>
                <w:bCs w:val="1"/>
                <w:color w:val="auto"/>
              </w:rPr>
              <w:t>64.8%</w:t>
            </w:r>
          </w:p>
        </w:tc>
        <w:tc>
          <w:tcPr>
            <w:tcW w:w="72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b w:val="1"/>
                <w:bCs w:val="1"/>
                <w:color w:val="auto"/>
              </w:rPr>
              <w:t>(1,753,524)</w:t>
            </w:r>
          </w:p>
        </w:tc>
        <w:tc>
          <w:tcPr>
            <w:tcW w:w="1060" w:type="dxa"/>
            <w:vAlign w:val="bottom"/>
            <w:tcBorders>
              <w:bottom w:val="single" w:sz="8" w:color="auto"/>
              <w:right w:val="single" w:sz="8" w:color="auto"/>
            </w:tcBorders>
          </w:tcPr>
          <w:p>
            <w:pPr>
              <w:jc w:val="center"/>
              <w:ind w:left="103"/>
              <w:spacing w:after="0"/>
              <w:rPr>
                <w:sz w:val="20"/>
                <w:szCs w:val="20"/>
                <w:color w:val="auto"/>
              </w:rPr>
            </w:pPr>
            <w:r>
              <w:rPr>
                <w:rFonts w:ascii="Arial" w:cs="Arial" w:eastAsia="Arial" w:hAnsi="Arial"/>
                <w:sz w:val="11"/>
                <w:szCs w:val="11"/>
                <w:b w:val="1"/>
                <w:bCs w:val="1"/>
                <w:color w:val="auto"/>
              </w:rPr>
              <w:t>(3,602,730)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105.5%</w:t>
            </w:r>
          </w:p>
        </w:tc>
      </w:tr>
      <w:tr>
        <w:trPr>
          <w:trHeight w:val="114"/>
        </w:trPr>
        <w:tc>
          <w:tcPr>
            <w:tcW w:w="406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9"/>
                <w:szCs w:val="9"/>
                <w:color w:val="auto"/>
              </w:rPr>
              <w:t xml:space="preserve">Structural Cost of risk </w:t>
            </w:r>
            <w:r>
              <w:rPr>
                <w:rFonts w:ascii="Arial" w:cs="Arial" w:eastAsia="Arial" w:hAnsi="Arial"/>
                <w:sz w:val="13"/>
                <w:szCs w:val="13"/>
                <w:color w:val="auto"/>
                <w:vertAlign w:val="superscript"/>
              </w:rPr>
              <w:t>(1)</w:t>
            </w:r>
          </w:p>
        </w:tc>
        <w:tc>
          <w:tcPr>
            <w:tcW w:w="9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2.1%</w:t>
            </w:r>
          </w:p>
        </w:tc>
        <w:tc>
          <w:tcPr>
            <w:tcW w:w="8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2.6%</w:t>
            </w:r>
          </w:p>
        </w:tc>
        <w:tc>
          <w:tcPr>
            <w:tcW w:w="9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3.3%</w:t>
            </w:r>
          </w:p>
        </w:tc>
        <w:tc>
          <w:tcPr>
            <w:tcW w:w="600" w:type="dxa"/>
            <w:vAlign w:val="bottom"/>
            <w:tcBorders>
              <w:bottom w:val="single" w:sz="8" w:color="auto"/>
            </w:tcBorders>
          </w:tcPr>
          <w:p>
            <w:pPr>
              <w:jc w:val="center"/>
              <w:ind w:left="203"/>
              <w:spacing w:after="0" w:line="114" w:lineRule="exact"/>
              <w:rPr>
                <w:sz w:val="20"/>
                <w:szCs w:val="20"/>
                <w:color w:val="auto"/>
              </w:rPr>
            </w:pPr>
            <w:r>
              <w:rPr>
                <w:rFonts w:ascii="Arial" w:cs="Arial" w:eastAsia="Arial" w:hAnsi="Arial"/>
                <w:sz w:val="11"/>
                <w:szCs w:val="11"/>
                <w:color w:val="auto"/>
              </w:rPr>
              <w:t>78 bps</w:t>
            </w:r>
          </w:p>
        </w:tc>
        <w:tc>
          <w:tcPr>
            <w:tcW w:w="1200" w:type="dxa"/>
            <w:vAlign w:val="bottom"/>
            <w:tcBorders>
              <w:bottom w:val="single" w:sz="8" w:color="auto"/>
              <w:right w:val="single" w:sz="8" w:color="auto"/>
            </w:tcBorders>
          </w:tcPr>
          <w:p>
            <w:pPr>
              <w:jc w:val="center"/>
              <w:ind w:left="183"/>
              <w:spacing w:after="0" w:line="114" w:lineRule="exact"/>
              <w:rPr>
                <w:sz w:val="20"/>
                <w:szCs w:val="20"/>
                <w:color w:val="auto"/>
              </w:rPr>
            </w:pPr>
            <w:r>
              <w:rPr>
                <w:rFonts w:ascii="Arial" w:cs="Arial" w:eastAsia="Arial" w:hAnsi="Arial"/>
                <w:sz w:val="11"/>
                <w:szCs w:val="11"/>
                <w:color w:val="auto"/>
              </w:rPr>
              <w:t>127 bps</w:t>
            </w:r>
          </w:p>
        </w:tc>
        <w:tc>
          <w:tcPr>
            <w:tcW w:w="720" w:type="dxa"/>
            <w:vAlign w:val="bottom"/>
            <w:tcBorders>
              <w:bottom w:val="single" w:sz="8" w:color="auto"/>
            </w:tcBorders>
          </w:tcPr>
          <w:p>
            <w:pPr>
              <w:jc w:val="center"/>
              <w:ind w:left="83"/>
              <w:spacing w:after="0" w:line="114" w:lineRule="exact"/>
              <w:rPr>
                <w:sz w:val="20"/>
                <w:szCs w:val="20"/>
                <w:color w:val="auto"/>
              </w:rPr>
            </w:pPr>
            <w:r>
              <w:rPr>
                <w:rFonts w:ascii="Arial" w:cs="Arial" w:eastAsia="Arial" w:hAnsi="Arial"/>
                <w:sz w:val="11"/>
                <w:szCs w:val="11"/>
                <w:color w:val="auto"/>
              </w:rPr>
              <w:t>1.3%</w:t>
            </w:r>
          </w:p>
        </w:tc>
        <w:tc>
          <w:tcPr>
            <w:tcW w:w="1060" w:type="dxa"/>
            <w:vAlign w:val="bottom"/>
            <w:tcBorders>
              <w:bottom w:val="single" w:sz="8" w:color="auto"/>
              <w:right w:val="single" w:sz="8" w:color="auto"/>
            </w:tcBorders>
          </w:tcPr>
          <w:p>
            <w:pPr>
              <w:jc w:val="center"/>
              <w:ind w:left="103"/>
              <w:spacing w:after="0" w:line="114" w:lineRule="exact"/>
              <w:rPr>
                <w:sz w:val="20"/>
                <w:szCs w:val="20"/>
                <w:color w:val="auto"/>
              </w:rPr>
            </w:pPr>
            <w:r>
              <w:rPr>
                <w:rFonts w:ascii="Arial" w:cs="Arial" w:eastAsia="Arial" w:hAnsi="Arial"/>
                <w:sz w:val="11"/>
                <w:szCs w:val="11"/>
                <w:color w:val="auto"/>
              </w:rPr>
              <w:t>2.5%</w:t>
            </w:r>
          </w:p>
        </w:tc>
        <w:tc>
          <w:tcPr>
            <w:tcW w:w="9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129 bps</w:t>
            </w:r>
          </w:p>
        </w:tc>
      </w:tr>
    </w:tbl>
    <w:p>
      <w:pPr>
        <w:spacing w:after="0" w:line="70" w:lineRule="exact"/>
        <w:rPr>
          <w:sz w:val="20"/>
          <w:szCs w:val="20"/>
          <w:color w:val="auto"/>
        </w:rPr>
      </w:pPr>
    </w:p>
    <w:p>
      <w:pPr>
        <w:ind w:left="162" w:hanging="162"/>
        <w:spacing w:after="0"/>
        <w:tabs>
          <w:tab w:leader="none" w:pos="162" w:val="left"/>
        </w:tabs>
        <w:numPr>
          <w:ilvl w:val="0"/>
          <w:numId w:val="31"/>
        </w:numPr>
        <w:rPr>
          <w:rFonts w:ascii="Arial" w:cs="Arial" w:eastAsia="Arial" w:hAnsi="Arial"/>
          <w:sz w:val="11"/>
          <w:szCs w:val="11"/>
          <w:color w:val="auto"/>
        </w:rPr>
      </w:pPr>
      <w:r>
        <w:rPr>
          <w:rFonts w:ascii="Arial" w:cs="Arial" w:eastAsia="Arial" w:hAnsi="Arial"/>
          <w:sz w:val="11"/>
          <w:szCs w:val="11"/>
          <w:color w:val="auto"/>
        </w:rPr>
        <w:t>Provision for credit losses on loan portfolio, net of annualized recoveries / Total loans.</w:t>
      </w:r>
    </w:p>
    <w:p>
      <w:pPr>
        <w:spacing w:after="0" w:line="5" w:lineRule="exact"/>
        <w:rPr>
          <w:rFonts w:ascii="Arial" w:cs="Arial" w:eastAsia="Arial" w:hAnsi="Arial"/>
          <w:sz w:val="11"/>
          <w:szCs w:val="11"/>
          <w:color w:val="auto"/>
        </w:rPr>
      </w:pPr>
    </w:p>
    <w:p>
      <w:pPr>
        <w:ind w:left="162" w:hanging="162"/>
        <w:spacing w:after="0"/>
        <w:tabs>
          <w:tab w:leader="none" w:pos="162"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Cost of structural risk excludes Provisions for credit losses for the loan portfolio, net of recoveries and Placements of the government programs (PG) Reactiva Perú, FAE and Impulso MyPerú.</w:t>
      </w:r>
    </w:p>
    <w:p>
      <w:pPr>
        <w:spacing w:after="0" w:line="167" w:lineRule="exact"/>
        <w:rPr>
          <w:sz w:val="20"/>
          <w:szCs w:val="20"/>
          <w:color w:val="auto"/>
        </w:rPr>
      </w:pPr>
    </w:p>
    <w:p>
      <w:pPr>
        <w:jc w:val="both"/>
        <w:ind w:left="2" w:right="20"/>
        <w:spacing w:after="0" w:line="279" w:lineRule="auto"/>
        <w:rPr>
          <w:sz w:val="20"/>
          <w:szCs w:val="20"/>
          <w:color w:val="auto"/>
        </w:rPr>
      </w:pPr>
      <w:r>
        <w:rPr>
          <w:rFonts w:ascii="Arial" w:cs="Arial" w:eastAsia="Arial" w:hAnsi="Arial"/>
          <w:sz w:val="16"/>
          <w:szCs w:val="16"/>
          <w:color w:val="auto"/>
        </w:rPr>
        <w:t>This past quarter, structural provisions remained high and includes an additional charge for provisions set aside for “El Niño”. Next, we will explain the quarterly, yearly and YTD dynamics for provisions excluding this impact.</w:t>
      </w:r>
    </w:p>
    <w:p>
      <w:pPr>
        <w:spacing w:after="0" w:line="121" w:lineRule="exact"/>
        <w:rPr>
          <w:sz w:val="20"/>
          <w:szCs w:val="20"/>
          <w:color w:val="auto"/>
        </w:rPr>
      </w:pPr>
    </w:p>
    <w:p>
      <w:pPr>
        <w:jc w:val="both"/>
        <w:ind w:left="2" w:right="20"/>
        <w:spacing w:after="0" w:line="255"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provisions rose 2.8%, driven primarily by</w:t>
      </w:r>
      <w:r>
        <w:rPr>
          <w:rFonts w:ascii="Arial" w:cs="Arial" w:eastAsia="Arial" w:hAnsi="Arial"/>
          <w:sz w:val="16"/>
          <w:szCs w:val="16"/>
          <w:b w:val="1"/>
          <w:bCs w:val="1"/>
          <w:color w:val="auto"/>
        </w:rPr>
        <w:t xml:space="preserve"> Wholesale Banking </w:t>
      </w:r>
      <w:r>
        <w:rPr>
          <w:rFonts w:ascii="Arial" w:cs="Arial" w:eastAsia="Arial" w:hAnsi="Arial"/>
          <w:sz w:val="16"/>
          <w:szCs w:val="16"/>
          <w:color w:val="auto"/>
        </w:rPr>
        <w:t>due to a base effect that includes a decrease in reversals of provisions given that some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corporate clients paid their debt in 3Q23 and by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fueled by an uptick in deterioration of the payment performance of older vintages due to a recessive economic environment. The aforementioned was partially offset by reversals for sub-products of </w:t>
      </w:r>
      <w:r>
        <w:rPr>
          <w:rFonts w:ascii="Arial" w:cs="Arial" w:eastAsia="Arial" w:hAnsi="Arial"/>
          <w:sz w:val="16"/>
          <w:szCs w:val="16"/>
          <w:b w:val="1"/>
          <w:bCs w:val="1"/>
          <w:color w:val="auto"/>
        </w:rPr>
        <w:t>Mortgage Loans</w:t>
      </w:r>
      <w:r>
        <w:rPr>
          <w:rFonts w:ascii="Arial" w:cs="Arial" w:eastAsia="Arial" w:hAnsi="Arial"/>
          <w:sz w:val="16"/>
          <w:szCs w:val="16"/>
          <w:color w:val="auto"/>
        </w:rPr>
        <w:t xml:space="preserve"> and by a more significant contraction in loans at </w:t>
      </w:r>
      <w:r>
        <w:rPr>
          <w:rFonts w:ascii="Arial" w:cs="Arial" w:eastAsia="Arial" w:hAnsi="Arial"/>
          <w:sz w:val="16"/>
          <w:szCs w:val="16"/>
          <w:b w:val="1"/>
          <w:bCs w:val="1"/>
          <w:color w:val="auto"/>
        </w:rPr>
        <w:t>Mibanco</w:t>
      </w:r>
      <w:r>
        <w:rPr>
          <w:rFonts w:ascii="Arial" w:cs="Arial" w:eastAsia="Arial" w:hAnsi="Arial"/>
          <w:sz w:val="16"/>
          <w:szCs w:val="16"/>
          <w:color w:val="auto"/>
        </w:rPr>
        <w:t>. Consequently, the Structural Cost of Risk (CofR) rose 78 bps QoQ (+72 bps for FEN).</w:t>
      </w:r>
    </w:p>
    <w:p>
      <w:pPr>
        <w:spacing w:after="0" w:line="132" w:lineRule="exact"/>
        <w:rPr>
          <w:sz w:val="20"/>
          <w:szCs w:val="20"/>
          <w:color w:val="auto"/>
        </w:rPr>
      </w:pPr>
    </w:p>
    <w:p>
      <w:pPr>
        <w:jc w:val="both"/>
        <w:ind w:left="2" w:right="20"/>
        <w:spacing w:after="0" w:line="264"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provisions increased 29.3%, driven by</w:t>
      </w:r>
      <w:r>
        <w:rPr>
          <w:rFonts w:ascii="Arial" w:cs="Arial" w:eastAsia="Arial" w:hAnsi="Arial"/>
          <w:sz w:val="16"/>
          <w:szCs w:val="16"/>
          <w:b w:val="1"/>
          <w:bCs w:val="1"/>
          <w:color w:val="auto"/>
        </w:rPr>
        <w:t xml:space="preserve"> SME-Pyme, </w:t>
      </w:r>
      <w:r>
        <w:rPr>
          <w:rFonts w:ascii="Arial" w:cs="Arial" w:eastAsia="Arial" w:hAnsi="Arial"/>
          <w:sz w:val="16"/>
          <w:szCs w:val="16"/>
          <w:color w:val="auto"/>
        </w:rPr>
        <w:t>due to a base effect for reversals reported in 4Q22, and by</w:t>
      </w:r>
      <w:r>
        <w:rPr>
          <w:rFonts w:ascii="Arial" w:cs="Arial" w:eastAsia="Arial" w:hAnsi="Arial"/>
          <w:sz w:val="16"/>
          <w:szCs w:val="16"/>
          <w:b w:val="1"/>
          <w:bCs w:val="1"/>
          <w:color w:val="auto"/>
        </w:rPr>
        <w:t xml:space="preserve"> Consumer and Credit Cards</w:t>
      </w:r>
      <w:r>
        <w:rPr>
          <w:rFonts w:ascii="Arial" w:cs="Arial" w:eastAsia="Arial" w:hAnsi="Arial"/>
          <w:sz w:val="16"/>
          <w:szCs w:val="16"/>
          <w:color w:val="auto"/>
        </w:rPr>
        <w:t>, due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uptick in deterioration of previous vintages. This growth was partially offset by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which was attributable to a base effect due to higher provisions in 4Q22, and by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due to an uptick in the contraction reported for loans.</w:t>
      </w:r>
    </w:p>
    <w:p>
      <w:pPr>
        <w:spacing w:after="0" w:line="13" w:lineRule="exact"/>
        <w:rPr>
          <w:sz w:val="20"/>
          <w:szCs w:val="20"/>
          <w:color w:val="auto"/>
        </w:rPr>
      </w:pPr>
    </w:p>
    <w:p>
      <w:pPr>
        <w:ind w:left="6962"/>
        <w:spacing w:after="0"/>
        <w:rPr>
          <w:sz w:val="20"/>
          <w:szCs w:val="20"/>
          <w:color w:val="auto"/>
        </w:rPr>
      </w:pPr>
      <w:r>
        <w:rPr>
          <w:rFonts w:ascii="Arial" w:cs="Arial" w:eastAsia="Arial" w:hAnsi="Arial"/>
          <w:sz w:val="16"/>
          <w:szCs w:val="16"/>
          <w:b w:val="1"/>
          <w:bCs w:val="1"/>
          <w:color w:val="auto"/>
        </w:rPr>
        <w:t xml:space="preserve">Structural Cost of Risk by Subsidiary </w:t>
      </w:r>
      <w:r>
        <w:rPr>
          <w:rFonts w:ascii="Arial" w:cs="Arial" w:eastAsia="Arial" w:hAnsi="Arial"/>
          <w:sz w:val="27"/>
          <w:szCs w:val="27"/>
          <w:b w:val="1"/>
          <w:bCs w:val="1"/>
          <w:color w:val="auto"/>
          <w:vertAlign w:val="superscript"/>
        </w:rPr>
        <w:t>(1)</w:t>
      </w:r>
    </w:p>
    <w:p>
      <w:pPr>
        <w:ind w:left="2"/>
        <w:spacing w:after="0"/>
        <w:rPr>
          <w:sz w:val="20"/>
          <w:szCs w:val="20"/>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provisions rose 91.0%, fueled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0</wp:posOffset>
            </wp:positionV>
            <wp:extent cx="3096895" cy="1680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96895" cy="1680210"/>
                    </a:xfrm>
                    <a:prstGeom prst="rect">
                      <a:avLst/>
                    </a:prstGeom>
                    <a:noFill/>
                  </pic:spPr>
                </pic:pic>
              </a:graphicData>
            </a:graphic>
          </wp:anchor>
        </w:drawing>
      </w:r>
    </w:p>
    <w:p>
      <w:pPr>
        <w:spacing w:after="0" w:line="146" w:lineRule="exact"/>
        <w:rPr>
          <w:sz w:val="20"/>
          <w:szCs w:val="20"/>
          <w:color w:val="auto"/>
        </w:rPr>
      </w:pPr>
    </w:p>
    <w:p>
      <w:pPr>
        <w:ind w:left="582" w:hanging="290"/>
        <w:spacing w:after="0"/>
        <w:tabs>
          <w:tab w:leader="none" w:pos="582"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Consumer and Credit Card, </w:t>
      </w:r>
      <w:r>
        <w:rPr>
          <w:rFonts w:ascii="Arial" w:cs="Arial" w:eastAsia="Arial" w:hAnsi="Arial"/>
          <w:sz w:val="16"/>
          <w:szCs w:val="16"/>
          <w:color w:val="auto"/>
        </w:rPr>
        <w:t>due to the same dynamics seen YoY.</w:t>
      </w:r>
    </w:p>
    <w:p>
      <w:pPr>
        <w:spacing w:after="0" w:line="14" w:lineRule="exact"/>
        <w:rPr>
          <w:rFonts w:ascii="Arial" w:cs="Arial" w:eastAsia="Arial" w:hAnsi="Arial"/>
          <w:sz w:val="16"/>
          <w:szCs w:val="16"/>
          <w:color w:val="auto"/>
        </w:rPr>
      </w:pPr>
    </w:p>
    <w:p>
      <w:pPr>
        <w:jc w:val="both"/>
        <w:ind w:left="582" w:right="5760" w:hanging="290"/>
        <w:spacing w:after="0" w:line="238" w:lineRule="auto"/>
        <w:tabs>
          <w:tab w:leader="none" w:pos="582"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SME-Pyme, </w:t>
      </w:r>
      <w:r>
        <w:rPr>
          <w:rFonts w:ascii="Arial" w:cs="Arial" w:eastAsia="Arial" w:hAnsi="Arial"/>
          <w:sz w:val="16"/>
          <w:szCs w:val="16"/>
          <w:color w:val="auto"/>
        </w:rPr>
        <w:t>due to an uptick in the deterioration of previous</w:t>
      </w:r>
      <w:r>
        <w:rPr>
          <w:rFonts w:ascii="Arial" w:cs="Arial" w:eastAsia="Arial" w:hAnsi="Arial"/>
          <w:sz w:val="16"/>
          <w:szCs w:val="16"/>
          <w:b w:val="1"/>
          <w:bCs w:val="1"/>
          <w:color w:val="auto"/>
        </w:rPr>
        <w:t xml:space="preserve"> </w:t>
      </w:r>
      <w:r>
        <w:rPr>
          <w:rFonts w:ascii="Arial" w:cs="Arial" w:eastAsia="Arial" w:hAnsi="Arial"/>
          <w:sz w:val="16"/>
          <w:szCs w:val="16"/>
          <w:color w:val="auto"/>
        </w:rPr>
        <w:t>vintages, which was concentrated in higher-risk segments with lower tickets (&lt; S/ 90,000).</w:t>
      </w:r>
    </w:p>
    <w:p>
      <w:pPr>
        <w:spacing w:after="0" w:line="1" w:lineRule="exact"/>
        <w:rPr>
          <w:rFonts w:ascii="Arial" w:cs="Arial" w:eastAsia="Arial" w:hAnsi="Arial"/>
          <w:sz w:val="16"/>
          <w:szCs w:val="16"/>
          <w:color w:val="auto"/>
        </w:rPr>
      </w:pPr>
    </w:p>
    <w:p>
      <w:pPr>
        <w:ind w:left="582" w:right="5760" w:hanging="290"/>
        <w:spacing w:after="0" w:line="258" w:lineRule="auto"/>
        <w:tabs>
          <w:tab w:leader="none" w:pos="582"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Mibanco, </w:t>
      </w:r>
      <w:r>
        <w:rPr>
          <w:rFonts w:ascii="Arial" w:cs="Arial" w:eastAsia="Arial" w:hAnsi="Arial"/>
          <w:sz w:val="16"/>
          <w:szCs w:val="16"/>
          <w:color w:val="auto"/>
        </w:rPr>
        <w:t>affected by a deterioration in the payment capacity of</w:t>
      </w:r>
      <w:r>
        <w:rPr>
          <w:rFonts w:ascii="Arial" w:cs="Arial" w:eastAsia="Arial" w:hAnsi="Arial"/>
          <w:sz w:val="16"/>
          <w:szCs w:val="16"/>
          <w:b w:val="1"/>
          <w:bCs w:val="1"/>
          <w:color w:val="auto"/>
        </w:rPr>
        <w:t xml:space="preserve"> </w:t>
      </w:r>
      <w:r>
        <w:rPr>
          <w:rFonts w:ascii="Arial" w:cs="Arial" w:eastAsia="Arial" w:hAnsi="Arial"/>
          <w:sz w:val="16"/>
          <w:szCs w:val="16"/>
          <w:color w:val="auto"/>
        </w:rPr>
        <w:t>overindebted clients.</w:t>
      </w:r>
    </w:p>
    <w:p>
      <w:pPr>
        <w:spacing w:after="0" w:line="137" w:lineRule="exact"/>
        <w:rPr>
          <w:sz w:val="20"/>
          <w:szCs w:val="20"/>
          <w:color w:val="auto"/>
        </w:rPr>
      </w:pPr>
    </w:p>
    <w:p>
      <w:pPr>
        <w:ind w:left="2" w:right="6000"/>
        <w:spacing w:after="0" w:line="279" w:lineRule="auto"/>
        <w:rPr>
          <w:sz w:val="20"/>
          <w:szCs w:val="20"/>
          <w:color w:val="auto"/>
        </w:rPr>
      </w:pPr>
      <w:r>
        <w:rPr>
          <w:rFonts w:ascii="Arial" w:cs="Arial" w:eastAsia="Arial" w:hAnsi="Arial"/>
          <w:sz w:val="16"/>
          <w:szCs w:val="16"/>
          <w:color w:val="auto"/>
        </w:rPr>
        <w:t>The aforementioned was offset by reversals in Wholesale Banking, which were discussed in the QoQ and YoY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0520" w:type="dxa"/>
            <w:vAlign w:val="bottom"/>
          </w:tcPr>
          <w:p>
            <w:pPr>
              <w:ind w:left="5740"/>
              <w:spacing w:after="0"/>
              <w:rPr>
                <w:sz w:val="20"/>
                <w:szCs w:val="20"/>
                <w:color w:val="auto"/>
              </w:rPr>
            </w:pPr>
            <w:r>
              <w:rPr>
                <w:rFonts w:ascii="Arial" w:cs="Arial" w:eastAsia="Arial" w:hAnsi="Arial"/>
                <w:sz w:val="11"/>
                <w:szCs w:val="11"/>
                <w:color w:val="auto"/>
              </w:rPr>
              <w:t>(1) Includes the specific provision for the expected impact of “El Niño” Phenomenon.</w:t>
            </w:r>
          </w:p>
        </w:tc>
        <w:tc>
          <w:tcPr>
            <w:tcW w:w="740" w:type="dxa"/>
            <w:vAlign w:val="bottom"/>
          </w:tcPr>
          <w:p>
            <w:pPr>
              <w:spacing w:after="0"/>
              <w:rPr>
                <w:sz w:val="12"/>
                <w:szCs w:val="12"/>
                <w:color w:val="auto"/>
              </w:rPr>
            </w:pPr>
          </w:p>
        </w:tc>
      </w:tr>
      <w:tr>
        <w:trPr>
          <w:trHeight w:val="386"/>
        </w:trPr>
        <w:tc>
          <w:tcPr>
            <w:tcW w:w="1052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75"/>
        </w:trPr>
        <w:tc>
          <w:tcPr>
            <w:tcW w:w="10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460" w:right="319" w:bottom="1440" w:gutter="0" w:footer="0" w:header="0"/>
        </w:sectPr>
      </w:pPr>
    </w:p>
    <w:bookmarkStart w:id="35" w:name="page36"/>
    <w:bookmarkEnd w:id="35"/>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05. Provisions</w:t>
      </w:r>
    </w:p>
    <w:p>
      <w:pPr>
        <w:spacing w:after="0" w:line="297" w:lineRule="exact"/>
        <w:rPr>
          <w:sz w:val="20"/>
          <w:szCs w:val="20"/>
          <w:color w:val="auto"/>
        </w:rPr>
      </w:pPr>
    </w:p>
    <w:p>
      <w:pPr>
        <w:ind w:right="1800"/>
        <w:spacing w:after="0" w:line="381" w:lineRule="auto"/>
        <w:rPr>
          <w:sz w:val="20"/>
          <w:szCs w:val="20"/>
          <w:color w:val="auto"/>
        </w:rPr>
      </w:pPr>
      <w:r>
        <w:rPr>
          <w:rFonts w:ascii="Arial" w:cs="Arial" w:eastAsia="Arial" w:hAnsi="Arial"/>
          <w:sz w:val="16"/>
          <w:szCs w:val="16"/>
          <w:color w:val="auto"/>
        </w:rPr>
        <w:t xml:space="preserve">The evolution of provisions led the Structural CofR ratio to rise 127 bps YoY (+72 bps for FEN) and 129 bps YTD (+18 bps for FEN). </w:t>
      </w:r>
      <w:r>
        <w:rPr>
          <w:rFonts w:ascii="Arial" w:cs="Arial" w:eastAsia="Arial" w:hAnsi="Arial"/>
          <w:sz w:val="16"/>
          <w:szCs w:val="16"/>
          <w:b w:val="1"/>
          <w:bCs w:val="1"/>
          <w:color w:val="auto"/>
        </w:rPr>
        <w:t>Provisions and CofR in for Government Loans (GP)</w:t>
      </w:r>
    </w:p>
    <w:tbl>
      <w:tblPr>
        <w:tblLayout w:type="fixed"/>
        <w:tblInd w:w="10" w:type="dxa"/>
        <w:tblCellMar>
          <w:top w:w="0" w:type="dxa"/>
          <w:left w:w="0" w:type="dxa"/>
          <w:bottom w:w="0" w:type="dxa"/>
          <w:right w:w="0" w:type="dxa"/>
        </w:tblCellMar>
      </w:tblPr>
      <w:tr>
        <w:trPr>
          <w:trHeight w:val="80"/>
        </w:trPr>
        <w:tc>
          <w:tcPr>
            <w:tcW w:w="4060" w:type="dxa"/>
            <w:vAlign w:val="bottom"/>
            <w:tcBorders>
              <w:top w:val="single" w:sz="8" w:color="auto"/>
              <w:left w:val="single" w:sz="8" w:color="auto"/>
              <w:right w:val="single" w:sz="8" w:color="auto"/>
            </w:tcBorders>
            <w:shd w:val="clear" w:color="auto" w:fill="2AD2C9"/>
          </w:tcPr>
          <w:p>
            <w:pPr>
              <w:ind w:left="40"/>
              <w:spacing w:after="0" w:line="80" w:lineRule="exact"/>
              <w:rPr>
                <w:sz w:val="20"/>
                <w:szCs w:val="20"/>
                <w:color w:val="auto"/>
              </w:rPr>
            </w:pPr>
            <w:r>
              <w:rPr>
                <w:rFonts w:ascii="Arial" w:cs="Arial" w:eastAsia="Arial" w:hAnsi="Arial"/>
                <w:sz w:val="9"/>
                <w:szCs w:val="9"/>
                <w:b w:val="1"/>
                <w:bCs w:val="1"/>
                <w:color w:val="FFFFFF"/>
              </w:rPr>
              <w:t>GP Loan Portfolio Provisions</w:t>
            </w:r>
          </w:p>
        </w:tc>
        <w:tc>
          <w:tcPr>
            <w:tcW w:w="880" w:type="dxa"/>
            <w:vAlign w:val="bottom"/>
            <w:tcBorders>
              <w:top w:val="single" w:sz="8" w:color="auto"/>
            </w:tcBorders>
            <w:shd w:val="clear" w:color="auto" w:fill="2AD2C9"/>
          </w:tcPr>
          <w:p>
            <w:pPr>
              <w:spacing w:after="0"/>
              <w:rPr>
                <w:sz w:val="6"/>
                <w:szCs w:val="6"/>
                <w:color w:val="auto"/>
              </w:rPr>
            </w:pPr>
          </w:p>
        </w:tc>
        <w:tc>
          <w:tcPr>
            <w:tcW w:w="940" w:type="dxa"/>
            <w:vAlign w:val="bottom"/>
            <w:tcBorders>
              <w:top w:val="single" w:sz="8" w:color="auto"/>
            </w:tcBorders>
            <w:shd w:val="clear" w:color="auto" w:fill="2AD2C9"/>
          </w:tcPr>
          <w:p>
            <w:pPr>
              <w:ind w:left="240"/>
              <w:spacing w:after="0" w:line="80" w:lineRule="exact"/>
              <w:rPr>
                <w:sz w:val="20"/>
                <w:szCs w:val="20"/>
                <w:color w:val="auto"/>
              </w:rPr>
            </w:pPr>
            <w:r>
              <w:rPr>
                <w:rFonts w:ascii="Arial" w:cs="Arial" w:eastAsia="Arial" w:hAnsi="Arial"/>
                <w:sz w:val="9"/>
                <w:szCs w:val="9"/>
                <w:b w:val="1"/>
                <w:bCs w:val="1"/>
                <w:color w:val="FFFFFF"/>
              </w:rPr>
              <w:t>Quarter</w:t>
            </w:r>
          </w:p>
        </w:tc>
        <w:tc>
          <w:tcPr>
            <w:tcW w:w="900" w:type="dxa"/>
            <w:vAlign w:val="bottom"/>
            <w:tcBorders>
              <w:top w:val="single" w:sz="8" w:color="auto"/>
              <w:right w:val="single" w:sz="8" w:color="auto"/>
            </w:tcBorders>
            <w:shd w:val="clear" w:color="auto" w:fill="2AD2C9"/>
          </w:tcPr>
          <w:p>
            <w:pPr>
              <w:spacing w:after="0"/>
              <w:rPr>
                <w:sz w:val="6"/>
                <w:szCs w:val="6"/>
                <w:color w:val="auto"/>
              </w:rPr>
            </w:pPr>
          </w:p>
        </w:tc>
        <w:tc>
          <w:tcPr>
            <w:tcW w:w="1800" w:type="dxa"/>
            <w:vAlign w:val="bottom"/>
            <w:tcBorders>
              <w:top w:val="single" w:sz="8" w:color="auto"/>
              <w:right w:val="single" w:sz="8" w:color="auto"/>
            </w:tcBorders>
            <w:gridSpan w:val="2"/>
            <w:shd w:val="clear" w:color="auto" w:fill="2AD2C9"/>
          </w:tcPr>
          <w:p>
            <w:pPr>
              <w:ind w:left="620"/>
              <w:spacing w:after="0" w:line="80" w:lineRule="exact"/>
              <w:rPr>
                <w:sz w:val="20"/>
                <w:szCs w:val="20"/>
                <w:color w:val="auto"/>
              </w:rPr>
            </w:pPr>
            <w:r>
              <w:rPr>
                <w:rFonts w:ascii="Arial" w:cs="Arial" w:eastAsia="Arial" w:hAnsi="Arial"/>
                <w:sz w:val="9"/>
                <w:szCs w:val="9"/>
                <w:b w:val="1"/>
                <w:bCs w:val="1"/>
                <w:color w:val="FFFFFF"/>
              </w:rPr>
              <w:t>% change</w:t>
            </w:r>
          </w:p>
        </w:tc>
        <w:tc>
          <w:tcPr>
            <w:tcW w:w="1060" w:type="dxa"/>
            <w:vAlign w:val="bottom"/>
            <w:tcBorders>
              <w:top w:val="single" w:sz="8" w:color="auto"/>
            </w:tcBorders>
            <w:shd w:val="clear" w:color="auto" w:fill="2AD2C9"/>
          </w:tcPr>
          <w:p>
            <w:pPr>
              <w:ind w:left="740"/>
              <w:spacing w:after="0" w:line="80" w:lineRule="exact"/>
              <w:rPr>
                <w:sz w:val="20"/>
                <w:szCs w:val="20"/>
                <w:color w:val="auto"/>
              </w:rPr>
            </w:pPr>
            <w:r>
              <w:rPr>
                <w:rFonts w:ascii="Arial" w:cs="Arial" w:eastAsia="Arial" w:hAnsi="Arial"/>
                <w:sz w:val="9"/>
                <w:szCs w:val="9"/>
                <w:b w:val="1"/>
                <w:bCs w:val="1"/>
                <w:color w:val="FFFFFF"/>
              </w:rPr>
              <w:t>Up to</w:t>
            </w:r>
          </w:p>
        </w:tc>
        <w:tc>
          <w:tcPr>
            <w:tcW w:w="720" w:type="dxa"/>
            <w:vAlign w:val="bottom"/>
            <w:tcBorders>
              <w:top w:val="single" w:sz="8" w:color="auto"/>
              <w:right w:val="single" w:sz="8" w:color="auto"/>
            </w:tcBorders>
            <w:shd w:val="clear" w:color="auto" w:fill="2AD2C9"/>
          </w:tcPr>
          <w:p>
            <w:pPr>
              <w:spacing w:after="0"/>
              <w:rPr>
                <w:sz w:val="6"/>
                <w:szCs w:val="6"/>
                <w:color w:val="auto"/>
              </w:rPr>
            </w:pPr>
          </w:p>
        </w:tc>
        <w:tc>
          <w:tcPr>
            <w:tcW w:w="900" w:type="dxa"/>
            <w:vAlign w:val="bottom"/>
            <w:tcBorders>
              <w:top w:val="single" w:sz="8" w:color="auto"/>
              <w:right w:val="single" w:sz="8" w:color="auto"/>
            </w:tcBorders>
            <w:shd w:val="clear" w:color="auto" w:fill="2AD2C9"/>
          </w:tcPr>
          <w:p>
            <w:pPr>
              <w:jc w:val="center"/>
              <w:spacing w:after="0" w:line="80" w:lineRule="exact"/>
              <w:rPr>
                <w:sz w:val="20"/>
                <w:szCs w:val="20"/>
                <w:color w:val="auto"/>
              </w:rPr>
            </w:pPr>
            <w:r>
              <w:rPr>
                <w:rFonts w:ascii="Arial" w:cs="Arial" w:eastAsia="Arial" w:hAnsi="Arial"/>
                <w:sz w:val="9"/>
                <w:szCs w:val="9"/>
                <w:b w:val="1"/>
                <w:bCs w:val="1"/>
                <w:color w:val="FFFFFF"/>
              </w:rPr>
              <w:t>% change</w:t>
            </w:r>
          </w:p>
        </w:tc>
      </w:tr>
      <w:tr>
        <w:trPr>
          <w:trHeight w:val="150"/>
        </w:trPr>
        <w:tc>
          <w:tcPr>
            <w:tcW w:w="40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S/ 000</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4Q22</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3Q23</w:t>
            </w:r>
          </w:p>
        </w:tc>
        <w:tc>
          <w:tcPr>
            <w:tcW w:w="900" w:type="dxa"/>
            <w:vAlign w:val="bottom"/>
            <w:tcBorders>
              <w:bottom w:val="single" w:sz="8" w:color="auto"/>
              <w:right w:val="single" w:sz="8" w:color="auto"/>
            </w:tcBorders>
            <w:shd w:val="clear" w:color="auto" w:fill="2AD2C9"/>
          </w:tcPr>
          <w:p>
            <w:pPr>
              <w:jc w:val="center"/>
              <w:ind w:right="3"/>
              <w:spacing w:after="0"/>
              <w:rPr>
                <w:sz w:val="20"/>
                <w:szCs w:val="20"/>
                <w:color w:val="auto"/>
              </w:rPr>
            </w:pPr>
            <w:r>
              <w:rPr>
                <w:rFonts w:ascii="Arial" w:cs="Arial" w:eastAsia="Arial" w:hAnsi="Arial"/>
                <w:sz w:val="11"/>
                <w:szCs w:val="11"/>
                <w:b w:val="1"/>
                <w:bCs w:val="1"/>
                <w:color w:val="FFFFFF"/>
              </w:rPr>
              <w:t>4Q23</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YoY</w:t>
            </w:r>
          </w:p>
        </w:tc>
        <w:tc>
          <w:tcPr>
            <w:tcW w:w="1060" w:type="dxa"/>
            <w:vAlign w:val="bottom"/>
            <w:tcBorders>
              <w:bottom w:val="single" w:sz="8" w:color="auto"/>
            </w:tcBorders>
            <w:shd w:val="clear" w:color="auto" w:fill="2AD2C9"/>
          </w:tcPr>
          <w:p>
            <w:pPr>
              <w:jc w:val="center"/>
              <w:ind w:right="145"/>
              <w:spacing w:after="0"/>
              <w:rPr>
                <w:sz w:val="20"/>
                <w:szCs w:val="20"/>
                <w:color w:val="auto"/>
              </w:rPr>
            </w:pPr>
            <w:r>
              <w:rPr>
                <w:rFonts w:ascii="Arial" w:cs="Arial" w:eastAsia="Arial" w:hAnsi="Arial"/>
                <w:sz w:val="11"/>
                <w:szCs w:val="11"/>
                <w:b w:val="1"/>
                <w:bCs w:val="1"/>
                <w:color w:val="FFFFFF"/>
              </w:rPr>
              <w:t>2022</w:t>
            </w:r>
          </w:p>
        </w:tc>
        <w:tc>
          <w:tcPr>
            <w:tcW w:w="720" w:type="dxa"/>
            <w:vAlign w:val="bottom"/>
            <w:tcBorders>
              <w:bottom w:val="single" w:sz="8" w:color="auto"/>
              <w:right w:val="single" w:sz="8" w:color="auto"/>
            </w:tcBorders>
            <w:shd w:val="clear" w:color="auto" w:fill="2AD2C9"/>
          </w:tcPr>
          <w:p>
            <w:pPr>
              <w:jc w:val="center"/>
              <w:ind w:right="143"/>
              <w:spacing w:after="0"/>
              <w:rPr>
                <w:sz w:val="20"/>
                <w:szCs w:val="20"/>
                <w:color w:val="auto"/>
              </w:rPr>
            </w:pPr>
            <w:r>
              <w:rPr>
                <w:rFonts w:ascii="Arial" w:cs="Arial" w:eastAsia="Arial" w:hAnsi="Arial"/>
                <w:sz w:val="11"/>
                <w:szCs w:val="11"/>
                <w:b w:val="1"/>
                <w:bCs w:val="1"/>
                <w:color w:val="FFFFFF"/>
                <w:w w:val="97"/>
              </w:rPr>
              <w:t>2023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2023 / 2022</w:t>
            </w:r>
          </w:p>
        </w:tc>
      </w:tr>
      <w:tr>
        <w:trPr>
          <w:trHeight w:val="99"/>
        </w:trPr>
        <w:tc>
          <w:tcPr>
            <w:tcW w:w="406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1"/>
                <w:szCs w:val="11"/>
                <w:color w:val="auto"/>
              </w:rPr>
              <w:t>Gross provision for credit losses on loan portfolio</w:t>
            </w:r>
          </w:p>
        </w:tc>
        <w:tc>
          <w:tcPr>
            <w:tcW w:w="880" w:type="dxa"/>
            <w:vAlign w:val="bottom"/>
          </w:tcPr>
          <w:p>
            <w:pPr>
              <w:jc w:val="center"/>
              <w:spacing w:after="0" w:line="99" w:lineRule="exact"/>
              <w:rPr>
                <w:sz w:val="20"/>
                <w:szCs w:val="20"/>
                <w:color w:val="auto"/>
              </w:rPr>
            </w:pPr>
            <w:r>
              <w:rPr>
                <w:rFonts w:ascii="Arial" w:cs="Arial" w:eastAsia="Arial" w:hAnsi="Arial"/>
                <w:sz w:val="11"/>
                <w:szCs w:val="11"/>
                <w:color w:val="auto"/>
              </w:rPr>
              <w:t>(15,725)</w:t>
            </w:r>
          </w:p>
        </w:tc>
        <w:tc>
          <w:tcPr>
            <w:tcW w:w="940" w:type="dxa"/>
            <w:vAlign w:val="bottom"/>
          </w:tcPr>
          <w:p>
            <w:pPr>
              <w:jc w:val="center"/>
              <w:spacing w:after="0" w:line="99" w:lineRule="exact"/>
              <w:rPr>
                <w:sz w:val="20"/>
                <w:szCs w:val="20"/>
                <w:color w:val="auto"/>
              </w:rPr>
            </w:pPr>
            <w:r>
              <w:rPr>
                <w:rFonts w:ascii="Arial" w:cs="Arial" w:eastAsia="Arial" w:hAnsi="Arial"/>
                <w:sz w:val="11"/>
                <w:szCs w:val="11"/>
                <w:color w:val="auto"/>
              </w:rPr>
              <w:t>(18,484)</w:t>
            </w:r>
          </w:p>
        </w:tc>
        <w:tc>
          <w:tcPr>
            <w:tcW w:w="900" w:type="dxa"/>
            <w:vAlign w:val="bottom"/>
            <w:tcBorders>
              <w:right w:val="single" w:sz="8" w:color="auto"/>
            </w:tcBorders>
          </w:tcPr>
          <w:p>
            <w:pPr>
              <w:jc w:val="center"/>
              <w:ind w:right="3"/>
              <w:spacing w:after="0" w:line="99" w:lineRule="exact"/>
              <w:rPr>
                <w:sz w:val="20"/>
                <w:szCs w:val="20"/>
                <w:color w:val="auto"/>
              </w:rPr>
            </w:pPr>
            <w:r>
              <w:rPr>
                <w:rFonts w:ascii="Arial" w:cs="Arial" w:eastAsia="Arial" w:hAnsi="Arial"/>
                <w:sz w:val="11"/>
                <w:szCs w:val="11"/>
                <w:color w:val="auto"/>
              </w:rPr>
              <w:t>4,929</w:t>
            </w:r>
          </w:p>
        </w:tc>
        <w:tc>
          <w:tcPr>
            <w:tcW w:w="880" w:type="dxa"/>
            <w:vAlign w:val="bottom"/>
          </w:tcPr>
          <w:p>
            <w:pPr>
              <w:jc w:val="center"/>
              <w:spacing w:after="0" w:line="99" w:lineRule="exact"/>
              <w:rPr>
                <w:sz w:val="20"/>
                <w:szCs w:val="20"/>
                <w:color w:val="auto"/>
              </w:rPr>
            </w:pPr>
            <w:r>
              <w:rPr>
                <w:rFonts w:ascii="Arial" w:cs="Arial" w:eastAsia="Arial" w:hAnsi="Arial"/>
                <w:sz w:val="11"/>
                <w:szCs w:val="11"/>
                <w:color w:val="auto"/>
              </w:rPr>
              <w:t>-126.7%</w:t>
            </w:r>
          </w:p>
        </w:tc>
        <w:tc>
          <w:tcPr>
            <w:tcW w:w="9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-131.3%</w:t>
            </w:r>
          </w:p>
        </w:tc>
        <w:tc>
          <w:tcPr>
            <w:tcW w:w="1060" w:type="dxa"/>
            <w:vAlign w:val="bottom"/>
          </w:tcPr>
          <w:p>
            <w:pPr>
              <w:jc w:val="center"/>
              <w:ind w:right="145"/>
              <w:spacing w:after="0" w:line="99" w:lineRule="exact"/>
              <w:rPr>
                <w:sz w:val="20"/>
                <w:szCs w:val="20"/>
                <w:color w:val="auto"/>
              </w:rPr>
            </w:pPr>
            <w:r>
              <w:rPr>
                <w:rFonts w:ascii="Arial" w:cs="Arial" w:eastAsia="Arial" w:hAnsi="Arial"/>
                <w:sz w:val="11"/>
                <w:szCs w:val="11"/>
                <w:color w:val="auto"/>
              </w:rPr>
              <w:t>(58,014)</w:t>
            </w:r>
          </w:p>
        </w:tc>
        <w:tc>
          <w:tcPr>
            <w:tcW w:w="720" w:type="dxa"/>
            <w:vAlign w:val="bottom"/>
            <w:tcBorders>
              <w:right w:val="single" w:sz="8" w:color="auto"/>
            </w:tcBorders>
          </w:tcPr>
          <w:p>
            <w:pPr>
              <w:jc w:val="center"/>
              <w:ind w:right="123"/>
              <w:spacing w:after="0" w:line="99" w:lineRule="exact"/>
              <w:rPr>
                <w:sz w:val="20"/>
                <w:szCs w:val="20"/>
                <w:color w:val="auto"/>
              </w:rPr>
            </w:pPr>
            <w:r>
              <w:rPr>
                <w:rFonts w:ascii="Arial" w:cs="Arial" w:eastAsia="Arial" w:hAnsi="Arial"/>
                <w:sz w:val="11"/>
                <w:szCs w:val="11"/>
                <w:color w:val="auto"/>
              </w:rPr>
              <w:t>(19,615)</w:t>
            </w:r>
          </w:p>
        </w:tc>
        <w:tc>
          <w:tcPr>
            <w:tcW w:w="9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-66.2%</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Recoveries of written-off loans</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center"/>
              <w:ind w:right="125"/>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center"/>
              <w:ind w:right="143"/>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r>
      <w:tr>
        <w:trPr>
          <w:trHeight w:val="137"/>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Provision for credit losses on loan portfolio, net of recoveries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(15,725)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(18,484)</w:t>
            </w:r>
          </w:p>
        </w:tc>
        <w:tc>
          <w:tcPr>
            <w:tcW w:w="90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4,929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-126.7%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-131.3%</w:t>
            </w: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rPr>
              <w:t>(58,014)</w:t>
            </w:r>
          </w:p>
        </w:tc>
        <w:tc>
          <w:tcPr>
            <w:tcW w:w="720" w:type="dxa"/>
            <w:vAlign w:val="bottom"/>
            <w:tcBorders>
              <w:bottom w:val="single" w:sz="8" w:color="auto"/>
              <w:right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rPr>
              <w:t>(19,615)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-66.2%</w:t>
            </w:r>
          </w:p>
        </w:tc>
      </w:tr>
      <w:tr>
        <w:trPr>
          <w:trHeight w:val="114"/>
        </w:trPr>
        <w:tc>
          <w:tcPr>
            <w:tcW w:w="406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color w:val="auto"/>
              </w:rPr>
              <w:t>GP Cost of risk (1)</w:t>
            </w:r>
          </w:p>
        </w:tc>
        <w:tc>
          <w:tcPr>
            <w:tcW w:w="8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0.7%</w:t>
            </w:r>
          </w:p>
        </w:tc>
        <w:tc>
          <w:tcPr>
            <w:tcW w:w="9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1.8%</w:t>
            </w:r>
          </w:p>
        </w:tc>
        <w:tc>
          <w:tcPr>
            <w:tcW w:w="900" w:type="dxa"/>
            <w:vAlign w:val="bottom"/>
            <w:tcBorders>
              <w:bottom w:val="single" w:sz="8" w:color="auto"/>
              <w:right w:val="single" w:sz="8" w:color="auto"/>
            </w:tcBorders>
          </w:tcPr>
          <w:p>
            <w:pPr>
              <w:jc w:val="center"/>
              <w:ind w:right="3"/>
              <w:spacing w:after="0" w:line="114" w:lineRule="exact"/>
              <w:rPr>
                <w:sz w:val="20"/>
                <w:szCs w:val="20"/>
                <w:color w:val="auto"/>
              </w:rPr>
            </w:pPr>
            <w:r>
              <w:rPr>
                <w:rFonts w:ascii="Arial" w:cs="Arial" w:eastAsia="Arial" w:hAnsi="Arial"/>
                <w:sz w:val="11"/>
                <w:szCs w:val="11"/>
                <w:color w:val="auto"/>
                <w:w w:val="97"/>
              </w:rPr>
              <w:t>-0.5%</w:t>
            </w:r>
          </w:p>
        </w:tc>
        <w:tc>
          <w:tcPr>
            <w:tcW w:w="8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-232 pbs</w:t>
            </w:r>
          </w:p>
        </w:tc>
        <w:tc>
          <w:tcPr>
            <w:tcW w:w="9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-121 pbs</w:t>
            </w:r>
          </w:p>
        </w:tc>
        <w:tc>
          <w:tcPr>
            <w:tcW w:w="1060" w:type="dxa"/>
            <w:vAlign w:val="bottom"/>
            <w:tcBorders>
              <w:bottom w:val="single" w:sz="8" w:color="auto"/>
            </w:tcBorders>
          </w:tcPr>
          <w:p>
            <w:pPr>
              <w:jc w:val="center"/>
              <w:ind w:right="145"/>
              <w:spacing w:after="0" w:line="114" w:lineRule="exact"/>
              <w:rPr>
                <w:sz w:val="20"/>
                <w:szCs w:val="20"/>
                <w:color w:val="auto"/>
              </w:rPr>
            </w:pPr>
            <w:r>
              <w:rPr>
                <w:rFonts w:ascii="Arial" w:cs="Arial" w:eastAsia="Arial" w:hAnsi="Arial"/>
                <w:sz w:val="11"/>
                <w:szCs w:val="11"/>
                <w:color w:val="auto"/>
              </w:rPr>
              <w:t>0.6%</w:t>
            </w:r>
          </w:p>
        </w:tc>
        <w:tc>
          <w:tcPr>
            <w:tcW w:w="720" w:type="dxa"/>
            <w:vAlign w:val="bottom"/>
            <w:tcBorders>
              <w:bottom w:val="single" w:sz="8" w:color="auto"/>
              <w:right w:val="single" w:sz="8" w:color="auto"/>
            </w:tcBorders>
          </w:tcPr>
          <w:p>
            <w:pPr>
              <w:jc w:val="center"/>
              <w:ind w:right="123"/>
              <w:spacing w:after="0" w:line="114" w:lineRule="exact"/>
              <w:rPr>
                <w:sz w:val="20"/>
                <w:szCs w:val="20"/>
                <w:color w:val="auto"/>
              </w:rPr>
            </w:pPr>
            <w:r>
              <w:rPr>
                <w:rFonts w:ascii="Arial" w:cs="Arial" w:eastAsia="Arial" w:hAnsi="Arial"/>
                <w:sz w:val="11"/>
                <w:szCs w:val="11"/>
                <w:color w:val="auto"/>
              </w:rPr>
              <w:t>0.5%</w:t>
            </w:r>
          </w:p>
        </w:tc>
        <w:tc>
          <w:tcPr>
            <w:tcW w:w="9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-14 pbs</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(1) PG Cost of risk includes the Provisions for credit losses for the loan portfolio, net of recoveries and placements of the Reactiva Perú, FAE and Impulso MyPerú government programs.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Provisions for GP loans fell slightly QoQ, YoY and YTD due to on-going execution of honoring processes for State guarantees.</w:t>
      </w:r>
    </w:p>
    <w:p>
      <w:pPr>
        <w:spacing w:after="0" w:line="182"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 provisions balance for GP loans represents 1.4% of Credicorp’s total provisions balance. The relatively small balance reflects the ample coverage in place for this type of loan, which ranges between 80% and 98%. For more information, see 1.2 Portfolio Quality – Government Program NPLs.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and CofR of Total Portfolio</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99"/>
        </w:trPr>
        <w:tc>
          <w:tcPr>
            <w:tcW w:w="4060" w:type="dxa"/>
            <w:vAlign w:val="bottom"/>
            <w:tcBorders>
              <w:top w:val="single" w:sz="8" w:color="auto"/>
              <w:left w:val="single" w:sz="8" w:color="auto"/>
              <w:right w:val="single" w:sz="8" w:color="auto"/>
            </w:tcBorders>
            <w:shd w:val="clear" w:color="auto" w:fill="2AD2C9"/>
          </w:tcPr>
          <w:p>
            <w:pPr>
              <w:ind w:left="40"/>
              <w:spacing w:after="0" w:line="99" w:lineRule="exact"/>
              <w:rPr>
                <w:sz w:val="20"/>
                <w:szCs w:val="20"/>
                <w:color w:val="auto"/>
              </w:rPr>
            </w:pPr>
            <w:r>
              <w:rPr>
                <w:rFonts w:ascii="Arial" w:cs="Arial" w:eastAsia="Arial" w:hAnsi="Arial"/>
                <w:sz w:val="11"/>
                <w:szCs w:val="11"/>
                <w:b w:val="1"/>
                <w:bCs w:val="1"/>
                <w:color w:val="FFFFFF"/>
              </w:rPr>
              <w:t>Loan Portfolio Provisions</w:t>
            </w:r>
          </w:p>
        </w:tc>
        <w:tc>
          <w:tcPr>
            <w:tcW w:w="860" w:type="dxa"/>
            <w:vAlign w:val="bottom"/>
            <w:tcBorders>
              <w:top w:val="single" w:sz="8" w:color="auto"/>
            </w:tcBorders>
            <w:shd w:val="clear" w:color="auto" w:fill="2AD2C9"/>
          </w:tcPr>
          <w:p>
            <w:pPr>
              <w:spacing w:after="0"/>
              <w:rPr>
                <w:sz w:val="8"/>
                <w:szCs w:val="8"/>
                <w:color w:val="auto"/>
              </w:rPr>
            </w:pPr>
          </w:p>
        </w:tc>
        <w:tc>
          <w:tcPr>
            <w:tcW w:w="920" w:type="dxa"/>
            <w:vAlign w:val="bottom"/>
            <w:tcBorders>
              <w:top w:val="single" w:sz="8" w:color="auto"/>
            </w:tcBorders>
            <w:shd w:val="clear" w:color="auto" w:fill="2AD2C9"/>
          </w:tcPr>
          <w:p>
            <w:pPr>
              <w:ind w:left="260"/>
              <w:spacing w:after="0" w:line="99" w:lineRule="exact"/>
              <w:rPr>
                <w:sz w:val="20"/>
                <w:szCs w:val="20"/>
                <w:color w:val="auto"/>
              </w:rPr>
            </w:pPr>
            <w:r>
              <w:rPr>
                <w:rFonts w:ascii="Arial" w:cs="Arial" w:eastAsia="Arial" w:hAnsi="Arial"/>
                <w:sz w:val="11"/>
                <w:szCs w:val="11"/>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8"/>
                <w:szCs w:val="8"/>
                <w:color w:val="auto"/>
              </w:rPr>
            </w:pPr>
          </w:p>
        </w:tc>
        <w:tc>
          <w:tcPr>
            <w:tcW w:w="600" w:type="dxa"/>
            <w:vAlign w:val="bottom"/>
            <w:tcBorders>
              <w:top w:val="single" w:sz="8" w:color="auto"/>
            </w:tcBorders>
            <w:shd w:val="clear" w:color="auto" w:fill="2AD2C9"/>
          </w:tcPr>
          <w:p>
            <w:pPr>
              <w:spacing w:after="0"/>
              <w:rPr>
                <w:sz w:val="8"/>
                <w:szCs w:val="8"/>
                <w:color w:val="auto"/>
              </w:rPr>
            </w:pPr>
          </w:p>
        </w:tc>
        <w:tc>
          <w:tcPr>
            <w:tcW w:w="120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1"/>
                <w:szCs w:val="11"/>
                <w:b w:val="1"/>
                <w:bCs w:val="1"/>
                <w:color w:val="FFFFFF"/>
              </w:rPr>
              <w:t>% change</w:t>
            </w:r>
          </w:p>
        </w:tc>
        <w:tc>
          <w:tcPr>
            <w:tcW w:w="720" w:type="dxa"/>
            <w:vAlign w:val="bottom"/>
            <w:tcBorders>
              <w:top w:val="single" w:sz="8" w:color="auto"/>
            </w:tcBorders>
            <w:shd w:val="clear" w:color="auto" w:fill="2AD2C9"/>
          </w:tcPr>
          <w:p>
            <w:pPr>
              <w:spacing w:after="0"/>
              <w:rPr>
                <w:sz w:val="8"/>
                <w:szCs w:val="8"/>
                <w:color w:val="auto"/>
              </w:rPr>
            </w:pPr>
          </w:p>
        </w:tc>
        <w:tc>
          <w:tcPr>
            <w:tcW w:w="106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1"/>
                <w:szCs w:val="11"/>
                <w:b w:val="1"/>
                <w:bCs w:val="1"/>
                <w:color w:val="FFFFFF"/>
              </w:rPr>
              <w:t>Up to</w:t>
            </w:r>
          </w:p>
        </w:tc>
        <w:tc>
          <w:tcPr>
            <w:tcW w:w="900" w:type="dxa"/>
            <w:vAlign w:val="bottom"/>
            <w:tcBorders>
              <w:top w:val="single" w:sz="8" w:color="auto"/>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 change</w:t>
            </w:r>
          </w:p>
        </w:tc>
      </w:tr>
      <w:tr>
        <w:trPr>
          <w:trHeight w:val="150"/>
        </w:trPr>
        <w:tc>
          <w:tcPr>
            <w:tcW w:w="40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S/ 000</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4Q22</w:t>
            </w:r>
          </w:p>
        </w:tc>
        <w:tc>
          <w:tcPr>
            <w:tcW w:w="9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3Q23</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600" w:type="dxa"/>
            <w:vAlign w:val="bottom"/>
            <w:tcBorders>
              <w:bottom w:val="single" w:sz="8" w:color="auto"/>
            </w:tcBorders>
            <w:shd w:val="clear" w:color="auto" w:fill="2AD2C9"/>
          </w:tcPr>
          <w:p>
            <w:pPr>
              <w:jc w:val="center"/>
              <w:ind w:left="203"/>
              <w:spacing w:after="0"/>
              <w:rPr>
                <w:sz w:val="20"/>
                <w:szCs w:val="20"/>
                <w:color w:val="auto"/>
              </w:rPr>
            </w:pPr>
            <w:r>
              <w:rPr>
                <w:rFonts w:ascii="Arial" w:cs="Arial" w:eastAsia="Arial" w:hAnsi="Arial"/>
                <w:sz w:val="11"/>
                <w:szCs w:val="11"/>
                <w:b w:val="1"/>
                <w:bCs w:val="1"/>
                <w:color w:val="FFFFFF"/>
              </w:rPr>
              <w:t>QoQ</w:t>
            </w:r>
          </w:p>
        </w:tc>
        <w:tc>
          <w:tcPr>
            <w:tcW w:w="1200" w:type="dxa"/>
            <w:vAlign w:val="bottom"/>
            <w:tcBorders>
              <w:bottom w:val="single" w:sz="8" w:color="auto"/>
              <w:right w:val="single" w:sz="8" w:color="auto"/>
            </w:tcBorders>
            <w:shd w:val="clear" w:color="auto" w:fill="2AD2C9"/>
          </w:tcPr>
          <w:p>
            <w:pPr>
              <w:jc w:val="center"/>
              <w:ind w:left="203"/>
              <w:spacing w:after="0"/>
              <w:rPr>
                <w:sz w:val="20"/>
                <w:szCs w:val="20"/>
                <w:color w:val="auto"/>
              </w:rPr>
            </w:pPr>
            <w:r>
              <w:rPr>
                <w:rFonts w:ascii="Arial" w:cs="Arial" w:eastAsia="Arial" w:hAnsi="Arial"/>
                <w:sz w:val="11"/>
                <w:szCs w:val="11"/>
                <w:b w:val="1"/>
                <w:bCs w:val="1"/>
                <w:color w:val="FFFFFF"/>
              </w:rPr>
              <w:t>YoY</w:t>
            </w:r>
          </w:p>
        </w:tc>
        <w:tc>
          <w:tcPr>
            <w:tcW w:w="720" w:type="dxa"/>
            <w:vAlign w:val="bottom"/>
            <w:tcBorders>
              <w:bottom w:val="single" w:sz="8" w:color="auto"/>
            </w:tcBorders>
            <w:shd w:val="clear" w:color="auto" w:fill="2AD2C9"/>
          </w:tcPr>
          <w:p>
            <w:pPr>
              <w:jc w:val="center"/>
              <w:ind w:left="83"/>
              <w:spacing w:after="0"/>
              <w:rPr>
                <w:sz w:val="20"/>
                <w:szCs w:val="20"/>
                <w:color w:val="auto"/>
              </w:rPr>
            </w:pPr>
            <w:r>
              <w:rPr>
                <w:rFonts w:ascii="Arial" w:cs="Arial" w:eastAsia="Arial" w:hAnsi="Arial"/>
                <w:sz w:val="11"/>
                <w:szCs w:val="11"/>
                <w:b w:val="1"/>
                <w:bCs w:val="1"/>
                <w:color w:val="FFFFFF"/>
              </w:rPr>
              <w:t>2022</w:t>
            </w:r>
          </w:p>
        </w:tc>
        <w:tc>
          <w:tcPr>
            <w:tcW w:w="1060" w:type="dxa"/>
            <w:vAlign w:val="bottom"/>
            <w:tcBorders>
              <w:bottom w:val="single" w:sz="8" w:color="auto"/>
              <w:right w:val="single" w:sz="8" w:color="auto"/>
            </w:tcBorders>
            <w:shd w:val="clear" w:color="auto" w:fill="2AD2C9"/>
          </w:tcPr>
          <w:p>
            <w:pPr>
              <w:jc w:val="center"/>
              <w:ind w:left="83"/>
              <w:spacing w:after="0"/>
              <w:rPr>
                <w:sz w:val="20"/>
                <w:szCs w:val="20"/>
                <w:color w:val="auto"/>
              </w:rPr>
            </w:pPr>
            <w:r>
              <w:rPr>
                <w:rFonts w:ascii="Arial" w:cs="Arial" w:eastAsia="Arial" w:hAnsi="Arial"/>
                <w:sz w:val="11"/>
                <w:szCs w:val="11"/>
                <w:b w:val="1"/>
                <w:bCs w:val="1"/>
                <w:color w:val="FFFFFF"/>
                <w:w w:val="97"/>
              </w:rPr>
              <w:t>2023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2023 / 2022</w:t>
            </w:r>
          </w:p>
        </w:tc>
      </w:tr>
      <w:tr>
        <w:trPr>
          <w:trHeight w:val="99"/>
        </w:trPr>
        <w:tc>
          <w:tcPr>
            <w:tcW w:w="406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1"/>
                <w:szCs w:val="11"/>
                <w:color w:val="auto"/>
              </w:rPr>
              <w:t>Gross provision for credit losses on loan portfolio</w:t>
            </w:r>
          </w:p>
        </w:tc>
        <w:tc>
          <w:tcPr>
            <w:tcW w:w="860" w:type="dxa"/>
            <w:vAlign w:val="bottom"/>
          </w:tcPr>
          <w:p>
            <w:pPr>
              <w:jc w:val="center"/>
              <w:spacing w:after="0" w:line="99" w:lineRule="exact"/>
              <w:rPr>
                <w:sz w:val="20"/>
                <w:szCs w:val="20"/>
                <w:color w:val="auto"/>
              </w:rPr>
            </w:pPr>
            <w:r>
              <w:rPr>
                <w:rFonts w:ascii="Arial" w:cs="Arial" w:eastAsia="Arial" w:hAnsi="Arial"/>
                <w:sz w:val="11"/>
                <w:szCs w:val="11"/>
                <w:color w:val="auto"/>
              </w:rPr>
              <w:t>(815,589)</w:t>
            </w:r>
          </w:p>
        </w:tc>
        <w:tc>
          <w:tcPr>
            <w:tcW w:w="920" w:type="dxa"/>
            <w:vAlign w:val="bottom"/>
          </w:tcPr>
          <w:p>
            <w:pPr>
              <w:jc w:val="center"/>
              <w:spacing w:after="0" w:line="99" w:lineRule="exact"/>
              <w:rPr>
                <w:sz w:val="20"/>
                <w:szCs w:val="20"/>
                <w:color w:val="auto"/>
              </w:rPr>
            </w:pPr>
            <w:r>
              <w:rPr>
                <w:rFonts w:ascii="Arial" w:cs="Arial" w:eastAsia="Arial" w:hAnsi="Arial"/>
                <w:sz w:val="11"/>
                <w:szCs w:val="11"/>
                <w:color w:val="auto"/>
              </w:rPr>
              <w:t>(1,008,750)</w:t>
            </w:r>
          </w:p>
        </w:tc>
        <w:tc>
          <w:tcPr>
            <w:tcW w:w="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(1,260,163)</w:t>
            </w:r>
          </w:p>
        </w:tc>
        <w:tc>
          <w:tcPr>
            <w:tcW w:w="600" w:type="dxa"/>
            <w:vAlign w:val="bottom"/>
          </w:tcPr>
          <w:p>
            <w:pPr>
              <w:jc w:val="center"/>
              <w:ind w:left="203"/>
              <w:spacing w:after="0" w:line="99" w:lineRule="exact"/>
              <w:rPr>
                <w:sz w:val="20"/>
                <w:szCs w:val="20"/>
                <w:color w:val="auto"/>
              </w:rPr>
            </w:pPr>
            <w:r>
              <w:rPr>
                <w:rFonts w:ascii="Arial" w:cs="Arial" w:eastAsia="Arial" w:hAnsi="Arial"/>
                <w:sz w:val="11"/>
                <w:szCs w:val="11"/>
                <w:color w:val="auto"/>
              </w:rPr>
              <w:t>24.9%</w:t>
            </w:r>
          </w:p>
        </w:tc>
        <w:tc>
          <w:tcPr>
            <w:tcW w:w="1200" w:type="dxa"/>
            <w:vAlign w:val="bottom"/>
            <w:tcBorders>
              <w:right w:val="single" w:sz="8" w:color="auto"/>
            </w:tcBorders>
          </w:tcPr>
          <w:p>
            <w:pPr>
              <w:jc w:val="center"/>
              <w:ind w:left="183"/>
              <w:spacing w:after="0" w:line="99" w:lineRule="exact"/>
              <w:rPr>
                <w:sz w:val="20"/>
                <w:szCs w:val="20"/>
                <w:color w:val="auto"/>
              </w:rPr>
            </w:pPr>
            <w:r>
              <w:rPr>
                <w:rFonts w:ascii="Arial" w:cs="Arial" w:eastAsia="Arial" w:hAnsi="Arial"/>
                <w:sz w:val="11"/>
                <w:szCs w:val="11"/>
                <w:color w:val="auto"/>
              </w:rPr>
              <w:t>54.5%</w:t>
            </w:r>
          </w:p>
        </w:tc>
        <w:tc>
          <w:tcPr>
            <w:tcW w:w="720" w:type="dxa"/>
            <w:vAlign w:val="bottom"/>
          </w:tcPr>
          <w:p>
            <w:pPr>
              <w:jc w:val="center"/>
              <w:ind w:left="83"/>
              <w:spacing w:after="0" w:line="99" w:lineRule="exact"/>
              <w:rPr>
                <w:sz w:val="20"/>
                <w:szCs w:val="20"/>
                <w:color w:val="auto"/>
              </w:rPr>
            </w:pPr>
            <w:r>
              <w:rPr>
                <w:rFonts w:ascii="Arial" w:cs="Arial" w:eastAsia="Arial" w:hAnsi="Arial"/>
                <w:sz w:val="11"/>
                <w:szCs w:val="11"/>
                <w:color w:val="auto"/>
              </w:rPr>
              <w:t>(2,158,555)</w:t>
            </w:r>
          </w:p>
        </w:tc>
        <w:tc>
          <w:tcPr>
            <w:tcW w:w="1060" w:type="dxa"/>
            <w:vAlign w:val="bottom"/>
            <w:tcBorders>
              <w:right w:val="single" w:sz="8" w:color="auto"/>
            </w:tcBorders>
          </w:tcPr>
          <w:p>
            <w:pPr>
              <w:jc w:val="center"/>
              <w:ind w:left="103"/>
              <w:spacing w:after="0" w:line="99" w:lineRule="exact"/>
              <w:rPr>
                <w:sz w:val="20"/>
                <w:szCs w:val="20"/>
                <w:color w:val="auto"/>
              </w:rPr>
            </w:pPr>
            <w:r>
              <w:rPr>
                <w:rFonts w:ascii="Arial" w:cs="Arial" w:eastAsia="Arial" w:hAnsi="Arial"/>
                <w:sz w:val="11"/>
                <w:szCs w:val="11"/>
                <w:color w:val="auto"/>
              </w:rPr>
              <w:t>(3,957,143)</w:t>
            </w:r>
          </w:p>
        </w:tc>
        <w:tc>
          <w:tcPr>
            <w:tcW w:w="9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83.3%</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Recoveries of written-off loans</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84,908</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91,108</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86,709</w:t>
            </w:r>
          </w:p>
        </w:tc>
        <w:tc>
          <w:tcPr>
            <w:tcW w:w="60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-4.8%</w:t>
            </w:r>
          </w:p>
        </w:tc>
        <w:tc>
          <w:tcPr>
            <w:tcW w:w="12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2.1%</w:t>
            </w:r>
          </w:p>
        </w:tc>
        <w:tc>
          <w:tcPr>
            <w:tcW w:w="720" w:type="dxa"/>
            <w:vAlign w:val="bottom"/>
          </w:tcPr>
          <w:p>
            <w:pPr>
              <w:jc w:val="center"/>
              <w:ind w:left="83"/>
              <w:spacing w:after="0" w:line="122" w:lineRule="exact"/>
              <w:rPr>
                <w:sz w:val="20"/>
                <w:szCs w:val="20"/>
                <w:color w:val="auto"/>
              </w:rPr>
            </w:pPr>
            <w:r>
              <w:rPr>
                <w:rFonts w:ascii="Arial" w:cs="Arial" w:eastAsia="Arial" w:hAnsi="Arial"/>
                <w:sz w:val="11"/>
                <w:szCs w:val="11"/>
                <w:color w:val="auto"/>
              </w:rPr>
              <w:t>347,017</w:t>
            </w:r>
          </w:p>
        </w:tc>
        <w:tc>
          <w:tcPr>
            <w:tcW w:w="1060" w:type="dxa"/>
            <w:vAlign w:val="bottom"/>
            <w:tcBorders>
              <w:right w:val="single" w:sz="8" w:color="auto"/>
            </w:tcBorders>
          </w:tcPr>
          <w:p>
            <w:pPr>
              <w:jc w:val="center"/>
              <w:ind w:left="83"/>
              <w:spacing w:after="0" w:line="122" w:lineRule="exact"/>
              <w:rPr>
                <w:sz w:val="20"/>
                <w:szCs w:val="20"/>
                <w:color w:val="auto"/>
              </w:rPr>
            </w:pPr>
            <w:r>
              <w:rPr>
                <w:rFonts w:ascii="Arial" w:cs="Arial" w:eastAsia="Arial" w:hAnsi="Arial"/>
                <w:sz w:val="11"/>
                <w:szCs w:val="11"/>
                <w:color w:val="auto"/>
              </w:rPr>
              <w:t>334,798</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-3.5%</w:t>
            </w:r>
          </w:p>
        </w:tc>
      </w:tr>
      <w:tr>
        <w:trPr>
          <w:trHeight w:val="137"/>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(730,681)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(917,642)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(1,173,454)</w:t>
            </w:r>
          </w:p>
        </w:tc>
        <w:tc>
          <w:tcPr>
            <w:tcW w:w="60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27.9%</w:t>
            </w:r>
          </w:p>
        </w:tc>
        <w:tc>
          <w:tcPr>
            <w:tcW w:w="1200" w:type="dxa"/>
            <w:vAlign w:val="bottom"/>
            <w:tcBorders>
              <w:bottom w:val="single" w:sz="8" w:color="auto"/>
              <w:right w:val="single" w:sz="8" w:color="auto"/>
            </w:tcBorders>
          </w:tcPr>
          <w:p>
            <w:pPr>
              <w:jc w:val="center"/>
              <w:ind w:left="183"/>
              <w:spacing w:after="0"/>
              <w:rPr>
                <w:sz w:val="20"/>
                <w:szCs w:val="20"/>
                <w:color w:val="auto"/>
              </w:rPr>
            </w:pPr>
            <w:r>
              <w:rPr>
                <w:rFonts w:ascii="Arial" w:cs="Arial" w:eastAsia="Arial" w:hAnsi="Arial"/>
                <w:sz w:val="11"/>
                <w:szCs w:val="11"/>
                <w:b w:val="1"/>
                <w:bCs w:val="1"/>
                <w:color w:val="auto"/>
              </w:rPr>
              <w:t>60.6%</w:t>
            </w:r>
          </w:p>
        </w:tc>
        <w:tc>
          <w:tcPr>
            <w:tcW w:w="72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b w:val="1"/>
                <w:bCs w:val="1"/>
                <w:color w:val="auto"/>
              </w:rPr>
              <w:t>(1,811,538)</w:t>
            </w:r>
          </w:p>
        </w:tc>
        <w:tc>
          <w:tcPr>
            <w:tcW w:w="1060" w:type="dxa"/>
            <w:vAlign w:val="bottom"/>
            <w:tcBorders>
              <w:bottom w:val="single" w:sz="8" w:color="auto"/>
              <w:right w:val="single" w:sz="8" w:color="auto"/>
            </w:tcBorders>
          </w:tcPr>
          <w:p>
            <w:pPr>
              <w:jc w:val="center"/>
              <w:ind w:left="103"/>
              <w:spacing w:after="0"/>
              <w:rPr>
                <w:sz w:val="20"/>
                <w:szCs w:val="20"/>
                <w:color w:val="auto"/>
              </w:rPr>
            </w:pPr>
            <w:r>
              <w:rPr>
                <w:rFonts w:ascii="Arial" w:cs="Arial" w:eastAsia="Arial" w:hAnsi="Arial"/>
                <w:sz w:val="11"/>
                <w:szCs w:val="11"/>
                <w:b w:val="1"/>
                <w:bCs w:val="1"/>
                <w:color w:val="auto"/>
              </w:rPr>
              <w:t>(3,622,345)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100.0%</w:t>
            </w:r>
          </w:p>
        </w:tc>
      </w:tr>
      <w:tr>
        <w:trPr>
          <w:trHeight w:val="114"/>
        </w:trPr>
        <w:tc>
          <w:tcPr>
            <w:tcW w:w="406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9"/>
                <w:szCs w:val="9"/>
                <w:color w:val="auto"/>
              </w:rPr>
              <w:t xml:space="preserve">Cost of risk </w:t>
            </w:r>
            <w:r>
              <w:rPr>
                <w:rFonts w:ascii="Arial" w:cs="Arial" w:eastAsia="Arial" w:hAnsi="Arial"/>
                <w:sz w:val="13"/>
                <w:szCs w:val="13"/>
                <w:color w:val="auto"/>
                <w:vertAlign w:val="superscript"/>
              </w:rPr>
              <w:t>(1)</w:t>
            </w:r>
          </w:p>
        </w:tc>
        <w:tc>
          <w:tcPr>
            <w:tcW w:w="8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2.0%</w:t>
            </w:r>
          </w:p>
        </w:tc>
        <w:tc>
          <w:tcPr>
            <w:tcW w:w="9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2.5%</w:t>
            </w:r>
          </w:p>
        </w:tc>
        <w:tc>
          <w:tcPr>
            <w:tcW w:w="94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3.2%</w:t>
            </w:r>
          </w:p>
        </w:tc>
        <w:tc>
          <w:tcPr>
            <w:tcW w:w="600" w:type="dxa"/>
            <w:vAlign w:val="bottom"/>
            <w:tcBorders>
              <w:bottom w:val="single" w:sz="8" w:color="auto"/>
            </w:tcBorders>
          </w:tcPr>
          <w:p>
            <w:pPr>
              <w:jc w:val="center"/>
              <w:ind w:left="203"/>
              <w:spacing w:after="0" w:line="114" w:lineRule="exact"/>
              <w:rPr>
                <w:sz w:val="20"/>
                <w:szCs w:val="20"/>
                <w:color w:val="auto"/>
              </w:rPr>
            </w:pPr>
            <w:r>
              <w:rPr>
                <w:rFonts w:ascii="Arial" w:cs="Arial" w:eastAsia="Arial" w:hAnsi="Arial"/>
                <w:sz w:val="11"/>
                <w:szCs w:val="11"/>
                <w:color w:val="auto"/>
              </w:rPr>
              <w:t>71 pbs</w:t>
            </w:r>
          </w:p>
        </w:tc>
        <w:tc>
          <w:tcPr>
            <w:tcW w:w="1200" w:type="dxa"/>
            <w:vAlign w:val="bottom"/>
            <w:tcBorders>
              <w:bottom w:val="single" w:sz="8" w:color="auto"/>
              <w:right w:val="single" w:sz="8" w:color="auto"/>
            </w:tcBorders>
          </w:tcPr>
          <w:p>
            <w:pPr>
              <w:jc w:val="center"/>
              <w:ind w:left="183"/>
              <w:spacing w:after="0" w:line="114" w:lineRule="exact"/>
              <w:rPr>
                <w:sz w:val="20"/>
                <w:szCs w:val="20"/>
                <w:color w:val="auto"/>
              </w:rPr>
            </w:pPr>
            <w:r>
              <w:rPr>
                <w:rFonts w:ascii="Arial" w:cs="Arial" w:eastAsia="Arial" w:hAnsi="Arial"/>
                <w:sz w:val="11"/>
                <w:szCs w:val="11"/>
                <w:color w:val="auto"/>
              </w:rPr>
              <w:t>127 pbs</w:t>
            </w:r>
          </w:p>
        </w:tc>
        <w:tc>
          <w:tcPr>
            <w:tcW w:w="720" w:type="dxa"/>
            <w:vAlign w:val="bottom"/>
            <w:tcBorders>
              <w:bottom w:val="single" w:sz="8" w:color="auto"/>
            </w:tcBorders>
          </w:tcPr>
          <w:p>
            <w:pPr>
              <w:jc w:val="center"/>
              <w:ind w:left="83"/>
              <w:spacing w:after="0" w:line="114" w:lineRule="exact"/>
              <w:rPr>
                <w:sz w:val="20"/>
                <w:szCs w:val="20"/>
                <w:color w:val="auto"/>
              </w:rPr>
            </w:pPr>
            <w:r>
              <w:rPr>
                <w:rFonts w:ascii="Arial" w:cs="Arial" w:eastAsia="Arial" w:hAnsi="Arial"/>
                <w:sz w:val="11"/>
                <w:szCs w:val="11"/>
                <w:color w:val="auto"/>
              </w:rPr>
              <w:t>1.2%</w:t>
            </w:r>
          </w:p>
        </w:tc>
        <w:tc>
          <w:tcPr>
            <w:tcW w:w="1060" w:type="dxa"/>
            <w:vAlign w:val="bottom"/>
            <w:tcBorders>
              <w:bottom w:val="single" w:sz="8" w:color="auto"/>
              <w:right w:val="single" w:sz="8" w:color="auto"/>
            </w:tcBorders>
          </w:tcPr>
          <w:p>
            <w:pPr>
              <w:jc w:val="center"/>
              <w:ind w:left="103"/>
              <w:spacing w:after="0" w:line="114" w:lineRule="exact"/>
              <w:rPr>
                <w:sz w:val="20"/>
                <w:szCs w:val="20"/>
                <w:color w:val="auto"/>
              </w:rPr>
            </w:pPr>
            <w:r>
              <w:rPr>
                <w:rFonts w:ascii="Arial" w:cs="Arial" w:eastAsia="Arial" w:hAnsi="Arial"/>
                <w:sz w:val="11"/>
                <w:szCs w:val="11"/>
                <w:color w:val="auto"/>
              </w:rPr>
              <w:t>2.5%</w:t>
            </w:r>
          </w:p>
        </w:tc>
        <w:tc>
          <w:tcPr>
            <w:tcW w:w="9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128 pbs</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(1) Provision for credit losses on loan portfolio, net of annualized recoveries / Total loans.</w:t>
      </w:r>
    </w:p>
    <w:p>
      <w:pPr>
        <w:spacing w:after="0" w:line="177"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 CofR for the total portfolio, which is comprised of structural and GP loans, rose 71 bps QoQ, 127 bps YoY and 128 bps YTD. Growth in these periods was driven by an increase in provisions for structural loans and for an additional charge to set aside provisions for the El Niño Phenomenon (FEN).</w:t>
      </w:r>
    </w:p>
    <w:p>
      <w:pPr>
        <w:spacing w:after="0" w:line="121" w:lineRule="exact"/>
        <w:rPr>
          <w:sz w:val="20"/>
          <w:szCs w:val="20"/>
          <w:color w:val="auto"/>
        </w:rPr>
      </w:pPr>
    </w:p>
    <w:p>
      <w:pPr>
        <w:ind w:left="1680"/>
        <w:spacing w:after="0"/>
        <w:tabs>
          <w:tab w:leader="none" w:pos="7380" w:val="left"/>
        </w:tabs>
        <w:rPr>
          <w:sz w:val="20"/>
          <w:szCs w:val="20"/>
          <w:color w:val="auto"/>
        </w:rPr>
      </w:pPr>
      <w:r>
        <w:rPr>
          <w:rFonts w:ascii="Arial" w:cs="Arial" w:eastAsia="Arial" w:hAnsi="Arial"/>
          <w:sz w:val="16"/>
          <w:szCs w:val="16"/>
          <w:b w:val="1"/>
          <w:bCs w:val="1"/>
          <w:color w:val="auto"/>
        </w:rPr>
        <w:t>QoQ Cost of Risk Evolution</w:t>
      </w:r>
      <w:r>
        <w:rPr>
          <w:sz w:val="20"/>
          <w:szCs w:val="20"/>
          <w:color w:val="auto"/>
        </w:rPr>
        <w:tab/>
      </w:r>
      <w:r>
        <w:rPr>
          <w:rFonts w:ascii="Arial" w:cs="Arial" w:eastAsia="Arial" w:hAnsi="Arial"/>
          <w:sz w:val="16"/>
          <w:szCs w:val="16"/>
          <w:b w:val="1"/>
          <w:bCs w:val="1"/>
          <w:color w:val="auto"/>
        </w:rPr>
        <w:t>YoY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02170" cy="1238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2170" cy="123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5520" w:val="left"/>
        </w:tabs>
        <w:rPr>
          <w:sz w:val="20"/>
          <w:szCs w:val="20"/>
          <w:color w:val="auto"/>
        </w:rPr>
      </w:pPr>
      <w:r>
        <w:rPr>
          <w:rFonts w:ascii="Arial" w:cs="Arial" w:eastAsia="Arial" w:hAnsi="Arial"/>
          <w:sz w:val="11"/>
          <w:szCs w:val="11"/>
          <w:color w:val="auto"/>
        </w:rPr>
        <w:t>(1) Others include BCP Bolivia, Mibanco Colombia, ASB y eliminations.</w:t>
      </w:r>
      <w:r>
        <w:rPr>
          <w:sz w:val="20"/>
          <w:szCs w:val="20"/>
          <w:color w:val="auto"/>
        </w:rPr>
        <w:tab/>
      </w:r>
      <w:r>
        <w:rPr>
          <w:rFonts w:ascii="Arial" w:cs="Arial" w:eastAsia="Arial" w:hAnsi="Arial"/>
          <w:sz w:val="11"/>
          <w:szCs w:val="11"/>
          <w:color w:val="auto"/>
        </w:rPr>
        <w:t>(1) Others include BCP Bolivia, Mibanco Colombia, ASB y eliminations.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YTD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64135</wp:posOffset>
            </wp:positionV>
            <wp:extent cx="3166110" cy="1238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66110" cy="123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3840" w:type="dxa"/>
        <w:tblCellMar>
          <w:top w:w="0" w:type="dxa"/>
          <w:left w:w="0" w:type="dxa"/>
          <w:bottom w:w="0" w:type="dxa"/>
          <w:right w:w="0" w:type="dxa"/>
        </w:tblCellMar>
      </w:tblPr>
      <w:tr>
        <w:trPr>
          <w:trHeight w:val="149"/>
        </w:trPr>
        <w:tc>
          <w:tcPr>
            <w:tcW w:w="5400" w:type="dxa"/>
            <w:vAlign w:val="bottom"/>
          </w:tcPr>
          <w:p>
            <w:pPr>
              <w:jc w:val="center"/>
              <w:ind w:right="1759"/>
              <w:spacing w:after="0"/>
              <w:rPr>
                <w:sz w:val="20"/>
                <w:szCs w:val="20"/>
                <w:color w:val="auto"/>
              </w:rPr>
            </w:pPr>
            <w:r>
              <w:rPr>
                <w:rFonts w:ascii="Arial" w:cs="Arial" w:eastAsia="Arial" w:hAnsi="Arial"/>
                <w:sz w:val="11"/>
                <w:szCs w:val="11"/>
                <w:color w:val="auto"/>
              </w:rPr>
              <w:t>(1) Others include BCP Bolivia, Mibanco Colombia, ASB y eliminations.</w:t>
            </w:r>
          </w:p>
        </w:tc>
        <w:tc>
          <w:tcPr>
            <w:tcW w:w="2020" w:type="dxa"/>
            <w:vAlign w:val="bottom"/>
          </w:tcPr>
          <w:p>
            <w:pPr>
              <w:spacing w:after="0"/>
              <w:rPr>
                <w:sz w:val="12"/>
                <w:szCs w:val="12"/>
                <w:color w:val="auto"/>
              </w:rPr>
            </w:pPr>
          </w:p>
        </w:tc>
      </w:tr>
      <w:tr>
        <w:trPr>
          <w:trHeight w:val="386"/>
        </w:trPr>
        <w:tc>
          <w:tcPr>
            <w:tcW w:w="5400" w:type="dxa"/>
            <w:vAlign w:val="bottom"/>
          </w:tcPr>
          <w:p>
            <w:pPr>
              <w:jc w:val="center"/>
              <w:ind w:right="1759"/>
              <w:spacing w:after="0"/>
              <w:rPr>
                <w:sz w:val="20"/>
                <w:szCs w:val="20"/>
                <w:color w:val="auto"/>
              </w:rPr>
            </w:pPr>
            <w:r>
              <w:rPr>
                <w:rFonts w:ascii="Arial" w:cs="Arial" w:eastAsia="Arial" w:hAnsi="Arial"/>
                <w:sz w:val="13"/>
                <w:szCs w:val="13"/>
                <w:color w:val="0000FF"/>
              </w:rPr>
              <w:t>Datos elaborados por BCP para uso Interno</w:t>
            </w: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235585</wp:posOffset>
            </wp:positionV>
            <wp:extent cx="714565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96" w:right="319" w:bottom="1440" w:gutter="0" w:footer="0" w:header="0"/>
        </w:sectPr>
      </w:pPr>
    </w:p>
    <w:bookmarkStart w:id="36" w:name="page37"/>
    <w:bookmarkEnd w:id="36"/>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274955</wp:posOffset>
            </wp:positionV>
            <wp:extent cx="7145655" cy="410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47"/>
          <w:szCs w:val="47"/>
          <w:b w:val="1"/>
          <w:bCs w:val="1"/>
          <w:color w:val="E93BAB"/>
        </w:rPr>
        <w:t xml:space="preserve">06 </w:t>
      </w:r>
      <w:r>
        <w:rPr>
          <w:rFonts w:ascii="Arial" w:cs="Arial" w:eastAsia="Arial" w:hAnsi="Arial"/>
          <w:sz w:val="29"/>
          <w:szCs w:val="29"/>
          <w:color w:val="E93BAB"/>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145655" cy="952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5655" cy="952500"/>
                    </a:xfrm>
                    <a:prstGeom prst="rect">
                      <a:avLst/>
                    </a:prstGeom>
                    <a:noFill/>
                  </pic:spPr>
                </pic:pic>
              </a:graphicData>
            </a:graphic>
          </wp:anchor>
        </w:drawing>
      </w:r>
    </w:p>
    <w:p>
      <w:pPr>
        <w:spacing w:after="0" w:line="300" w:lineRule="exact"/>
        <w:rPr>
          <w:sz w:val="20"/>
          <w:szCs w:val="20"/>
          <w:color w:val="auto"/>
        </w:rPr>
      </w:pPr>
    </w:p>
    <w:p>
      <w:pPr>
        <w:jc w:val="both"/>
        <w:ind w:left="122" w:right="120"/>
        <w:spacing w:after="0" w:line="252" w:lineRule="auto"/>
        <w:rPr>
          <w:sz w:val="20"/>
          <w:szCs w:val="20"/>
          <w:color w:val="auto"/>
        </w:rPr>
      </w:pPr>
      <w:r>
        <w:rPr>
          <w:rFonts w:ascii="Arial" w:cs="Arial" w:eastAsia="Arial" w:hAnsi="Arial"/>
          <w:sz w:val="16"/>
          <w:szCs w:val="16"/>
          <w:color w:val="FFFFFF"/>
        </w:rPr>
        <w:t>Other Core Income rose 1.7% QoQ and 1.3% YoY. This evolution was driven primarily by an increase in fee income at BCP Bolivia, which was fueled by an uptick in foreign transfers. If we exclude the effects of these operations, Other Core Income rose 2.1% and 1.4% QoQ and YoY, respectively. This growth was spurred mainly by BCP Stand-alone, due to an uptick in FX transactions, and by higher Fee Income at Credicorp Capital. YTD, core income fell 0.8% (1.1% if we exclude Bolivia) due to the elimination of intercity transfer fees at BCP Stand-alone.</w:t>
      </w:r>
    </w:p>
    <w:p>
      <w:pPr>
        <w:spacing w:after="0" w:line="142" w:lineRule="exact"/>
        <w:rPr>
          <w:sz w:val="20"/>
          <w:szCs w:val="20"/>
          <w:color w:val="auto"/>
        </w:rPr>
      </w:pPr>
    </w:p>
    <w:p>
      <w:pPr>
        <w:jc w:val="both"/>
        <w:ind w:left="122" w:right="140"/>
        <w:spacing w:after="0" w:line="279" w:lineRule="auto"/>
        <w:rPr>
          <w:sz w:val="20"/>
          <w:szCs w:val="20"/>
          <w:color w:val="auto"/>
        </w:rPr>
      </w:pPr>
      <w:r>
        <w:rPr>
          <w:rFonts w:ascii="Arial" w:cs="Arial" w:eastAsia="Arial" w:hAnsi="Arial"/>
          <w:sz w:val="16"/>
          <w:szCs w:val="16"/>
          <w:color w:val="FFFFFF"/>
        </w:rPr>
        <w:t>QoQ, YoY and YTD, Other Non-Core Income rose in line with an uptick in the Net Gain on Securities, which reflected growth in the trading revenues at Credicorp Capital and ASB and positive variations in the value of investment portfolios at Pacifico and the reserves account at Prima..</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6.1. Other Core Income</w:t>
      </w:r>
    </w:p>
    <w:p>
      <w:pPr>
        <w:spacing w:after="0" w:line="16" w:lineRule="exact"/>
        <w:rPr>
          <w:sz w:val="20"/>
          <w:szCs w:val="20"/>
          <w:color w:val="auto"/>
        </w:rPr>
      </w:pPr>
    </w:p>
    <w:tbl>
      <w:tblPr>
        <w:tblLayout w:type="fixed"/>
        <w:tblInd w:w="12" w:type="dxa"/>
        <w:tblCellMar>
          <w:top w:w="0" w:type="dxa"/>
          <w:left w:w="0" w:type="dxa"/>
          <w:bottom w:w="0" w:type="dxa"/>
          <w:right w:w="0" w:type="dxa"/>
        </w:tblCellMar>
      </w:tblPr>
      <w:tr>
        <w:trPr>
          <w:trHeight w:val="99"/>
        </w:trPr>
        <w:tc>
          <w:tcPr>
            <w:tcW w:w="4060" w:type="dxa"/>
            <w:vAlign w:val="bottom"/>
            <w:tcBorders>
              <w:top w:val="single" w:sz="8" w:color="auto"/>
              <w:left w:val="single" w:sz="8" w:color="auto"/>
              <w:right w:val="single" w:sz="8" w:color="auto"/>
            </w:tcBorders>
            <w:shd w:val="clear" w:color="auto" w:fill="2AD2C9"/>
          </w:tcPr>
          <w:p>
            <w:pPr>
              <w:ind w:left="40"/>
              <w:spacing w:after="0" w:line="99" w:lineRule="exact"/>
              <w:rPr>
                <w:sz w:val="20"/>
                <w:szCs w:val="20"/>
                <w:color w:val="auto"/>
              </w:rPr>
            </w:pPr>
            <w:r>
              <w:rPr>
                <w:rFonts w:ascii="Arial" w:cs="Arial" w:eastAsia="Arial" w:hAnsi="Arial"/>
                <w:sz w:val="11"/>
                <w:szCs w:val="11"/>
                <w:b w:val="1"/>
                <w:bCs w:val="1"/>
                <w:color w:val="FFFFFF"/>
              </w:rPr>
              <w:t>Other Core Income</w:t>
            </w:r>
          </w:p>
        </w:tc>
        <w:tc>
          <w:tcPr>
            <w:tcW w:w="900" w:type="dxa"/>
            <w:vAlign w:val="bottom"/>
            <w:tcBorders>
              <w:top w:val="single" w:sz="8" w:color="auto"/>
            </w:tcBorders>
            <w:shd w:val="clear" w:color="auto" w:fill="2AD2C9"/>
          </w:tcPr>
          <w:p>
            <w:pPr>
              <w:spacing w:after="0"/>
              <w:rPr>
                <w:sz w:val="8"/>
                <w:szCs w:val="8"/>
                <w:color w:val="auto"/>
              </w:rPr>
            </w:pPr>
          </w:p>
        </w:tc>
        <w:tc>
          <w:tcPr>
            <w:tcW w:w="880" w:type="dxa"/>
            <w:vAlign w:val="bottom"/>
            <w:tcBorders>
              <w:top w:val="single" w:sz="8" w:color="auto"/>
            </w:tcBorders>
            <w:shd w:val="clear" w:color="auto" w:fill="2AD2C9"/>
          </w:tcPr>
          <w:p>
            <w:pPr>
              <w:ind w:left="240"/>
              <w:spacing w:after="0" w:line="99" w:lineRule="exact"/>
              <w:rPr>
                <w:sz w:val="20"/>
                <w:szCs w:val="20"/>
                <w:color w:val="auto"/>
              </w:rPr>
            </w:pPr>
            <w:r>
              <w:rPr>
                <w:rFonts w:ascii="Arial" w:cs="Arial" w:eastAsia="Arial" w:hAnsi="Arial"/>
                <w:sz w:val="11"/>
                <w:szCs w:val="11"/>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8"/>
                <w:szCs w:val="8"/>
                <w:color w:val="auto"/>
              </w:rPr>
            </w:pPr>
          </w:p>
        </w:tc>
        <w:tc>
          <w:tcPr>
            <w:tcW w:w="580" w:type="dxa"/>
            <w:vAlign w:val="bottom"/>
            <w:tcBorders>
              <w:top w:val="single" w:sz="8" w:color="auto"/>
            </w:tcBorders>
            <w:shd w:val="clear" w:color="auto" w:fill="2AD2C9"/>
          </w:tcPr>
          <w:p>
            <w:pPr>
              <w:spacing w:after="0"/>
              <w:rPr>
                <w:sz w:val="8"/>
                <w:szCs w:val="8"/>
                <w:color w:val="auto"/>
              </w:rPr>
            </w:pPr>
          </w:p>
        </w:tc>
        <w:tc>
          <w:tcPr>
            <w:tcW w:w="122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1"/>
                <w:szCs w:val="11"/>
                <w:b w:val="1"/>
                <w:bCs w:val="1"/>
                <w:color w:val="FFFFFF"/>
              </w:rPr>
              <w:t>% Change</w:t>
            </w:r>
          </w:p>
        </w:tc>
        <w:tc>
          <w:tcPr>
            <w:tcW w:w="720" w:type="dxa"/>
            <w:vAlign w:val="bottom"/>
            <w:tcBorders>
              <w:top w:val="single" w:sz="8" w:color="auto"/>
            </w:tcBorders>
            <w:shd w:val="clear" w:color="auto" w:fill="2AD2C9"/>
          </w:tcPr>
          <w:p>
            <w:pPr>
              <w:spacing w:after="0"/>
              <w:rPr>
                <w:sz w:val="8"/>
                <w:szCs w:val="8"/>
                <w:color w:val="auto"/>
              </w:rPr>
            </w:pPr>
          </w:p>
        </w:tc>
        <w:tc>
          <w:tcPr>
            <w:tcW w:w="106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1"/>
                <w:szCs w:val="11"/>
                <w:b w:val="1"/>
                <w:bCs w:val="1"/>
                <w:color w:val="FFFFFF"/>
              </w:rPr>
              <w:t>Year</w:t>
            </w:r>
          </w:p>
        </w:tc>
        <w:tc>
          <w:tcPr>
            <w:tcW w:w="900" w:type="dxa"/>
            <w:vAlign w:val="bottom"/>
            <w:tcBorders>
              <w:top w:val="single" w:sz="8" w:color="auto"/>
              <w:right w:val="single" w:sz="8" w:color="auto"/>
            </w:tcBorders>
            <w:shd w:val="clear" w:color="auto" w:fill="2AD2C9"/>
          </w:tcPr>
          <w:p>
            <w:pPr>
              <w:ind w:left="160"/>
              <w:spacing w:after="0" w:line="99" w:lineRule="exact"/>
              <w:rPr>
                <w:sz w:val="20"/>
                <w:szCs w:val="20"/>
                <w:color w:val="auto"/>
              </w:rPr>
            </w:pPr>
            <w:r>
              <w:rPr>
                <w:rFonts w:ascii="Arial" w:cs="Arial" w:eastAsia="Arial" w:hAnsi="Arial"/>
                <w:sz w:val="11"/>
                <w:szCs w:val="11"/>
                <w:b w:val="1"/>
                <w:bCs w:val="1"/>
                <w:color w:val="FFFFFF"/>
              </w:rPr>
              <w:t>% Change</w:t>
            </w:r>
          </w:p>
        </w:tc>
      </w:tr>
      <w:tr>
        <w:trPr>
          <w:trHeight w:val="137"/>
        </w:trPr>
        <w:tc>
          <w:tcPr>
            <w:tcW w:w="40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(S/ 000)</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4Q22</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3Q23</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5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QoQ</w:t>
            </w:r>
          </w:p>
        </w:tc>
        <w:tc>
          <w:tcPr>
            <w:tcW w:w="1220" w:type="dxa"/>
            <w:vAlign w:val="bottom"/>
            <w:tcBorders>
              <w:bottom w:val="single" w:sz="8" w:color="auto"/>
              <w:right w:val="single" w:sz="8" w:color="auto"/>
            </w:tcBorders>
            <w:shd w:val="clear" w:color="auto" w:fill="2AD2C9"/>
          </w:tcPr>
          <w:p>
            <w:pPr>
              <w:ind w:left="640"/>
              <w:spacing w:after="0"/>
              <w:rPr>
                <w:sz w:val="20"/>
                <w:szCs w:val="20"/>
                <w:color w:val="auto"/>
              </w:rPr>
            </w:pPr>
            <w:r>
              <w:rPr>
                <w:rFonts w:ascii="Arial" w:cs="Arial" w:eastAsia="Arial" w:hAnsi="Arial"/>
                <w:sz w:val="11"/>
                <w:szCs w:val="11"/>
                <w:b w:val="1"/>
                <w:bCs w:val="1"/>
                <w:color w:val="FFFFFF"/>
              </w:rPr>
              <w:t>YoY</w:t>
            </w:r>
          </w:p>
        </w:tc>
        <w:tc>
          <w:tcPr>
            <w:tcW w:w="720" w:type="dxa"/>
            <w:vAlign w:val="bottom"/>
            <w:tcBorders>
              <w:bottom w:val="single" w:sz="8" w:color="auto"/>
            </w:tcBorders>
            <w:shd w:val="clear" w:color="auto" w:fill="2AD2C9"/>
          </w:tcPr>
          <w:p>
            <w:pPr>
              <w:jc w:val="center"/>
              <w:ind w:left="83"/>
              <w:spacing w:after="0"/>
              <w:rPr>
                <w:sz w:val="20"/>
                <w:szCs w:val="20"/>
                <w:color w:val="auto"/>
              </w:rPr>
            </w:pPr>
            <w:r>
              <w:rPr>
                <w:rFonts w:ascii="Arial" w:cs="Arial" w:eastAsia="Arial" w:hAnsi="Arial"/>
                <w:sz w:val="11"/>
                <w:szCs w:val="11"/>
                <w:b w:val="1"/>
                <w:bCs w:val="1"/>
                <w:color w:val="FFFFFF"/>
              </w:rPr>
              <w:t>2022</w:t>
            </w:r>
          </w:p>
        </w:tc>
        <w:tc>
          <w:tcPr>
            <w:tcW w:w="1060" w:type="dxa"/>
            <w:vAlign w:val="bottom"/>
            <w:tcBorders>
              <w:bottom w:val="single" w:sz="8" w:color="auto"/>
              <w:right w:val="single" w:sz="8" w:color="auto"/>
            </w:tcBorders>
            <w:shd w:val="clear" w:color="auto" w:fill="2AD2C9"/>
          </w:tcPr>
          <w:p>
            <w:pPr>
              <w:jc w:val="center"/>
              <w:ind w:left="83"/>
              <w:spacing w:after="0"/>
              <w:rPr>
                <w:sz w:val="20"/>
                <w:szCs w:val="20"/>
                <w:color w:val="auto"/>
              </w:rPr>
            </w:pPr>
            <w:r>
              <w:rPr>
                <w:rFonts w:ascii="Arial" w:cs="Arial" w:eastAsia="Arial" w:hAnsi="Arial"/>
                <w:sz w:val="11"/>
                <w:szCs w:val="11"/>
                <w:b w:val="1"/>
                <w:bCs w:val="1"/>
                <w:color w:val="FFFFFF"/>
                <w:w w:val="97"/>
              </w:rPr>
              <w:t>2023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2023 / 2022</w:t>
            </w:r>
          </w:p>
        </w:tc>
      </w:tr>
      <w:tr>
        <w:trPr>
          <w:trHeight w:val="99"/>
        </w:trPr>
        <w:tc>
          <w:tcPr>
            <w:tcW w:w="406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1"/>
                <w:szCs w:val="11"/>
                <w:color w:val="auto"/>
              </w:rPr>
              <w:t>Fee income</w:t>
            </w:r>
          </w:p>
        </w:tc>
        <w:tc>
          <w:tcPr>
            <w:tcW w:w="900" w:type="dxa"/>
            <w:vAlign w:val="bottom"/>
          </w:tcPr>
          <w:p>
            <w:pPr>
              <w:jc w:val="center"/>
              <w:spacing w:after="0" w:line="99" w:lineRule="exact"/>
              <w:rPr>
                <w:sz w:val="20"/>
                <w:szCs w:val="20"/>
                <w:color w:val="auto"/>
              </w:rPr>
            </w:pPr>
            <w:r>
              <w:rPr>
                <w:rFonts w:ascii="Arial" w:cs="Arial" w:eastAsia="Arial" w:hAnsi="Arial"/>
                <w:sz w:val="11"/>
                <w:szCs w:val="11"/>
                <w:color w:val="auto"/>
              </w:rPr>
              <w:t>895,295</w:t>
            </w:r>
          </w:p>
        </w:tc>
        <w:tc>
          <w:tcPr>
            <w:tcW w:w="880" w:type="dxa"/>
            <w:vAlign w:val="bottom"/>
          </w:tcPr>
          <w:p>
            <w:pPr>
              <w:jc w:val="center"/>
              <w:spacing w:after="0" w:line="99" w:lineRule="exact"/>
              <w:rPr>
                <w:sz w:val="20"/>
                <w:szCs w:val="20"/>
                <w:color w:val="auto"/>
              </w:rPr>
            </w:pPr>
            <w:r>
              <w:rPr>
                <w:rFonts w:ascii="Arial" w:cs="Arial" w:eastAsia="Arial" w:hAnsi="Arial"/>
                <w:sz w:val="11"/>
                <w:szCs w:val="11"/>
                <w:color w:val="auto"/>
              </w:rPr>
              <w:t>975,955</w:t>
            </w:r>
          </w:p>
        </w:tc>
        <w:tc>
          <w:tcPr>
            <w:tcW w:w="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986,173</w:t>
            </w:r>
          </w:p>
        </w:tc>
        <w:tc>
          <w:tcPr>
            <w:tcW w:w="580" w:type="dxa"/>
            <w:vAlign w:val="bottom"/>
          </w:tcPr>
          <w:p>
            <w:pPr>
              <w:ind w:left="300"/>
              <w:spacing w:after="0" w:line="99" w:lineRule="exact"/>
              <w:rPr>
                <w:sz w:val="20"/>
                <w:szCs w:val="20"/>
                <w:color w:val="auto"/>
              </w:rPr>
            </w:pPr>
            <w:r>
              <w:rPr>
                <w:rFonts w:ascii="Arial" w:cs="Arial" w:eastAsia="Arial" w:hAnsi="Arial"/>
                <w:sz w:val="11"/>
                <w:szCs w:val="11"/>
                <w:color w:val="auto"/>
              </w:rPr>
              <w:t>1.0%</w:t>
            </w:r>
          </w:p>
        </w:tc>
        <w:tc>
          <w:tcPr>
            <w:tcW w:w="1220" w:type="dxa"/>
            <w:vAlign w:val="bottom"/>
            <w:tcBorders>
              <w:right w:val="single" w:sz="8" w:color="auto"/>
            </w:tcBorders>
          </w:tcPr>
          <w:p>
            <w:pPr>
              <w:jc w:val="center"/>
              <w:ind w:left="203"/>
              <w:spacing w:after="0" w:line="99" w:lineRule="exact"/>
              <w:rPr>
                <w:sz w:val="20"/>
                <w:szCs w:val="20"/>
                <w:color w:val="auto"/>
              </w:rPr>
            </w:pPr>
            <w:r>
              <w:rPr>
                <w:rFonts w:ascii="Arial" w:cs="Arial" w:eastAsia="Arial" w:hAnsi="Arial"/>
                <w:sz w:val="11"/>
                <w:szCs w:val="11"/>
                <w:color w:val="auto"/>
              </w:rPr>
              <w:t>10.2%</w:t>
            </w:r>
          </w:p>
        </w:tc>
        <w:tc>
          <w:tcPr>
            <w:tcW w:w="720" w:type="dxa"/>
            <w:vAlign w:val="bottom"/>
          </w:tcPr>
          <w:p>
            <w:pPr>
              <w:jc w:val="center"/>
              <w:ind w:left="83"/>
              <w:spacing w:after="0" w:line="99" w:lineRule="exact"/>
              <w:rPr>
                <w:sz w:val="20"/>
                <w:szCs w:val="20"/>
                <w:color w:val="auto"/>
              </w:rPr>
            </w:pPr>
            <w:r>
              <w:rPr>
                <w:rFonts w:ascii="Arial" w:cs="Arial" w:eastAsia="Arial" w:hAnsi="Arial"/>
                <w:sz w:val="11"/>
                <w:szCs w:val="11"/>
                <w:color w:val="auto"/>
              </w:rPr>
              <w:t>3,642,857</w:t>
            </w:r>
          </w:p>
        </w:tc>
        <w:tc>
          <w:tcPr>
            <w:tcW w:w="1060" w:type="dxa"/>
            <w:vAlign w:val="bottom"/>
            <w:tcBorders>
              <w:right w:val="single" w:sz="8" w:color="auto"/>
            </w:tcBorders>
          </w:tcPr>
          <w:p>
            <w:pPr>
              <w:jc w:val="center"/>
              <w:ind w:left="103"/>
              <w:spacing w:after="0" w:line="99" w:lineRule="exact"/>
              <w:rPr>
                <w:sz w:val="20"/>
                <w:szCs w:val="20"/>
                <w:color w:val="auto"/>
              </w:rPr>
            </w:pPr>
            <w:r>
              <w:rPr>
                <w:rFonts w:ascii="Arial" w:cs="Arial" w:eastAsia="Arial" w:hAnsi="Arial"/>
                <w:sz w:val="11"/>
                <w:szCs w:val="11"/>
                <w:color w:val="auto"/>
              </w:rPr>
              <w:t>3,804,459</w:t>
            </w:r>
          </w:p>
        </w:tc>
        <w:tc>
          <w:tcPr>
            <w:tcW w:w="9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4.4%</w:t>
            </w:r>
          </w:p>
        </w:tc>
      </w:tr>
      <w:tr>
        <w:trPr>
          <w:trHeight w:val="137"/>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Net gain on foreign exchange transactions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293,215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208,620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218,047</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4.5%</w:t>
            </w:r>
          </w:p>
        </w:tc>
        <w:tc>
          <w:tcPr>
            <w:tcW w:w="122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color w:val="auto"/>
              </w:rPr>
              <w:t>-25.6%</w:t>
            </w:r>
          </w:p>
        </w:tc>
        <w:tc>
          <w:tcPr>
            <w:tcW w:w="72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color w:val="auto"/>
              </w:rPr>
              <w:t>1,084,151</w:t>
            </w:r>
          </w:p>
        </w:tc>
        <w:tc>
          <w:tcPr>
            <w:tcW w:w="1060" w:type="dxa"/>
            <w:vAlign w:val="bottom"/>
            <w:tcBorders>
              <w:bottom w:val="single" w:sz="8" w:color="auto"/>
              <w:right w:val="single" w:sz="8" w:color="auto"/>
            </w:tcBorders>
          </w:tcPr>
          <w:p>
            <w:pPr>
              <w:jc w:val="center"/>
              <w:ind w:left="83"/>
              <w:spacing w:after="0"/>
              <w:rPr>
                <w:sz w:val="20"/>
                <w:szCs w:val="20"/>
                <w:color w:val="auto"/>
              </w:rPr>
            </w:pPr>
            <w:r>
              <w:rPr>
                <w:rFonts w:ascii="Arial" w:cs="Arial" w:eastAsia="Arial" w:hAnsi="Arial"/>
                <w:sz w:val="11"/>
                <w:szCs w:val="11"/>
                <w:color w:val="auto"/>
              </w:rPr>
              <w:t>886,126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-18.3%</w:t>
            </w:r>
          </w:p>
        </w:tc>
      </w:tr>
      <w:tr>
        <w:trPr>
          <w:trHeight w:val="114"/>
        </w:trPr>
        <w:tc>
          <w:tcPr>
            <w:tcW w:w="406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b w:val="1"/>
                <w:bCs w:val="1"/>
                <w:color w:val="auto"/>
              </w:rPr>
              <w:t>Total other income Core</w:t>
            </w:r>
          </w:p>
        </w:tc>
        <w:tc>
          <w:tcPr>
            <w:tcW w:w="9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1,188,510</w:t>
            </w:r>
          </w:p>
        </w:tc>
        <w:tc>
          <w:tcPr>
            <w:tcW w:w="8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1,184,575</w:t>
            </w:r>
          </w:p>
        </w:tc>
        <w:tc>
          <w:tcPr>
            <w:tcW w:w="94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1,204,220</w:t>
            </w:r>
          </w:p>
        </w:tc>
        <w:tc>
          <w:tcPr>
            <w:tcW w:w="580" w:type="dxa"/>
            <w:vAlign w:val="bottom"/>
            <w:tcBorders>
              <w:bottom w:val="single" w:sz="8" w:color="auto"/>
            </w:tcBorders>
          </w:tcPr>
          <w:p>
            <w:pPr>
              <w:ind w:left="300"/>
              <w:spacing w:after="0" w:line="114" w:lineRule="exact"/>
              <w:rPr>
                <w:sz w:val="20"/>
                <w:szCs w:val="20"/>
                <w:color w:val="auto"/>
              </w:rPr>
            </w:pPr>
            <w:r>
              <w:rPr>
                <w:rFonts w:ascii="Arial" w:cs="Arial" w:eastAsia="Arial" w:hAnsi="Arial"/>
                <w:sz w:val="11"/>
                <w:szCs w:val="11"/>
                <w:b w:val="1"/>
                <w:bCs w:val="1"/>
                <w:color w:val="auto"/>
              </w:rPr>
              <w:t>1.7%</w:t>
            </w:r>
          </w:p>
        </w:tc>
        <w:tc>
          <w:tcPr>
            <w:tcW w:w="1220" w:type="dxa"/>
            <w:vAlign w:val="bottom"/>
            <w:tcBorders>
              <w:bottom w:val="single" w:sz="8" w:color="auto"/>
              <w:right w:val="single" w:sz="8" w:color="auto"/>
            </w:tcBorders>
          </w:tcPr>
          <w:p>
            <w:pPr>
              <w:jc w:val="center"/>
              <w:ind w:left="223"/>
              <w:spacing w:after="0" w:line="114" w:lineRule="exact"/>
              <w:rPr>
                <w:sz w:val="20"/>
                <w:szCs w:val="20"/>
                <w:color w:val="auto"/>
              </w:rPr>
            </w:pPr>
            <w:r>
              <w:rPr>
                <w:rFonts w:ascii="Arial" w:cs="Arial" w:eastAsia="Arial" w:hAnsi="Arial"/>
                <w:sz w:val="11"/>
                <w:szCs w:val="11"/>
                <w:b w:val="1"/>
                <w:bCs w:val="1"/>
                <w:color w:val="auto"/>
              </w:rPr>
              <w:t>1.3%</w:t>
            </w:r>
          </w:p>
        </w:tc>
        <w:tc>
          <w:tcPr>
            <w:tcW w:w="720" w:type="dxa"/>
            <w:vAlign w:val="bottom"/>
            <w:tcBorders>
              <w:bottom w:val="single" w:sz="8" w:color="auto"/>
            </w:tcBorders>
          </w:tcPr>
          <w:p>
            <w:pPr>
              <w:jc w:val="center"/>
              <w:ind w:left="83"/>
              <w:spacing w:after="0" w:line="114" w:lineRule="exact"/>
              <w:rPr>
                <w:sz w:val="20"/>
                <w:szCs w:val="20"/>
                <w:color w:val="auto"/>
              </w:rPr>
            </w:pPr>
            <w:r>
              <w:rPr>
                <w:rFonts w:ascii="Arial" w:cs="Arial" w:eastAsia="Arial" w:hAnsi="Arial"/>
                <w:sz w:val="11"/>
                <w:szCs w:val="11"/>
                <w:b w:val="1"/>
                <w:bCs w:val="1"/>
                <w:color w:val="auto"/>
              </w:rPr>
              <w:t>4,727,008</w:t>
            </w:r>
          </w:p>
        </w:tc>
        <w:tc>
          <w:tcPr>
            <w:tcW w:w="1060" w:type="dxa"/>
            <w:vAlign w:val="bottom"/>
            <w:tcBorders>
              <w:bottom w:val="single" w:sz="8" w:color="auto"/>
              <w:right w:val="single" w:sz="8" w:color="auto"/>
            </w:tcBorders>
          </w:tcPr>
          <w:p>
            <w:pPr>
              <w:jc w:val="center"/>
              <w:ind w:left="103"/>
              <w:spacing w:after="0" w:line="114" w:lineRule="exact"/>
              <w:rPr>
                <w:sz w:val="20"/>
                <w:szCs w:val="20"/>
                <w:color w:val="auto"/>
              </w:rPr>
            </w:pPr>
            <w:r>
              <w:rPr>
                <w:rFonts w:ascii="Arial" w:cs="Arial" w:eastAsia="Arial" w:hAnsi="Arial"/>
                <w:sz w:val="11"/>
                <w:szCs w:val="11"/>
                <w:b w:val="1"/>
                <w:bCs w:val="1"/>
                <w:color w:val="auto"/>
              </w:rPr>
              <w:t>4,690,585</w:t>
            </w:r>
          </w:p>
        </w:tc>
        <w:tc>
          <w:tcPr>
            <w:tcW w:w="9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7"/>
              </w:rPr>
              <w:t>-0.8%</w:t>
            </w:r>
          </w:p>
        </w:tc>
      </w:tr>
    </w:tbl>
    <w:p>
      <w:pPr>
        <w:spacing w:after="0" w:line="166" w:lineRule="exact"/>
        <w:rPr>
          <w:sz w:val="20"/>
          <w:szCs w:val="20"/>
          <w:color w:val="auto"/>
        </w:rPr>
      </w:pPr>
    </w:p>
    <w:p>
      <w:pPr>
        <w:jc w:val="both"/>
        <w:ind w:left="2" w:right="20"/>
        <w:spacing w:after="0" w:line="265" w:lineRule="auto"/>
        <w:rPr>
          <w:sz w:val="20"/>
          <w:szCs w:val="20"/>
          <w:color w:val="auto"/>
        </w:rPr>
      </w:pPr>
      <w:r>
        <w:rPr>
          <w:rFonts w:ascii="Arial" w:cs="Arial" w:eastAsia="Arial" w:hAnsi="Arial"/>
          <w:sz w:val="16"/>
          <w:szCs w:val="16"/>
          <w:color w:val="auto"/>
        </w:rPr>
        <w:t xml:space="preserve">In 2023, </w:t>
      </w:r>
      <w:r>
        <w:rPr>
          <w:rFonts w:ascii="Arial" w:cs="Arial" w:eastAsia="Arial" w:hAnsi="Arial"/>
          <w:sz w:val="16"/>
          <w:szCs w:val="16"/>
          <w:b w:val="1"/>
          <w:bCs w:val="1"/>
          <w:color w:val="auto"/>
        </w:rPr>
        <w:t>BCP Bolivia</w:t>
      </w:r>
      <w:r>
        <w:rPr>
          <w:rFonts w:ascii="Arial" w:cs="Arial" w:eastAsia="Arial" w:hAnsi="Arial"/>
          <w:sz w:val="16"/>
          <w:szCs w:val="16"/>
          <w:color w:val="auto"/>
        </w:rPr>
        <w:t xml:space="preserve"> implemented a strategy to attenuate the impact of the Central Bank of Bolivia’s decision to restrict US Dollar purchases. This entailed adjusting the fee structure for foreign transfers, which led to fee income to rose and posting a gain net of losses on FX transactions of S/14.8 million this year.</w:t>
      </w:r>
    </w:p>
    <w:p>
      <w:pPr>
        <w:spacing w:after="0" w:line="325" w:lineRule="exact"/>
        <w:rPr>
          <w:sz w:val="20"/>
          <w:szCs w:val="20"/>
          <w:color w:val="auto"/>
        </w:rPr>
      </w:pPr>
    </w:p>
    <w:p>
      <w:pPr>
        <w:ind w:left="2"/>
        <w:spacing w:after="0"/>
        <w:rPr>
          <w:sz w:val="20"/>
          <w:szCs w:val="20"/>
          <w:color w:val="auto"/>
        </w:rPr>
      </w:pPr>
      <w:r>
        <w:rPr>
          <w:rFonts w:ascii="Arial" w:cs="Arial" w:eastAsia="Arial" w:hAnsi="Arial"/>
          <w:sz w:val="16"/>
          <w:szCs w:val="16"/>
          <w:color w:val="auto"/>
        </w:rPr>
        <w:t>If we exclude transactions at BCP Bolivia, the results of Other Core income reflect the following dynamics:</w:t>
      </w:r>
    </w:p>
    <w:p>
      <w:pPr>
        <w:spacing w:after="0" w:line="182"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Other Core Income rose 2.1%, driven primarily by an uptick in the Net gain on FX Transactions at</w:t>
      </w:r>
      <w:r>
        <w:rPr>
          <w:rFonts w:ascii="Arial" w:cs="Arial" w:eastAsia="Arial" w:hAnsi="Arial"/>
          <w:sz w:val="16"/>
          <w:szCs w:val="16"/>
          <w:b w:val="1"/>
          <w:bCs w:val="1"/>
          <w:color w:val="auto"/>
        </w:rPr>
        <w:t xml:space="preserve"> BCP Stand-alone</w:t>
      </w:r>
      <w:r>
        <w:rPr>
          <w:rFonts w:ascii="Arial" w:cs="Arial" w:eastAsia="Arial" w:hAnsi="Arial"/>
          <w:sz w:val="16"/>
          <w:szCs w:val="16"/>
          <w:color w:val="auto"/>
        </w:rPr>
        <w:t>. This evolution reflected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treasury team’s efforts to take advantage of seasonality at year-end to offer more advantageous spreads. Additionally, </w:t>
      </w:r>
      <w:r>
        <w:rPr>
          <w:rFonts w:ascii="Arial" w:cs="Arial" w:eastAsia="Arial" w:hAnsi="Arial"/>
          <w:sz w:val="16"/>
          <w:szCs w:val="16"/>
          <w:b w:val="1"/>
          <w:bCs w:val="1"/>
          <w:color w:val="auto"/>
        </w:rPr>
        <w:t>Credicorp Capital</w:t>
      </w:r>
      <w:r>
        <w:rPr>
          <w:rFonts w:ascii="Arial" w:cs="Arial" w:eastAsia="Arial" w:hAnsi="Arial"/>
          <w:sz w:val="16"/>
          <w:szCs w:val="16"/>
          <w:color w:val="auto"/>
        </w:rPr>
        <w:t xml:space="preserve"> registered an increase in Fee income.</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6"/>
          <w:szCs w:val="16"/>
          <w:color w:val="auto"/>
        </w:rPr>
        <w:t>This growth was partially offset by a reduction in net fee income in the banking business at BCP Stand-alone.</w:t>
      </w:r>
    </w:p>
    <w:p>
      <w:pPr>
        <w:spacing w:after="0" w:line="182" w:lineRule="exact"/>
        <w:rPr>
          <w:sz w:val="20"/>
          <w:szCs w:val="20"/>
          <w:color w:val="auto"/>
        </w:rPr>
      </w:pPr>
    </w:p>
    <w:p>
      <w:pPr>
        <w:jc w:val="both"/>
        <w:ind w:left="2" w:right="20"/>
        <w:spacing w:after="0" w:line="289"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the increase of 1.4% was driven mainly by an uptick in fee income from</w:t>
      </w:r>
      <w:r>
        <w:rPr>
          <w:rFonts w:ascii="Arial" w:cs="Arial" w:eastAsia="Arial" w:hAnsi="Arial"/>
          <w:sz w:val="16"/>
          <w:szCs w:val="16"/>
          <w:b w:val="1"/>
          <w:bCs w:val="1"/>
          <w:color w:val="auto"/>
        </w:rPr>
        <w:t xml:space="preserve"> Credicorp Capital, </w:t>
      </w:r>
      <w:r>
        <w:rPr>
          <w:rFonts w:ascii="Arial" w:cs="Arial" w:eastAsia="Arial" w:hAnsi="Arial"/>
          <w:sz w:val="16"/>
          <w:szCs w:val="16"/>
          <w:color w:val="auto"/>
        </w:rPr>
        <w:t>as explained in the</w:t>
      </w:r>
      <w:r>
        <w:rPr>
          <w:rFonts w:ascii="Arial" w:cs="Arial" w:eastAsia="Arial" w:hAnsi="Arial"/>
          <w:sz w:val="16"/>
          <w:szCs w:val="16"/>
          <w:b w:val="1"/>
          <w:bCs w:val="1"/>
          <w:color w:val="auto"/>
        </w:rPr>
        <w:t xml:space="preserve"> QoQ </w:t>
      </w:r>
      <w:r>
        <w:rPr>
          <w:rFonts w:ascii="Arial" w:cs="Arial" w:eastAsia="Arial" w:hAnsi="Arial"/>
          <w:sz w:val="16"/>
          <w:szCs w:val="16"/>
          <w:color w:val="auto"/>
        </w:rPr>
        <w:t>dynamics, and growth in fee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income via the banking business at </w:t>
      </w:r>
      <w:r>
        <w:rPr>
          <w:rFonts w:ascii="Arial" w:cs="Arial" w:eastAsia="Arial" w:hAnsi="Arial"/>
          <w:sz w:val="16"/>
          <w:szCs w:val="16"/>
          <w:b w:val="1"/>
          <w:bCs w:val="1"/>
          <w:color w:val="auto"/>
        </w:rPr>
        <w:t>BCP Stand-alone</w:t>
      </w:r>
      <w:r>
        <w:rPr>
          <w:rFonts w:ascii="Arial" w:cs="Arial" w:eastAsia="Arial" w:hAnsi="Arial"/>
          <w:sz w:val="16"/>
          <w:szCs w:val="16"/>
          <w:color w:val="auto"/>
        </w:rPr>
        <w:t>.</w:t>
      </w:r>
    </w:p>
    <w:p>
      <w:pPr>
        <w:spacing w:after="0" w:line="106" w:lineRule="exact"/>
        <w:rPr>
          <w:sz w:val="20"/>
          <w:szCs w:val="20"/>
          <w:color w:val="auto"/>
        </w:rPr>
      </w:pPr>
    </w:p>
    <w:p>
      <w:pPr>
        <w:ind w:left="2" w:right="980"/>
        <w:spacing w:after="0" w:line="470" w:lineRule="auto"/>
        <w:rPr>
          <w:sz w:val="20"/>
          <w:szCs w:val="20"/>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a 1.1% drop was reported in fee income decrease in the fee balance at BCP, which was driven by the elimination of intercity transfer fees.</w:t>
      </w:r>
      <w:r>
        <w:rPr>
          <w:rFonts w:ascii="Arial" w:cs="Arial" w:eastAsia="Arial" w:hAnsi="Arial"/>
          <w:sz w:val="16"/>
          <w:szCs w:val="16"/>
          <w:b w:val="1"/>
          <w:bCs w:val="1"/>
          <w:color w:val="auto"/>
        </w:rPr>
        <w:t xml:space="preserve"> Fee income from the banking business</w:t>
      </w:r>
    </w:p>
    <w:p>
      <w:pPr>
        <w:jc w:val="center"/>
        <w:ind w:right="-1"/>
        <w:spacing w:after="0" w:line="181" w:lineRule="auto"/>
        <w:rPr>
          <w:sz w:val="20"/>
          <w:szCs w:val="20"/>
          <w:color w:val="auto"/>
        </w:rPr>
      </w:pPr>
      <w:r>
        <w:rPr>
          <w:rFonts w:ascii="Arial" w:cs="Arial" w:eastAsia="Arial" w:hAnsi="Arial"/>
          <w:sz w:val="15"/>
          <w:szCs w:val="15"/>
          <w:b w:val="1"/>
          <w:bCs w:val="1"/>
          <w:color w:val="auto"/>
        </w:rPr>
        <w:t xml:space="preserve">Composition of fee income in the banking business </w:t>
      </w:r>
      <w:r>
        <w:rPr>
          <w:rFonts w:ascii="Arial" w:cs="Arial" w:eastAsia="Arial" w:hAnsi="Arial"/>
          <w:sz w:val="24"/>
          <w:szCs w:val="24"/>
          <w:b w:val="1"/>
          <w:bCs w:val="1"/>
          <w:color w:val="auto"/>
          <w:vertAlign w:val="superscript"/>
        </w:rPr>
        <w:t>(*)</w:t>
      </w:r>
    </w:p>
    <w:tbl>
      <w:tblPr>
        <w:tblLayout w:type="fixed"/>
        <w:tblInd w:w="12" w:type="dxa"/>
        <w:tblCellMar>
          <w:top w:w="0" w:type="dxa"/>
          <w:left w:w="0" w:type="dxa"/>
          <w:bottom w:w="0" w:type="dxa"/>
          <w:right w:w="0" w:type="dxa"/>
        </w:tblCellMar>
      </w:tblPr>
      <w:tr>
        <w:trPr>
          <w:trHeight w:val="101"/>
        </w:trPr>
        <w:tc>
          <w:tcPr>
            <w:tcW w:w="4060" w:type="dxa"/>
            <w:vAlign w:val="bottom"/>
            <w:tcBorders>
              <w:top w:val="single" w:sz="8" w:color="auto"/>
              <w:left w:val="single" w:sz="8" w:color="auto"/>
              <w:right w:val="single" w:sz="8" w:color="auto"/>
            </w:tcBorders>
            <w:shd w:val="clear" w:color="auto" w:fill="2AD2C9"/>
          </w:tcPr>
          <w:p>
            <w:pPr>
              <w:ind w:left="40"/>
              <w:spacing w:after="0" w:line="101" w:lineRule="exact"/>
              <w:rPr>
                <w:sz w:val="20"/>
                <w:szCs w:val="20"/>
                <w:color w:val="auto"/>
              </w:rPr>
            </w:pPr>
            <w:r>
              <w:rPr>
                <w:rFonts w:ascii="Arial" w:cs="Arial" w:eastAsia="Arial" w:hAnsi="Arial"/>
                <w:sz w:val="11"/>
                <w:szCs w:val="11"/>
                <w:b w:val="1"/>
                <w:bCs w:val="1"/>
                <w:color w:val="FFFFFF"/>
              </w:rPr>
              <w:t>Banking Business Fees</w:t>
            </w:r>
          </w:p>
        </w:tc>
        <w:tc>
          <w:tcPr>
            <w:tcW w:w="900" w:type="dxa"/>
            <w:vAlign w:val="bottom"/>
            <w:tcBorders>
              <w:top w:val="single" w:sz="8" w:color="auto"/>
            </w:tcBorders>
            <w:shd w:val="clear" w:color="auto" w:fill="2AD2C9"/>
          </w:tcPr>
          <w:p>
            <w:pPr>
              <w:spacing w:after="0"/>
              <w:rPr>
                <w:sz w:val="8"/>
                <w:szCs w:val="8"/>
                <w:color w:val="auto"/>
              </w:rPr>
            </w:pPr>
          </w:p>
        </w:tc>
        <w:tc>
          <w:tcPr>
            <w:tcW w:w="900" w:type="dxa"/>
            <w:vAlign w:val="bottom"/>
            <w:tcBorders>
              <w:top w:val="single" w:sz="8" w:color="auto"/>
            </w:tcBorders>
            <w:shd w:val="clear" w:color="auto" w:fill="2AD2C9"/>
          </w:tcPr>
          <w:p>
            <w:pPr>
              <w:ind w:left="240"/>
              <w:spacing w:after="0" w:line="101" w:lineRule="exact"/>
              <w:rPr>
                <w:sz w:val="20"/>
                <w:szCs w:val="20"/>
                <w:color w:val="auto"/>
              </w:rPr>
            </w:pPr>
            <w:r>
              <w:rPr>
                <w:rFonts w:ascii="Arial" w:cs="Arial" w:eastAsia="Arial" w:hAnsi="Arial"/>
                <w:sz w:val="11"/>
                <w:szCs w:val="11"/>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8"/>
                <w:szCs w:val="8"/>
                <w:color w:val="auto"/>
              </w:rPr>
            </w:pPr>
          </w:p>
        </w:tc>
        <w:tc>
          <w:tcPr>
            <w:tcW w:w="1800" w:type="dxa"/>
            <w:vAlign w:val="bottom"/>
            <w:tcBorders>
              <w:top w:val="single" w:sz="8" w:color="auto"/>
              <w:right w:val="single" w:sz="8" w:color="auto"/>
            </w:tcBorders>
            <w:gridSpan w:val="2"/>
            <w:shd w:val="clear" w:color="auto" w:fill="2AD2C9"/>
          </w:tcPr>
          <w:p>
            <w:pPr>
              <w:ind w:left="600"/>
              <w:spacing w:after="0" w:line="101" w:lineRule="exact"/>
              <w:rPr>
                <w:sz w:val="20"/>
                <w:szCs w:val="20"/>
                <w:color w:val="auto"/>
              </w:rPr>
            </w:pPr>
            <w:r>
              <w:rPr>
                <w:rFonts w:ascii="Arial" w:cs="Arial" w:eastAsia="Arial" w:hAnsi="Arial"/>
                <w:sz w:val="11"/>
                <w:szCs w:val="11"/>
                <w:b w:val="1"/>
                <w:bCs w:val="1"/>
                <w:color w:val="FFFFFF"/>
              </w:rPr>
              <w:t>% Change</w:t>
            </w:r>
          </w:p>
        </w:tc>
        <w:tc>
          <w:tcPr>
            <w:tcW w:w="720" w:type="dxa"/>
            <w:vAlign w:val="bottom"/>
            <w:tcBorders>
              <w:top w:val="single" w:sz="8" w:color="auto"/>
            </w:tcBorders>
            <w:shd w:val="clear" w:color="auto" w:fill="2AD2C9"/>
          </w:tcPr>
          <w:p>
            <w:pPr>
              <w:spacing w:after="0"/>
              <w:rPr>
                <w:sz w:val="8"/>
                <w:szCs w:val="8"/>
                <w:color w:val="auto"/>
              </w:rPr>
            </w:pPr>
          </w:p>
        </w:tc>
        <w:tc>
          <w:tcPr>
            <w:tcW w:w="1060" w:type="dxa"/>
            <w:vAlign w:val="bottom"/>
            <w:tcBorders>
              <w:top w:val="single" w:sz="8" w:color="auto"/>
              <w:right w:val="single" w:sz="8" w:color="auto"/>
            </w:tcBorders>
            <w:shd w:val="clear" w:color="auto" w:fill="2AD2C9"/>
          </w:tcPr>
          <w:p>
            <w:pPr>
              <w:ind w:left="40"/>
              <w:spacing w:after="0" w:line="101" w:lineRule="exact"/>
              <w:rPr>
                <w:sz w:val="20"/>
                <w:szCs w:val="20"/>
                <w:color w:val="auto"/>
              </w:rPr>
            </w:pPr>
            <w:r>
              <w:rPr>
                <w:rFonts w:ascii="Arial" w:cs="Arial" w:eastAsia="Arial" w:hAnsi="Arial"/>
                <w:sz w:val="11"/>
                <w:szCs w:val="11"/>
                <w:b w:val="1"/>
                <w:bCs w:val="1"/>
                <w:color w:val="FFFFFF"/>
              </w:rPr>
              <w:t>Year</w:t>
            </w:r>
          </w:p>
        </w:tc>
        <w:tc>
          <w:tcPr>
            <w:tcW w:w="900" w:type="dxa"/>
            <w:vAlign w:val="bottom"/>
            <w:tcBorders>
              <w:top w:val="single" w:sz="8" w:color="auto"/>
              <w:right w:val="single" w:sz="8" w:color="auto"/>
            </w:tcBorders>
            <w:shd w:val="clear" w:color="auto" w:fill="2AD2C9"/>
          </w:tcPr>
          <w:p>
            <w:pPr>
              <w:ind w:left="160"/>
              <w:spacing w:after="0" w:line="101" w:lineRule="exact"/>
              <w:rPr>
                <w:sz w:val="20"/>
                <w:szCs w:val="20"/>
                <w:color w:val="auto"/>
              </w:rPr>
            </w:pPr>
            <w:r>
              <w:rPr>
                <w:rFonts w:ascii="Arial" w:cs="Arial" w:eastAsia="Arial" w:hAnsi="Arial"/>
                <w:sz w:val="11"/>
                <w:szCs w:val="11"/>
                <w:b w:val="1"/>
                <w:bCs w:val="1"/>
                <w:color w:val="FFFFFF"/>
              </w:rPr>
              <w:t>% Change</w:t>
            </w:r>
          </w:p>
        </w:tc>
      </w:tr>
      <w:tr>
        <w:trPr>
          <w:trHeight w:val="137"/>
        </w:trPr>
        <w:tc>
          <w:tcPr>
            <w:tcW w:w="40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S/ 000</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4Q22</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3Q23</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8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QoQ</w:t>
            </w:r>
          </w:p>
        </w:tc>
        <w:tc>
          <w:tcPr>
            <w:tcW w:w="9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1"/>
                <w:szCs w:val="11"/>
                <w:b w:val="1"/>
                <w:bCs w:val="1"/>
                <w:color w:val="FFFFFF"/>
              </w:rPr>
              <w:t>YoY</w:t>
            </w:r>
          </w:p>
        </w:tc>
        <w:tc>
          <w:tcPr>
            <w:tcW w:w="720" w:type="dxa"/>
            <w:vAlign w:val="bottom"/>
            <w:tcBorders>
              <w:bottom w:val="single" w:sz="8" w:color="auto"/>
            </w:tcBorders>
            <w:shd w:val="clear" w:color="auto" w:fill="2AD2C9"/>
          </w:tcPr>
          <w:p>
            <w:pPr>
              <w:jc w:val="center"/>
              <w:ind w:left="84"/>
              <w:spacing w:after="0"/>
              <w:rPr>
                <w:sz w:val="20"/>
                <w:szCs w:val="20"/>
                <w:color w:val="auto"/>
              </w:rPr>
            </w:pPr>
            <w:r>
              <w:rPr>
                <w:rFonts w:ascii="Arial" w:cs="Arial" w:eastAsia="Arial" w:hAnsi="Arial"/>
                <w:sz w:val="11"/>
                <w:szCs w:val="11"/>
                <w:b w:val="1"/>
                <w:bCs w:val="1"/>
                <w:color w:val="FFFFFF"/>
              </w:rPr>
              <w:t>2022</w:t>
            </w:r>
          </w:p>
        </w:tc>
        <w:tc>
          <w:tcPr>
            <w:tcW w:w="1060" w:type="dxa"/>
            <w:vAlign w:val="bottom"/>
            <w:tcBorders>
              <w:bottom w:val="single" w:sz="8" w:color="auto"/>
              <w:right w:val="single" w:sz="8" w:color="auto"/>
            </w:tcBorders>
            <w:shd w:val="clear" w:color="auto" w:fill="2AD2C9"/>
          </w:tcPr>
          <w:p>
            <w:pPr>
              <w:jc w:val="center"/>
              <w:ind w:left="84"/>
              <w:spacing w:after="0"/>
              <w:rPr>
                <w:sz w:val="20"/>
                <w:szCs w:val="20"/>
                <w:color w:val="auto"/>
              </w:rPr>
            </w:pPr>
            <w:r>
              <w:rPr>
                <w:rFonts w:ascii="Arial" w:cs="Arial" w:eastAsia="Arial" w:hAnsi="Arial"/>
                <w:sz w:val="11"/>
                <w:szCs w:val="11"/>
                <w:b w:val="1"/>
                <w:bCs w:val="1"/>
                <w:color w:val="FFFFFF"/>
                <w:w w:val="97"/>
              </w:rPr>
              <w:t>2023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2023 / 2022</w:t>
            </w:r>
          </w:p>
        </w:tc>
      </w:tr>
      <w:tr>
        <w:trPr>
          <w:trHeight w:val="94"/>
        </w:trPr>
        <w:tc>
          <w:tcPr>
            <w:tcW w:w="4060" w:type="dxa"/>
            <w:vAlign w:val="bottom"/>
            <w:tcBorders>
              <w:left w:val="single" w:sz="8" w:color="auto"/>
              <w:right w:val="single" w:sz="8" w:color="auto"/>
            </w:tcBorders>
          </w:tcPr>
          <w:p>
            <w:pPr>
              <w:ind w:left="40"/>
              <w:spacing w:after="0" w:line="94" w:lineRule="exact"/>
              <w:rPr>
                <w:sz w:val="20"/>
                <w:szCs w:val="20"/>
                <w:color w:val="auto"/>
              </w:rPr>
            </w:pPr>
            <w:r>
              <w:rPr>
                <w:rFonts w:ascii="Arial" w:cs="Arial" w:eastAsia="Arial" w:hAnsi="Arial"/>
                <w:sz w:val="7"/>
                <w:szCs w:val="7"/>
                <w:color w:val="auto"/>
              </w:rPr>
              <w:t xml:space="preserve">Payments and transactionals </w:t>
            </w:r>
            <w:r>
              <w:rPr>
                <w:rFonts w:ascii="Arial" w:cs="Arial" w:eastAsia="Arial" w:hAnsi="Arial"/>
                <w:sz w:val="10"/>
                <w:szCs w:val="10"/>
                <w:color w:val="auto"/>
                <w:vertAlign w:val="superscript"/>
              </w:rPr>
              <w:t>(1)</w:t>
            </w:r>
          </w:p>
        </w:tc>
        <w:tc>
          <w:tcPr>
            <w:tcW w:w="900" w:type="dxa"/>
            <w:vAlign w:val="bottom"/>
          </w:tcPr>
          <w:p>
            <w:pPr>
              <w:jc w:val="center"/>
              <w:spacing w:after="0" w:line="94" w:lineRule="exact"/>
              <w:rPr>
                <w:sz w:val="20"/>
                <w:szCs w:val="20"/>
                <w:color w:val="auto"/>
              </w:rPr>
            </w:pPr>
            <w:r>
              <w:rPr>
                <w:rFonts w:ascii="Arial" w:cs="Arial" w:eastAsia="Arial" w:hAnsi="Arial"/>
                <w:sz w:val="10"/>
                <w:szCs w:val="10"/>
                <w:color w:val="auto"/>
              </w:rPr>
              <w:t>302.470</w:t>
            </w:r>
          </w:p>
        </w:tc>
        <w:tc>
          <w:tcPr>
            <w:tcW w:w="900" w:type="dxa"/>
            <w:vAlign w:val="bottom"/>
          </w:tcPr>
          <w:p>
            <w:pPr>
              <w:jc w:val="center"/>
              <w:spacing w:after="0" w:line="94" w:lineRule="exact"/>
              <w:rPr>
                <w:sz w:val="20"/>
                <w:szCs w:val="20"/>
                <w:color w:val="auto"/>
              </w:rPr>
            </w:pPr>
            <w:r>
              <w:rPr>
                <w:rFonts w:ascii="Arial" w:cs="Arial" w:eastAsia="Arial" w:hAnsi="Arial"/>
                <w:sz w:val="10"/>
                <w:szCs w:val="10"/>
                <w:color w:val="auto"/>
              </w:rPr>
              <w:t>373.972</w:t>
            </w:r>
          </w:p>
        </w:tc>
        <w:tc>
          <w:tcPr>
            <w:tcW w:w="92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10"/>
                <w:szCs w:val="10"/>
                <w:color w:val="auto"/>
              </w:rPr>
              <w:t>363.596</w:t>
            </w:r>
          </w:p>
        </w:tc>
        <w:tc>
          <w:tcPr>
            <w:tcW w:w="880" w:type="dxa"/>
            <w:vAlign w:val="bottom"/>
          </w:tcPr>
          <w:p>
            <w:pPr>
              <w:jc w:val="center"/>
              <w:spacing w:after="0" w:line="94" w:lineRule="exact"/>
              <w:rPr>
                <w:sz w:val="20"/>
                <w:szCs w:val="20"/>
                <w:color w:val="auto"/>
              </w:rPr>
            </w:pPr>
            <w:r>
              <w:rPr>
                <w:rFonts w:ascii="Arial" w:cs="Arial" w:eastAsia="Arial" w:hAnsi="Arial"/>
                <w:sz w:val="10"/>
                <w:szCs w:val="10"/>
                <w:color w:val="auto"/>
              </w:rPr>
              <w:t>-2.8%</w:t>
            </w:r>
          </w:p>
        </w:tc>
        <w:tc>
          <w:tcPr>
            <w:tcW w:w="92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10"/>
                <w:szCs w:val="10"/>
                <w:color w:val="auto"/>
              </w:rPr>
              <w:t>20.2%</w:t>
            </w:r>
          </w:p>
        </w:tc>
        <w:tc>
          <w:tcPr>
            <w:tcW w:w="720" w:type="dxa"/>
            <w:vAlign w:val="bottom"/>
          </w:tcPr>
          <w:p>
            <w:pPr>
              <w:jc w:val="center"/>
              <w:ind w:left="84"/>
              <w:spacing w:after="0" w:line="94" w:lineRule="exact"/>
              <w:rPr>
                <w:sz w:val="20"/>
                <w:szCs w:val="20"/>
                <w:color w:val="auto"/>
              </w:rPr>
            </w:pPr>
            <w:r>
              <w:rPr>
                <w:rFonts w:ascii="Arial" w:cs="Arial" w:eastAsia="Arial" w:hAnsi="Arial"/>
                <w:sz w:val="10"/>
                <w:szCs w:val="10"/>
                <w:color w:val="auto"/>
              </w:rPr>
              <w:t>1,191.005</w:t>
            </w:r>
          </w:p>
        </w:tc>
        <w:tc>
          <w:tcPr>
            <w:tcW w:w="1060" w:type="dxa"/>
            <w:vAlign w:val="bottom"/>
            <w:tcBorders>
              <w:right w:val="single" w:sz="8" w:color="auto"/>
            </w:tcBorders>
          </w:tcPr>
          <w:p>
            <w:pPr>
              <w:jc w:val="center"/>
              <w:ind w:left="104"/>
              <w:spacing w:after="0" w:line="94" w:lineRule="exact"/>
              <w:rPr>
                <w:sz w:val="20"/>
                <w:szCs w:val="20"/>
                <w:color w:val="auto"/>
              </w:rPr>
            </w:pPr>
            <w:r>
              <w:rPr>
                <w:rFonts w:ascii="Arial" w:cs="Arial" w:eastAsia="Arial" w:hAnsi="Arial"/>
                <w:sz w:val="10"/>
                <w:szCs w:val="10"/>
                <w:color w:val="auto"/>
              </w:rPr>
              <w:t>1,384.930</w:t>
            </w:r>
          </w:p>
        </w:tc>
        <w:tc>
          <w:tcPr>
            <w:tcW w:w="90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10"/>
                <w:szCs w:val="10"/>
                <w:color w:val="auto"/>
              </w:rPr>
              <w:t>16.3%</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9"/>
                <w:szCs w:val="9"/>
                <w:color w:val="auto"/>
              </w:rPr>
              <w:t xml:space="preserve">Liability accounts </w:t>
            </w:r>
            <w:r>
              <w:rPr>
                <w:rFonts w:ascii="Arial" w:cs="Arial" w:eastAsia="Arial" w:hAnsi="Arial"/>
                <w:sz w:val="14"/>
                <w:szCs w:val="14"/>
                <w:color w:val="auto"/>
                <w:vertAlign w:val="superscript"/>
              </w:rPr>
              <w:t>(2)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226.496</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178.224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185.751</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4.2%</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-18.0%</w:t>
            </w:r>
          </w:p>
        </w:tc>
        <w:tc>
          <w:tcPr>
            <w:tcW w:w="720" w:type="dxa"/>
            <w:vAlign w:val="bottom"/>
          </w:tcPr>
          <w:p>
            <w:pPr>
              <w:jc w:val="center"/>
              <w:ind w:left="84"/>
              <w:spacing w:after="0" w:line="122" w:lineRule="exact"/>
              <w:rPr>
                <w:sz w:val="20"/>
                <w:szCs w:val="20"/>
                <w:color w:val="auto"/>
              </w:rPr>
            </w:pPr>
            <w:r>
              <w:rPr>
                <w:rFonts w:ascii="Arial" w:cs="Arial" w:eastAsia="Arial" w:hAnsi="Arial"/>
                <w:sz w:val="11"/>
                <w:szCs w:val="11"/>
                <w:color w:val="auto"/>
              </w:rPr>
              <w:t>916.363</w:t>
            </w:r>
          </w:p>
        </w:tc>
        <w:tc>
          <w:tcPr>
            <w:tcW w:w="1060" w:type="dxa"/>
            <w:vAlign w:val="bottom"/>
            <w:tcBorders>
              <w:right w:val="single" w:sz="8" w:color="auto"/>
            </w:tcBorders>
          </w:tcPr>
          <w:p>
            <w:pPr>
              <w:jc w:val="center"/>
              <w:ind w:left="84"/>
              <w:spacing w:after="0" w:line="122" w:lineRule="exact"/>
              <w:rPr>
                <w:sz w:val="20"/>
                <w:szCs w:val="20"/>
                <w:color w:val="auto"/>
              </w:rPr>
            </w:pPr>
            <w:r>
              <w:rPr>
                <w:rFonts w:ascii="Arial" w:cs="Arial" w:eastAsia="Arial" w:hAnsi="Arial"/>
                <w:sz w:val="11"/>
                <w:szCs w:val="11"/>
                <w:color w:val="auto"/>
              </w:rPr>
              <w:t>723.965</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-21.0%</w:t>
            </w:r>
          </w:p>
        </w:tc>
      </w:tr>
      <w:tr>
        <w:trPr>
          <w:trHeight w:val="127"/>
        </w:trPr>
        <w:tc>
          <w:tcPr>
            <w:tcW w:w="4060" w:type="dxa"/>
            <w:vAlign w:val="bottom"/>
            <w:tcBorders>
              <w:left w:val="single" w:sz="8" w:color="auto"/>
              <w:right w:val="single" w:sz="8" w:color="auto"/>
            </w:tcBorders>
          </w:tcPr>
          <w:p>
            <w:pPr>
              <w:ind w:left="40"/>
              <w:spacing w:after="0" w:line="127" w:lineRule="exact"/>
              <w:rPr>
                <w:sz w:val="20"/>
                <w:szCs w:val="20"/>
                <w:color w:val="auto"/>
              </w:rPr>
            </w:pPr>
            <w:r>
              <w:rPr>
                <w:rFonts w:ascii="Arial" w:cs="Arial" w:eastAsia="Arial" w:hAnsi="Arial"/>
                <w:sz w:val="9"/>
                <w:szCs w:val="9"/>
                <w:color w:val="auto"/>
              </w:rPr>
              <w:t xml:space="preserve">Loan Disbursement </w:t>
            </w:r>
            <w:r>
              <w:rPr>
                <w:rFonts w:ascii="Arial" w:cs="Arial" w:eastAsia="Arial" w:hAnsi="Arial"/>
                <w:sz w:val="14"/>
                <w:szCs w:val="14"/>
                <w:color w:val="auto"/>
                <w:vertAlign w:val="superscript"/>
              </w:rPr>
              <w:t>(3)</w:t>
            </w:r>
          </w:p>
        </w:tc>
        <w:tc>
          <w:tcPr>
            <w:tcW w:w="900" w:type="dxa"/>
            <w:vAlign w:val="bottom"/>
          </w:tcPr>
          <w:p>
            <w:pPr>
              <w:jc w:val="center"/>
              <w:spacing w:after="0"/>
              <w:rPr>
                <w:sz w:val="20"/>
                <w:szCs w:val="20"/>
                <w:color w:val="auto"/>
              </w:rPr>
            </w:pPr>
            <w:r>
              <w:rPr>
                <w:rFonts w:ascii="Arial" w:cs="Arial" w:eastAsia="Arial" w:hAnsi="Arial"/>
                <w:sz w:val="11"/>
                <w:szCs w:val="11"/>
                <w:color w:val="auto"/>
              </w:rPr>
              <w:t>97.336</w:t>
            </w:r>
          </w:p>
        </w:tc>
        <w:tc>
          <w:tcPr>
            <w:tcW w:w="900" w:type="dxa"/>
            <w:vAlign w:val="bottom"/>
          </w:tcPr>
          <w:p>
            <w:pPr>
              <w:jc w:val="center"/>
              <w:spacing w:after="0"/>
              <w:rPr>
                <w:sz w:val="20"/>
                <w:szCs w:val="20"/>
                <w:color w:val="auto"/>
              </w:rPr>
            </w:pPr>
            <w:r>
              <w:rPr>
                <w:rFonts w:ascii="Arial" w:cs="Arial" w:eastAsia="Arial" w:hAnsi="Arial"/>
                <w:sz w:val="11"/>
                <w:szCs w:val="11"/>
                <w:color w:val="auto"/>
              </w:rPr>
              <w:t>89.916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96.564</w:t>
            </w:r>
          </w:p>
        </w:tc>
        <w:tc>
          <w:tcPr>
            <w:tcW w:w="880" w:type="dxa"/>
            <w:vAlign w:val="bottom"/>
          </w:tcPr>
          <w:p>
            <w:pPr>
              <w:jc w:val="center"/>
              <w:spacing w:after="0"/>
              <w:rPr>
                <w:sz w:val="20"/>
                <w:szCs w:val="20"/>
                <w:color w:val="auto"/>
              </w:rPr>
            </w:pPr>
            <w:r>
              <w:rPr>
                <w:rFonts w:ascii="Arial" w:cs="Arial" w:eastAsia="Arial" w:hAnsi="Arial"/>
                <w:sz w:val="11"/>
                <w:szCs w:val="11"/>
                <w:color w:val="auto"/>
              </w:rPr>
              <w:t>7.4%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-0.8%</w:t>
            </w:r>
          </w:p>
        </w:tc>
        <w:tc>
          <w:tcPr>
            <w:tcW w:w="720" w:type="dxa"/>
            <w:vAlign w:val="bottom"/>
          </w:tcPr>
          <w:p>
            <w:pPr>
              <w:jc w:val="center"/>
              <w:ind w:left="84"/>
              <w:spacing w:after="0"/>
              <w:rPr>
                <w:sz w:val="20"/>
                <w:szCs w:val="20"/>
                <w:color w:val="auto"/>
              </w:rPr>
            </w:pPr>
            <w:r>
              <w:rPr>
                <w:rFonts w:ascii="Arial" w:cs="Arial" w:eastAsia="Arial" w:hAnsi="Arial"/>
                <w:sz w:val="11"/>
                <w:szCs w:val="11"/>
                <w:color w:val="auto"/>
              </w:rPr>
              <w:t>380.579</w:t>
            </w:r>
          </w:p>
        </w:tc>
        <w:tc>
          <w:tcPr>
            <w:tcW w:w="1060" w:type="dxa"/>
            <w:vAlign w:val="bottom"/>
            <w:tcBorders>
              <w:right w:val="single" w:sz="8" w:color="auto"/>
            </w:tcBorders>
          </w:tcPr>
          <w:p>
            <w:pPr>
              <w:jc w:val="center"/>
              <w:ind w:left="84"/>
              <w:spacing w:after="0"/>
              <w:rPr>
                <w:sz w:val="20"/>
                <w:szCs w:val="20"/>
                <w:color w:val="auto"/>
              </w:rPr>
            </w:pPr>
            <w:r>
              <w:rPr>
                <w:rFonts w:ascii="Arial" w:cs="Arial" w:eastAsia="Arial" w:hAnsi="Arial"/>
                <w:sz w:val="11"/>
                <w:szCs w:val="11"/>
                <w:color w:val="auto"/>
              </w:rPr>
              <w:t>373.280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-1.9%</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Off-balance sheet</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63.247</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55.659</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56.510</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1.5%</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-10.7%</w:t>
            </w:r>
          </w:p>
        </w:tc>
        <w:tc>
          <w:tcPr>
            <w:tcW w:w="720" w:type="dxa"/>
            <w:vAlign w:val="bottom"/>
          </w:tcPr>
          <w:p>
            <w:pPr>
              <w:jc w:val="center"/>
              <w:ind w:left="84"/>
              <w:spacing w:after="0" w:line="122" w:lineRule="exact"/>
              <w:rPr>
                <w:sz w:val="20"/>
                <w:szCs w:val="20"/>
                <w:color w:val="auto"/>
              </w:rPr>
            </w:pPr>
            <w:r>
              <w:rPr>
                <w:rFonts w:ascii="Arial" w:cs="Arial" w:eastAsia="Arial" w:hAnsi="Arial"/>
                <w:sz w:val="11"/>
                <w:szCs w:val="11"/>
                <w:color w:val="auto"/>
              </w:rPr>
              <w:t>243.203</w:t>
            </w:r>
          </w:p>
        </w:tc>
        <w:tc>
          <w:tcPr>
            <w:tcW w:w="1060" w:type="dxa"/>
            <w:vAlign w:val="bottom"/>
            <w:tcBorders>
              <w:right w:val="single" w:sz="8" w:color="auto"/>
            </w:tcBorders>
          </w:tcPr>
          <w:p>
            <w:pPr>
              <w:jc w:val="center"/>
              <w:ind w:left="84"/>
              <w:spacing w:after="0" w:line="122" w:lineRule="exact"/>
              <w:rPr>
                <w:sz w:val="20"/>
                <w:szCs w:val="20"/>
                <w:color w:val="auto"/>
              </w:rPr>
            </w:pPr>
            <w:r>
              <w:rPr>
                <w:rFonts w:ascii="Arial" w:cs="Arial" w:eastAsia="Arial" w:hAnsi="Arial"/>
                <w:sz w:val="11"/>
                <w:szCs w:val="11"/>
                <w:color w:val="auto"/>
              </w:rPr>
              <w:t>230.978</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-5.0%</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Mibanco (Peru and Colombia)</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34.165</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39.220</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34.484</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-12.1%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0.9%</w:t>
            </w:r>
          </w:p>
        </w:tc>
        <w:tc>
          <w:tcPr>
            <w:tcW w:w="720" w:type="dxa"/>
            <w:vAlign w:val="bottom"/>
          </w:tcPr>
          <w:p>
            <w:pPr>
              <w:jc w:val="center"/>
              <w:ind w:left="84"/>
              <w:spacing w:after="0" w:line="122" w:lineRule="exact"/>
              <w:rPr>
                <w:sz w:val="20"/>
                <w:szCs w:val="20"/>
                <w:color w:val="auto"/>
              </w:rPr>
            </w:pPr>
            <w:r>
              <w:rPr>
                <w:rFonts w:ascii="Arial" w:cs="Arial" w:eastAsia="Arial" w:hAnsi="Arial"/>
                <w:sz w:val="11"/>
                <w:szCs w:val="11"/>
                <w:color w:val="auto"/>
              </w:rPr>
              <w:t>134.888</w:t>
            </w:r>
          </w:p>
        </w:tc>
        <w:tc>
          <w:tcPr>
            <w:tcW w:w="1060" w:type="dxa"/>
            <w:vAlign w:val="bottom"/>
            <w:tcBorders>
              <w:right w:val="single" w:sz="8" w:color="auto"/>
            </w:tcBorders>
          </w:tcPr>
          <w:p>
            <w:pPr>
              <w:jc w:val="center"/>
              <w:ind w:left="84"/>
              <w:spacing w:after="0" w:line="122" w:lineRule="exact"/>
              <w:rPr>
                <w:sz w:val="20"/>
                <w:szCs w:val="20"/>
                <w:color w:val="auto"/>
              </w:rPr>
            </w:pPr>
            <w:r>
              <w:rPr>
                <w:rFonts w:ascii="Arial" w:cs="Arial" w:eastAsia="Arial" w:hAnsi="Arial"/>
                <w:sz w:val="11"/>
                <w:szCs w:val="11"/>
                <w:color w:val="auto"/>
              </w:rPr>
              <w:t>153.177</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13.6%</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Insurances</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28.617</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32.960</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31.693</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-3.8%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10.7%</w:t>
            </w:r>
          </w:p>
        </w:tc>
        <w:tc>
          <w:tcPr>
            <w:tcW w:w="720" w:type="dxa"/>
            <w:vAlign w:val="bottom"/>
          </w:tcPr>
          <w:p>
            <w:pPr>
              <w:jc w:val="center"/>
              <w:ind w:left="104"/>
              <w:spacing w:after="0" w:line="122" w:lineRule="exact"/>
              <w:rPr>
                <w:sz w:val="20"/>
                <w:szCs w:val="20"/>
                <w:color w:val="auto"/>
              </w:rPr>
            </w:pPr>
            <w:r>
              <w:rPr>
                <w:rFonts w:ascii="Arial" w:cs="Arial" w:eastAsia="Arial" w:hAnsi="Arial"/>
                <w:sz w:val="11"/>
                <w:szCs w:val="11"/>
                <w:color w:val="auto"/>
              </w:rPr>
              <w:t>119.125</w:t>
            </w:r>
          </w:p>
        </w:tc>
        <w:tc>
          <w:tcPr>
            <w:tcW w:w="1060" w:type="dxa"/>
            <w:vAlign w:val="bottom"/>
            <w:tcBorders>
              <w:right w:val="single" w:sz="8" w:color="auto"/>
            </w:tcBorders>
          </w:tcPr>
          <w:p>
            <w:pPr>
              <w:jc w:val="center"/>
              <w:ind w:left="84"/>
              <w:spacing w:after="0" w:line="122" w:lineRule="exact"/>
              <w:rPr>
                <w:sz w:val="20"/>
                <w:szCs w:val="20"/>
                <w:color w:val="auto"/>
              </w:rPr>
            </w:pPr>
            <w:r>
              <w:rPr>
                <w:rFonts w:ascii="Arial" w:cs="Arial" w:eastAsia="Arial" w:hAnsi="Arial"/>
                <w:sz w:val="11"/>
                <w:szCs w:val="11"/>
                <w:color w:val="auto"/>
              </w:rPr>
              <w:t>126.295</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6.0%</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BCP Bolivia</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24.479</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84.941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104.959</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23.6%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328.8%</w:t>
            </w:r>
          </w:p>
        </w:tc>
        <w:tc>
          <w:tcPr>
            <w:tcW w:w="720" w:type="dxa"/>
            <w:vAlign w:val="bottom"/>
          </w:tcPr>
          <w:p>
            <w:pPr>
              <w:jc w:val="center"/>
              <w:ind w:left="84"/>
              <w:spacing w:after="0" w:line="122" w:lineRule="exact"/>
              <w:rPr>
                <w:sz w:val="20"/>
                <w:szCs w:val="20"/>
                <w:color w:val="auto"/>
              </w:rPr>
            </w:pPr>
            <w:r>
              <w:rPr>
                <w:rFonts w:ascii="Arial" w:cs="Arial" w:eastAsia="Arial" w:hAnsi="Arial"/>
                <w:sz w:val="11"/>
                <w:szCs w:val="11"/>
                <w:color w:val="auto"/>
              </w:rPr>
              <w:t>102.488</w:t>
            </w:r>
          </w:p>
        </w:tc>
        <w:tc>
          <w:tcPr>
            <w:tcW w:w="1060" w:type="dxa"/>
            <w:vAlign w:val="bottom"/>
            <w:tcBorders>
              <w:right w:val="single" w:sz="8" w:color="auto"/>
            </w:tcBorders>
          </w:tcPr>
          <w:p>
            <w:pPr>
              <w:jc w:val="center"/>
              <w:ind w:left="84"/>
              <w:spacing w:after="0" w:line="122" w:lineRule="exact"/>
              <w:rPr>
                <w:sz w:val="20"/>
                <w:szCs w:val="20"/>
                <w:color w:val="auto"/>
              </w:rPr>
            </w:pPr>
            <w:r>
              <w:rPr>
                <w:rFonts w:ascii="Arial" w:cs="Arial" w:eastAsia="Arial" w:hAnsi="Arial"/>
                <w:sz w:val="11"/>
                <w:szCs w:val="11"/>
                <w:color w:val="auto"/>
              </w:rPr>
              <w:t>335.061</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226.9%</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Wealth Management and Corporate Finance</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12.880</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16.428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10.704</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-34.8%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-16.9%</w:t>
            </w:r>
          </w:p>
        </w:tc>
        <w:tc>
          <w:tcPr>
            <w:tcW w:w="720" w:type="dxa"/>
            <w:vAlign w:val="bottom"/>
          </w:tcPr>
          <w:p>
            <w:pPr>
              <w:jc w:val="center"/>
              <w:ind w:left="84"/>
              <w:spacing w:after="0" w:line="122" w:lineRule="exact"/>
              <w:rPr>
                <w:sz w:val="20"/>
                <w:szCs w:val="20"/>
                <w:color w:val="auto"/>
              </w:rPr>
            </w:pPr>
            <w:r>
              <w:rPr>
                <w:rFonts w:ascii="Arial" w:cs="Arial" w:eastAsia="Arial" w:hAnsi="Arial"/>
                <w:sz w:val="11"/>
                <w:szCs w:val="11"/>
                <w:color w:val="auto"/>
              </w:rPr>
              <w:t>65.384</w:t>
            </w:r>
          </w:p>
        </w:tc>
        <w:tc>
          <w:tcPr>
            <w:tcW w:w="1060" w:type="dxa"/>
            <w:vAlign w:val="bottom"/>
            <w:tcBorders>
              <w:right w:val="single" w:sz="8" w:color="auto"/>
            </w:tcBorders>
          </w:tcPr>
          <w:p>
            <w:pPr>
              <w:jc w:val="center"/>
              <w:ind w:left="84"/>
              <w:spacing w:after="0" w:line="122" w:lineRule="exact"/>
              <w:rPr>
                <w:sz w:val="20"/>
                <w:szCs w:val="20"/>
                <w:color w:val="auto"/>
              </w:rPr>
            </w:pPr>
            <w:r>
              <w:rPr>
                <w:rFonts w:ascii="Arial" w:cs="Arial" w:eastAsia="Arial" w:hAnsi="Arial"/>
                <w:sz w:val="11"/>
                <w:szCs w:val="11"/>
                <w:color w:val="auto"/>
              </w:rPr>
              <w:t>59.264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-9.4%</w:t>
            </w:r>
          </w:p>
        </w:tc>
      </w:tr>
      <w:tr>
        <w:trPr>
          <w:trHeight w:val="117"/>
        </w:trPr>
        <w:tc>
          <w:tcPr>
            <w:tcW w:w="4060" w:type="dxa"/>
            <w:vAlign w:val="bottom"/>
            <w:tcBorders>
              <w:left w:val="single" w:sz="8" w:color="auto"/>
              <w:right w:val="single" w:sz="8" w:color="auto"/>
            </w:tcBorders>
          </w:tcPr>
          <w:p>
            <w:pPr>
              <w:ind w:left="40"/>
              <w:spacing w:after="0" w:line="117" w:lineRule="exact"/>
              <w:rPr>
                <w:sz w:val="20"/>
                <w:szCs w:val="20"/>
                <w:color w:val="auto"/>
              </w:rPr>
            </w:pPr>
            <w:r>
              <w:rPr>
                <w:rFonts w:ascii="Arial" w:cs="Arial" w:eastAsia="Arial" w:hAnsi="Arial"/>
                <w:sz w:val="11"/>
                <w:szCs w:val="11"/>
                <w:color w:val="auto"/>
              </w:rPr>
              <w:t>ASB</w:t>
            </w:r>
          </w:p>
        </w:tc>
        <w:tc>
          <w:tcPr>
            <w:tcW w:w="900" w:type="dxa"/>
            <w:vAlign w:val="bottom"/>
          </w:tcPr>
          <w:p>
            <w:pPr>
              <w:jc w:val="center"/>
              <w:spacing w:after="0" w:line="117" w:lineRule="exact"/>
              <w:rPr>
                <w:sz w:val="20"/>
                <w:szCs w:val="20"/>
                <w:color w:val="auto"/>
              </w:rPr>
            </w:pPr>
            <w:r>
              <w:rPr>
                <w:rFonts w:ascii="Arial" w:cs="Arial" w:eastAsia="Arial" w:hAnsi="Arial"/>
                <w:sz w:val="11"/>
                <w:szCs w:val="11"/>
                <w:color w:val="auto"/>
              </w:rPr>
              <w:t>8.936</w:t>
            </w:r>
          </w:p>
        </w:tc>
        <w:tc>
          <w:tcPr>
            <w:tcW w:w="900" w:type="dxa"/>
            <w:vAlign w:val="bottom"/>
          </w:tcPr>
          <w:p>
            <w:pPr>
              <w:jc w:val="center"/>
              <w:spacing w:after="0" w:line="117" w:lineRule="exact"/>
              <w:rPr>
                <w:sz w:val="20"/>
                <w:szCs w:val="20"/>
                <w:color w:val="auto"/>
              </w:rPr>
            </w:pPr>
            <w:r>
              <w:rPr>
                <w:rFonts w:ascii="Arial" w:cs="Arial" w:eastAsia="Arial" w:hAnsi="Arial"/>
                <w:sz w:val="11"/>
                <w:szCs w:val="11"/>
                <w:color w:val="auto"/>
              </w:rPr>
              <w:t>10.153</w:t>
            </w:r>
          </w:p>
        </w:tc>
        <w:tc>
          <w:tcPr>
            <w:tcW w:w="9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color w:val="auto"/>
              </w:rPr>
              <w:t>4.946</w:t>
            </w:r>
          </w:p>
        </w:tc>
        <w:tc>
          <w:tcPr>
            <w:tcW w:w="880" w:type="dxa"/>
            <w:vAlign w:val="bottom"/>
          </w:tcPr>
          <w:p>
            <w:pPr>
              <w:jc w:val="center"/>
              <w:spacing w:after="0" w:line="117" w:lineRule="exact"/>
              <w:rPr>
                <w:sz w:val="20"/>
                <w:szCs w:val="20"/>
                <w:color w:val="auto"/>
              </w:rPr>
            </w:pPr>
            <w:r>
              <w:rPr>
                <w:rFonts w:ascii="Arial" w:cs="Arial" w:eastAsia="Arial" w:hAnsi="Arial"/>
                <w:sz w:val="11"/>
                <w:szCs w:val="11"/>
                <w:color w:val="auto"/>
              </w:rPr>
              <w:t>-51.3%</w:t>
            </w:r>
          </w:p>
        </w:tc>
        <w:tc>
          <w:tcPr>
            <w:tcW w:w="9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color w:val="auto"/>
              </w:rPr>
              <w:t>-44.7%</w:t>
            </w:r>
          </w:p>
        </w:tc>
        <w:tc>
          <w:tcPr>
            <w:tcW w:w="720" w:type="dxa"/>
            <w:vAlign w:val="bottom"/>
          </w:tcPr>
          <w:p>
            <w:pPr>
              <w:jc w:val="center"/>
              <w:ind w:left="84"/>
              <w:spacing w:after="0" w:line="117" w:lineRule="exact"/>
              <w:rPr>
                <w:sz w:val="20"/>
                <w:szCs w:val="20"/>
                <w:color w:val="auto"/>
              </w:rPr>
            </w:pPr>
            <w:r>
              <w:rPr>
                <w:rFonts w:ascii="Arial" w:cs="Arial" w:eastAsia="Arial" w:hAnsi="Arial"/>
                <w:sz w:val="11"/>
                <w:szCs w:val="11"/>
                <w:color w:val="auto"/>
              </w:rPr>
              <w:t>34.499</w:t>
            </w:r>
          </w:p>
        </w:tc>
        <w:tc>
          <w:tcPr>
            <w:tcW w:w="1060" w:type="dxa"/>
            <w:vAlign w:val="bottom"/>
            <w:tcBorders>
              <w:right w:val="single" w:sz="8" w:color="auto"/>
            </w:tcBorders>
          </w:tcPr>
          <w:p>
            <w:pPr>
              <w:jc w:val="center"/>
              <w:ind w:left="84"/>
              <w:spacing w:after="0" w:line="117" w:lineRule="exact"/>
              <w:rPr>
                <w:sz w:val="20"/>
                <w:szCs w:val="20"/>
                <w:color w:val="auto"/>
              </w:rPr>
            </w:pPr>
            <w:r>
              <w:rPr>
                <w:rFonts w:ascii="Arial" w:cs="Arial" w:eastAsia="Arial" w:hAnsi="Arial"/>
                <w:sz w:val="11"/>
                <w:szCs w:val="11"/>
                <w:color w:val="auto"/>
              </w:rPr>
              <w:t>33.417</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color w:val="auto"/>
                <w:w w:val="97"/>
              </w:rPr>
              <w:t>-3.1%</w:t>
            </w:r>
          </w:p>
        </w:tc>
      </w:tr>
      <w:tr>
        <w:trPr>
          <w:trHeight w:val="142"/>
        </w:trPr>
        <w:tc>
          <w:tcPr>
            <w:tcW w:w="4060" w:type="dxa"/>
            <w:vAlign w:val="bottom"/>
            <w:tcBorders>
              <w:left w:val="single" w:sz="8" w:color="auto"/>
              <w:bottom w:val="single" w:sz="8" w:color="auto"/>
              <w:right w:val="single" w:sz="8" w:color="auto"/>
            </w:tcBorders>
          </w:tcPr>
          <w:p>
            <w:pPr>
              <w:ind w:left="40"/>
              <w:spacing w:after="0" w:line="142" w:lineRule="exact"/>
              <w:rPr>
                <w:sz w:val="20"/>
                <w:szCs w:val="20"/>
                <w:color w:val="auto"/>
              </w:rPr>
            </w:pPr>
            <w:r>
              <w:rPr>
                <w:rFonts w:ascii="Arial" w:cs="Arial" w:eastAsia="Arial" w:hAnsi="Arial"/>
                <w:sz w:val="10"/>
                <w:szCs w:val="10"/>
                <w:color w:val="auto"/>
              </w:rPr>
              <w:t xml:space="preserve">Others </w:t>
            </w:r>
            <w:r>
              <w:rPr>
                <w:rFonts w:ascii="Arial" w:cs="Arial" w:eastAsia="Arial" w:hAnsi="Arial"/>
                <w:sz w:val="16"/>
                <w:szCs w:val="16"/>
                <w:color w:val="auto"/>
                <w:vertAlign w:val="superscript"/>
              </w:rPr>
              <w:t>(4)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14.882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16.803</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9.168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-45.4%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-38.4%</w:t>
            </w:r>
          </w:p>
        </w:tc>
        <w:tc>
          <w:tcPr>
            <w:tcW w:w="720" w:type="dxa"/>
            <w:vAlign w:val="bottom"/>
            <w:tcBorders>
              <w:bottom w:val="single" w:sz="8" w:color="auto"/>
            </w:tcBorders>
          </w:tcPr>
          <w:p>
            <w:pPr>
              <w:jc w:val="center"/>
              <w:ind w:left="84"/>
              <w:spacing w:after="0"/>
              <w:rPr>
                <w:sz w:val="20"/>
                <w:szCs w:val="20"/>
                <w:color w:val="auto"/>
              </w:rPr>
            </w:pPr>
            <w:r>
              <w:rPr>
                <w:rFonts w:ascii="Arial" w:cs="Arial" w:eastAsia="Arial" w:hAnsi="Arial"/>
                <w:sz w:val="11"/>
                <w:szCs w:val="11"/>
                <w:color w:val="auto"/>
              </w:rPr>
              <w:t>53.683</w:t>
            </w:r>
          </w:p>
        </w:tc>
        <w:tc>
          <w:tcPr>
            <w:tcW w:w="106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1"/>
                <w:szCs w:val="11"/>
                <w:color w:val="auto"/>
              </w:rPr>
              <w:t>54.182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0.9%</w:t>
            </w:r>
          </w:p>
        </w:tc>
      </w:tr>
      <w:tr>
        <w:trPr>
          <w:trHeight w:val="114"/>
        </w:trPr>
        <w:tc>
          <w:tcPr>
            <w:tcW w:w="406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b w:val="1"/>
                <w:bCs w:val="1"/>
                <w:color w:val="auto"/>
              </w:rPr>
              <w:t>Total</w:t>
            </w:r>
          </w:p>
        </w:tc>
        <w:tc>
          <w:tcPr>
            <w:tcW w:w="9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813.508</w:t>
            </w:r>
          </w:p>
        </w:tc>
        <w:tc>
          <w:tcPr>
            <w:tcW w:w="9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898.278</w:t>
            </w:r>
          </w:p>
        </w:tc>
        <w:tc>
          <w:tcPr>
            <w:tcW w:w="9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898.375</w:t>
            </w:r>
          </w:p>
        </w:tc>
        <w:tc>
          <w:tcPr>
            <w:tcW w:w="8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0.0%</w:t>
            </w:r>
          </w:p>
        </w:tc>
        <w:tc>
          <w:tcPr>
            <w:tcW w:w="9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10.4%</w:t>
            </w:r>
          </w:p>
        </w:tc>
        <w:tc>
          <w:tcPr>
            <w:tcW w:w="720" w:type="dxa"/>
            <w:vAlign w:val="bottom"/>
            <w:tcBorders>
              <w:bottom w:val="single" w:sz="8" w:color="auto"/>
            </w:tcBorders>
          </w:tcPr>
          <w:p>
            <w:pPr>
              <w:jc w:val="center"/>
              <w:ind w:left="84"/>
              <w:spacing w:after="0" w:line="114" w:lineRule="exact"/>
              <w:rPr>
                <w:sz w:val="20"/>
                <w:szCs w:val="20"/>
                <w:color w:val="auto"/>
              </w:rPr>
            </w:pPr>
            <w:r>
              <w:rPr>
                <w:rFonts w:ascii="Arial" w:cs="Arial" w:eastAsia="Arial" w:hAnsi="Arial"/>
                <w:sz w:val="11"/>
                <w:szCs w:val="11"/>
                <w:b w:val="1"/>
                <w:bCs w:val="1"/>
                <w:color w:val="auto"/>
              </w:rPr>
              <w:t>3,241.217</w:t>
            </w:r>
          </w:p>
        </w:tc>
        <w:tc>
          <w:tcPr>
            <w:tcW w:w="1060" w:type="dxa"/>
            <w:vAlign w:val="bottom"/>
            <w:tcBorders>
              <w:bottom w:val="single" w:sz="8" w:color="auto"/>
              <w:right w:val="single" w:sz="8" w:color="auto"/>
            </w:tcBorders>
          </w:tcPr>
          <w:p>
            <w:pPr>
              <w:jc w:val="center"/>
              <w:ind w:left="104"/>
              <w:spacing w:after="0" w:line="114" w:lineRule="exact"/>
              <w:rPr>
                <w:sz w:val="20"/>
                <w:szCs w:val="20"/>
                <w:color w:val="auto"/>
              </w:rPr>
            </w:pPr>
            <w:r>
              <w:rPr>
                <w:rFonts w:ascii="Arial" w:cs="Arial" w:eastAsia="Arial" w:hAnsi="Arial"/>
                <w:sz w:val="11"/>
                <w:szCs w:val="11"/>
                <w:b w:val="1"/>
                <w:bCs w:val="1"/>
                <w:color w:val="auto"/>
              </w:rPr>
              <w:t>3,474.550</w:t>
            </w:r>
          </w:p>
        </w:tc>
        <w:tc>
          <w:tcPr>
            <w:tcW w:w="9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7.2%</w:t>
            </w:r>
          </w:p>
        </w:tc>
      </w:tr>
    </w:tbl>
    <w:p>
      <w:pPr>
        <w:spacing w:after="0" w:line="70" w:lineRule="exact"/>
        <w:rPr>
          <w:sz w:val="20"/>
          <w:szCs w:val="20"/>
          <w:color w:val="auto"/>
        </w:rPr>
      </w:pPr>
    </w:p>
    <w:p>
      <w:pPr>
        <w:ind w:left="2"/>
        <w:spacing w:after="0"/>
        <w:rPr>
          <w:sz w:val="20"/>
          <w:szCs w:val="20"/>
          <w:color w:val="auto"/>
        </w:rPr>
      </w:pPr>
      <w:r>
        <w:rPr>
          <w:rFonts w:ascii="Arial" w:cs="Arial" w:eastAsia="Arial" w:hAnsi="Arial"/>
          <w:sz w:val="11"/>
          <w:szCs w:val="11"/>
          <w:color w:val="auto"/>
        </w:rPr>
        <w:t>(*) This table corresponds to management numbers.</w:t>
      </w:r>
    </w:p>
    <w:p>
      <w:pPr>
        <w:spacing w:after="0" w:line="1" w:lineRule="exact"/>
        <w:rPr>
          <w:sz w:val="20"/>
          <w:szCs w:val="20"/>
          <w:color w:val="auto"/>
        </w:rPr>
      </w:pPr>
    </w:p>
    <w:p>
      <w:pPr>
        <w:ind w:left="162" w:hanging="162"/>
        <w:spacing w:after="0"/>
        <w:tabs>
          <w:tab w:leader="none" w:pos="162" w:val="left"/>
        </w:tabs>
        <w:numPr>
          <w:ilvl w:val="0"/>
          <w:numId w:val="33"/>
        </w:numPr>
        <w:rPr>
          <w:rFonts w:ascii="Arial" w:cs="Arial" w:eastAsia="Arial" w:hAnsi="Arial"/>
          <w:sz w:val="11"/>
          <w:szCs w:val="11"/>
          <w:color w:val="auto"/>
        </w:rPr>
      </w:pPr>
      <w:r>
        <w:rPr>
          <w:rFonts w:ascii="Arial" w:cs="Arial" w:eastAsia="Arial" w:hAnsi="Arial"/>
          <w:sz w:val="11"/>
          <w:szCs w:val="11"/>
          <w:color w:val="auto"/>
        </w:rPr>
        <w:t>Corresponds to fees from: credit and debit cards; payments and collections.</w:t>
      </w:r>
    </w:p>
    <w:p>
      <w:pPr>
        <w:ind w:left="162" w:hanging="162"/>
        <w:spacing w:after="0" w:line="231" w:lineRule="auto"/>
        <w:tabs>
          <w:tab w:leader="none" w:pos="162" w:val="left"/>
        </w:tabs>
        <w:numPr>
          <w:ilvl w:val="0"/>
          <w:numId w:val="33"/>
        </w:numPr>
        <w:rPr>
          <w:rFonts w:ascii="Arial" w:cs="Arial" w:eastAsia="Arial" w:hAnsi="Arial"/>
          <w:sz w:val="11"/>
          <w:szCs w:val="11"/>
          <w:color w:val="auto"/>
        </w:rPr>
      </w:pPr>
      <w:r>
        <w:rPr>
          <w:rFonts w:ascii="Arial" w:cs="Arial" w:eastAsia="Arial" w:hAnsi="Arial"/>
          <w:sz w:val="11"/>
          <w:szCs w:val="11"/>
          <w:color w:val="auto"/>
        </w:rPr>
        <w:t>Corresponds to fees from: Account maintenance, interbank transfers, national money orders y international transfers.</w:t>
      </w:r>
    </w:p>
    <w:p>
      <w:pPr>
        <w:ind w:left="162" w:hanging="162"/>
        <w:spacing w:after="0" w:line="231" w:lineRule="auto"/>
        <w:tabs>
          <w:tab w:leader="none" w:pos="162" w:val="left"/>
        </w:tabs>
        <w:numPr>
          <w:ilvl w:val="0"/>
          <w:numId w:val="33"/>
        </w:numPr>
        <w:rPr>
          <w:rFonts w:ascii="Arial" w:cs="Arial" w:eastAsia="Arial" w:hAnsi="Arial"/>
          <w:sz w:val="11"/>
          <w:szCs w:val="11"/>
          <w:color w:val="auto"/>
        </w:rPr>
      </w:pPr>
      <w:r>
        <w:rPr>
          <w:rFonts w:ascii="Arial" w:cs="Arial" w:eastAsia="Arial" w:hAnsi="Arial"/>
          <w:sz w:val="11"/>
          <w:szCs w:val="11"/>
          <w:color w:val="auto"/>
        </w:rPr>
        <w:t>Corresponds to fees from retail and wholesale loan disbursements.</w:t>
      </w:r>
    </w:p>
    <w:p>
      <w:pPr>
        <w:ind w:left="162" w:hanging="162"/>
        <w:spacing w:after="0"/>
        <w:tabs>
          <w:tab w:leader="none" w:pos="162" w:val="left"/>
        </w:tabs>
        <w:numPr>
          <w:ilvl w:val="0"/>
          <w:numId w:val="33"/>
        </w:numPr>
        <w:rPr>
          <w:rFonts w:ascii="Arial" w:cs="Arial" w:eastAsia="Arial" w:hAnsi="Arial"/>
          <w:sz w:val="11"/>
          <w:szCs w:val="11"/>
          <w:color w:val="auto"/>
        </w:rPr>
      </w:pPr>
      <w:r>
        <w:rPr>
          <w:rFonts w:ascii="Arial" w:cs="Arial" w:eastAsia="Arial" w:hAnsi="Arial"/>
          <w:sz w:val="11"/>
          <w:szCs w:val="11"/>
          <w:color w:val="auto"/>
        </w:rPr>
        <w:t>Use of third-party network, other services to third parties and Commissions in foreign branches.</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606" w:right="319" w:bottom="1440" w:gutter="0" w:footer="0" w:header="0"/>
        </w:sectPr>
      </w:pPr>
    </w:p>
    <w:bookmarkStart w:id="37" w:name="page38"/>
    <w:bookmarkEnd w:id="37"/>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06. Other Income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If we exclude fee income from BCP Bolivia, the results for Fee income from banking services presented the following dynamics: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the result dropped 3.0%, driven primarily by the regularization of fee payments that</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makes to</w:t>
      </w:r>
      <w:r>
        <w:rPr>
          <w:rFonts w:ascii="Arial" w:cs="Arial" w:eastAsia="Arial" w:hAnsi="Arial"/>
          <w:sz w:val="16"/>
          <w:szCs w:val="16"/>
          <w:b w:val="1"/>
          <w:bCs w:val="1"/>
          <w:color w:val="auto"/>
        </w:rPr>
        <w:t xml:space="preserve"> Pacifico </w:t>
      </w:r>
      <w:r>
        <w:rPr>
          <w:rFonts w:ascii="Arial" w:cs="Arial" w:eastAsia="Arial" w:hAnsi="Arial"/>
          <w:sz w:val="16"/>
          <w:szCs w:val="16"/>
          <w:color w:val="auto"/>
        </w:rPr>
        <w:t>for Bancassurance.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However, the contraction was offset at the consolidated level by growth in the line for the underwriting insurance result.</w:t>
      </w:r>
    </w:p>
    <w:p>
      <w:pPr>
        <w:spacing w:after="0" w:line="16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Fee income from banking services rose 0.6%. This evolution primarily reflects an increase in total fees from the payment and services venue, which</w:t>
      </w:r>
      <w:r>
        <w:rPr>
          <w:rFonts w:ascii="Arial" w:cs="Arial" w:eastAsia="Arial" w:hAnsi="Arial"/>
          <w:sz w:val="16"/>
          <w:szCs w:val="16"/>
          <w:b w:val="1"/>
          <w:bCs w:val="1"/>
          <w:color w:val="auto"/>
        </w:rPr>
        <w:t xml:space="preserve"> </w:t>
      </w:r>
      <w:r>
        <w:rPr>
          <w:rFonts w:ascii="Arial" w:cs="Arial" w:eastAsia="Arial" w:hAnsi="Arial"/>
          <w:sz w:val="16"/>
          <w:szCs w:val="16"/>
          <w:color w:val="auto"/>
        </w:rPr>
        <w:t>rose due to growth in transactions via:</w:t>
      </w: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Debit card billing (+14.0%);</w:t>
      </w:r>
    </w:p>
    <w:p>
      <w:pPr>
        <w:ind w:left="580" w:hanging="290"/>
        <w:spacing w:after="0" w:line="238"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Credit card billing (+8.8%) y</w:t>
      </w: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More transactions through Yape (+133%).</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 xml:space="preserve">YTD, </w:t>
      </w:r>
      <w:r>
        <w:rPr>
          <w:rFonts w:ascii="Arial" w:cs="Arial" w:eastAsia="Arial" w:hAnsi="Arial"/>
          <w:sz w:val="16"/>
          <w:szCs w:val="16"/>
          <w:color w:val="auto"/>
        </w:rPr>
        <w:t>Fee income from banking services would have remained stable as growth in payments and services offset lower revenues due to the elimination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intercity transfer fees.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6.2 Other Non-Core Income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19"/>
        </w:trPr>
        <w:tc>
          <w:tcPr>
            <w:tcW w:w="4060" w:type="dxa"/>
            <w:vAlign w:val="bottom"/>
            <w:tcBorders>
              <w:top w:val="single" w:sz="8" w:color="auto"/>
              <w:left w:val="single" w:sz="8" w:color="auto"/>
              <w:right w:val="single" w:sz="8" w:color="auto"/>
            </w:tcBorders>
            <w:shd w:val="clear" w:color="auto" w:fill="2AD2C9"/>
          </w:tcPr>
          <w:p>
            <w:pPr>
              <w:ind w:left="40"/>
              <w:spacing w:after="0" w:line="119" w:lineRule="exact"/>
              <w:rPr>
                <w:sz w:val="20"/>
                <w:szCs w:val="20"/>
                <w:color w:val="auto"/>
              </w:rPr>
            </w:pPr>
            <w:r>
              <w:rPr>
                <w:rFonts w:ascii="Arial" w:cs="Arial" w:eastAsia="Arial" w:hAnsi="Arial"/>
                <w:sz w:val="11"/>
                <w:szCs w:val="11"/>
                <w:b w:val="1"/>
                <w:bCs w:val="1"/>
                <w:color w:val="FFFFFF"/>
              </w:rPr>
              <w:t>Other Non-Core Income</w:t>
            </w:r>
          </w:p>
        </w:tc>
        <w:tc>
          <w:tcPr>
            <w:tcW w:w="900" w:type="dxa"/>
            <w:vAlign w:val="bottom"/>
            <w:tcBorders>
              <w:top w:val="single" w:sz="8" w:color="auto"/>
            </w:tcBorders>
            <w:shd w:val="clear" w:color="auto" w:fill="2AD2C9"/>
          </w:tcPr>
          <w:p>
            <w:pPr>
              <w:spacing w:after="0"/>
              <w:rPr>
                <w:sz w:val="10"/>
                <w:szCs w:val="10"/>
                <w:color w:val="auto"/>
              </w:rPr>
            </w:pPr>
          </w:p>
        </w:tc>
        <w:tc>
          <w:tcPr>
            <w:tcW w:w="900" w:type="dxa"/>
            <w:vAlign w:val="bottom"/>
            <w:tcBorders>
              <w:top w:val="single" w:sz="8" w:color="auto"/>
            </w:tcBorders>
            <w:shd w:val="clear" w:color="auto" w:fill="2AD2C9"/>
          </w:tcPr>
          <w:p>
            <w:pPr>
              <w:ind w:left="240"/>
              <w:spacing w:after="0" w:line="119" w:lineRule="exact"/>
              <w:rPr>
                <w:sz w:val="20"/>
                <w:szCs w:val="20"/>
                <w:color w:val="auto"/>
              </w:rPr>
            </w:pPr>
            <w:r>
              <w:rPr>
                <w:rFonts w:ascii="Arial" w:cs="Arial" w:eastAsia="Arial" w:hAnsi="Arial"/>
                <w:sz w:val="11"/>
                <w:szCs w:val="11"/>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0"/>
                <w:szCs w:val="10"/>
                <w:color w:val="auto"/>
              </w:rPr>
            </w:pPr>
          </w:p>
        </w:tc>
        <w:tc>
          <w:tcPr>
            <w:tcW w:w="1800" w:type="dxa"/>
            <w:vAlign w:val="bottom"/>
            <w:tcBorders>
              <w:top w:val="single" w:sz="8" w:color="auto"/>
              <w:right w:val="single" w:sz="8" w:color="auto"/>
            </w:tcBorders>
            <w:gridSpan w:val="2"/>
            <w:shd w:val="clear" w:color="auto" w:fill="2AD2C9"/>
          </w:tcPr>
          <w:p>
            <w:pPr>
              <w:ind w:left="620"/>
              <w:spacing w:after="0" w:line="119" w:lineRule="exact"/>
              <w:rPr>
                <w:sz w:val="20"/>
                <w:szCs w:val="20"/>
                <w:color w:val="auto"/>
              </w:rPr>
            </w:pPr>
            <w:r>
              <w:rPr>
                <w:rFonts w:ascii="Arial" w:cs="Arial" w:eastAsia="Arial" w:hAnsi="Arial"/>
                <w:sz w:val="11"/>
                <w:szCs w:val="11"/>
                <w:b w:val="1"/>
                <w:bCs w:val="1"/>
                <w:color w:val="FFFFFF"/>
              </w:rPr>
              <w:t>% change</w:t>
            </w:r>
          </w:p>
        </w:tc>
        <w:tc>
          <w:tcPr>
            <w:tcW w:w="700" w:type="dxa"/>
            <w:vAlign w:val="bottom"/>
            <w:tcBorders>
              <w:top w:val="single" w:sz="8" w:color="auto"/>
            </w:tcBorders>
            <w:shd w:val="clear" w:color="auto" w:fill="2AD2C9"/>
          </w:tcPr>
          <w:p>
            <w:pPr>
              <w:spacing w:after="0"/>
              <w:rPr>
                <w:sz w:val="10"/>
                <w:szCs w:val="10"/>
                <w:color w:val="auto"/>
              </w:rPr>
            </w:pPr>
          </w:p>
        </w:tc>
        <w:tc>
          <w:tcPr>
            <w:tcW w:w="1080" w:type="dxa"/>
            <w:vAlign w:val="bottom"/>
            <w:tcBorders>
              <w:top w:val="single" w:sz="8" w:color="auto"/>
              <w:right w:val="single" w:sz="8" w:color="auto"/>
            </w:tcBorders>
            <w:shd w:val="clear" w:color="auto" w:fill="2AD2C9"/>
          </w:tcPr>
          <w:p>
            <w:pPr>
              <w:ind w:left="60"/>
              <w:spacing w:after="0" w:line="119" w:lineRule="exact"/>
              <w:rPr>
                <w:sz w:val="20"/>
                <w:szCs w:val="20"/>
                <w:color w:val="auto"/>
              </w:rPr>
            </w:pPr>
            <w:r>
              <w:rPr>
                <w:rFonts w:ascii="Arial" w:cs="Arial" w:eastAsia="Arial" w:hAnsi="Arial"/>
                <w:sz w:val="11"/>
                <w:szCs w:val="11"/>
                <w:b w:val="1"/>
                <w:bCs w:val="1"/>
                <w:color w:val="FFFFFF"/>
              </w:rPr>
              <w:t>Year</w:t>
            </w:r>
          </w:p>
        </w:tc>
        <w:tc>
          <w:tcPr>
            <w:tcW w:w="900" w:type="dxa"/>
            <w:vAlign w:val="bottom"/>
            <w:tcBorders>
              <w:top w:val="single" w:sz="8" w:color="auto"/>
              <w:right w:val="single" w:sz="8" w:color="auto"/>
            </w:tcBorders>
            <w:shd w:val="clear" w:color="auto" w:fill="2AD2C9"/>
          </w:tcPr>
          <w:p>
            <w:pPr>
              <w:jc w:val="center"/>
              <w:spacing w:after="0" w:line="119" w:lineRule="exact"/>
              <w:rPr>
                <w:sz w:val="20"/>
                <w:szCs w:val="20"/>
                <w:color w:val="auto"/>
              </w:rPr>
            </w:pPr>
            <w:r>
              <w:rPr>
                <w:rFonts w:ascii="Arial" w:cs="Arial" w:eastAsia="Arial" w:hAnsi="Arial"/>
                <w:sz w:val="11"/>
                <w:szCs w:val="11"/>
                <w:b w:val="1"/>
                <w:bCs w:val="1"/>
                <w:color w:val="FFFFFF"/>
              </w:rPr>
              <w:t>% change</w:t>
            </w:r>
          </w:p>
        </w:tc>
      </w:tr>
      <w:tr>
        <w:trPr>
          <w:trHeight w:val="137"/>
        </w:trPr>
        <w:tc>
          <w:tcPr>
            <w:tcW w:w="40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(S/ 000)</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4Q22</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3Q23</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86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QoQ</w:t>
            </w:r>
          </w:p>
        </w:tc>
        <w:tc>
          <w:tcPr>
            <w:tcW w:w="9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1"/>
                <w:szCs w:val="11"/>
                <w:b w:val="1"/>
                <w:bCs w:val="1"/>
                <w:color w:val="FFFFFF"/>
              </w:rPr>
              <w:t>YoY</w:t>
            </w:r>
          </w:p>
        </w:tc>
        <w:tc>
          <w:tcPr>
            <w:tcW w:w="700" w:type="dxa"/>
            <w:vAlign w:val="bottom"/>
            <w:tcBorders>
              <w:bottom w:val="single" w:sz="8" w:color="auto"/>
            </w:tcBorders>
            <w:shd w:val="clear" w:color="auto" w:fill="2AD2C9"/>
          </w:tcPr>
          <w:p>
            <w:pPr>
              <w:jc w:val="center"/>
              <w:ind w:left="104"/>
              <w:spacing w:after="0"/>
              <w:rPr>
                <w:sz w:val="20"/>
                <w:szCs w:val="20"/>
                <w:color w:val="auto"/>
              </w:rPr>
            </w:pPr>
            <w:r>
              <w:rPr>
                <w:rFonts w:ascii="Arial" w:cs="Arial" w:eastAsia="Arial" w:hAnsi="Arial"/>
                <w:sz w:val="11"/>
                <w:szCs w:val="11"/>
                <w:b w:val="1"/>
                <w:bCs w:val="1"/>
                <w:color w:val="FFFFFF"/>
              </w:rPr>
              <w:t>2022</w:t>
            </w:r>
          </w:p>
        </w:tc>
        <w:tc>
          <w:tcPr>
            <w:tcW w:w="1080" w:type="dxa"/>
            <w:vAlign w:val="bottom"/>
            <w:tcBorders>
              <w:bottom w:val="single" w:sz="8" w:color="auto"/>
              <w:right w:val="single" w:sz="8" w:color="auto"/>
            </w:tcBorders>
            <w:shd w:val="clear" w:color="auto" w:fill="2AD2C9"/>
          </w:tcPr>
          <w:p>
            <w:pPr>
              <w:jc w:val="center"/>
              <w:ind w:left="104"/>
              <w:spacing w:after="0"/>
              <w:rPr>
                <w:sz w:val="20"/>
                <w:szCs w:val="20"/>
                <w:color w:val="auto"/>
              </w:rPr>
            </w:pPr>
            <w:r>
              <w:rPr>
                <w:rFonts w:ascii="Arial" w:cs="Arial" w:eastAsia="Arial" w:hAnsi="Arial"/>
                <w:sz w:val="11"/>
                <w:szCs w:val="11"/>
                <w:b w:val="1"/>
                <w:bCs w:val="1"/>
                <w:color w:val="FFFFFF"/>
                <w:w w:val="97"/>
              </w:rPr>
              <w:t>2023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2023 / 2022</w:t>
            </w:r>
          </w:p>
        </w:tc>
      </w:tr>
      <w:tr>
        <w:trPr>
          <w:trHeight w:val="94"/>
        </w:trPr>
        <w:tc>
          <w:tcPr>
            <w:tcW w:w="4060" w:type="dxa"/>
            <w:vAlign w:val="bottom"/>
            <w:tcBorders>
              <w:left w:val="single" w:sz="8" w:color="auto"/>
              <w:right w:val="single" w:sz="8" w:color="auto"/>
            </w:tcBorders>
          </w:tcPr>
          <w:p>
            <w:pPr>
              <w:ind w:left="40"/>
              <w:spacing w:after="0" w:line="94" w:lineRule="exact"/>
              <w:rPr>
                <w:sz w:val="20"/>
                <w:szCs w:val="20"/>
                <w:color w:val="auto"/>
              </w:rPr>
            </w:pPr>
            <w:r>
              <w:rPr>
                <w:rFonts w:ascii="Arial" w:cs="Arial" w:eastAsia="Arial" w:hAnsi="Arial"/>
                <w:sz w:val="10"/>
                <w:szCs w:val="10"/>
                <w:color w:val="auto"/>
              </w:rPr>
              <w:t>Net gain on securities</w:t>
            </w:r>
          </w:p>
        </w:tc>
        <w:tc>
          <w:tcPr>
            <w:tcW w:w="900" w:type="dxa"/>
            <w:vAlign w:val="bottom"/>
          </w:tcPr>
          <w:p>
            <w:pPr>
              <w:jc w:val="center"/>
              <w:spacing w:after="0" w:line="94" w:lineRule="exact"/>
              <w:rPr>
                <w:sz w:val="20"/>
                <w:szCs w:val="20"/>
                <w:color w:val="auto"/>
              </w:rPr>
            </w:pPr>
            <w:r>
              <w:rPr>
                <w:rFonts w:ascii="Arial" w:cs="Arial" w:eastAsia="Arial" w:hAnsi="Arial"/>
                <w:sz w:val="10"/>
                <w:szCs w:val="10"/>
                <w:color w:val="auto"/>
              </w:rPr>
              <w:t>77,513</w:t>
            </w:r>
          </w:p>
        </w:tc>
        <w:tc>
          <w:tcPr>
            <w:tcW w:w="900" w:type="dxa"/>
            <w:vAlign w:val="bottom"/>
          </w:tcPr>
          <w:p>
            <w:pPr>
              <w:jc w:val="center"/>
              <w:spacing w:after="0" w:line="94" w:lineRule="exact"/>
              <w:rPr>
                <w:sz w:val="20"/>
                <w:szCs w:val="20"/>
                <w:color w:val="auto"/>
              </w:rPr>
            </w:pPr>
            <w:r>
              <w:rPr>
                <w:rFonts w:ascii="Arial" w:cs="Arial" w:eastAsia="Arial" w:hAnsi="Arial"/>
                <w:sz w:val="10"/>
                <w:szCs w:val="10"/>
                <w:color w:val="auto"/>
              </w:rPr>
              <w:t>53,591</w:t>
            </w:r>
          </w:p>
        </w:tc>
        <w:tc>
          <w:tcPr>
            <w:tcW w:w="92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10"/>
                <w:szCs w:val="10"/>
                <w:color w:val="auto"/>
              </w:rPr>
              <w:t>115,825</w:t>
            </w:r>
          </w:p>
        </w:tc>
        <w:tc>
          <w:tcPr>
            <w:tcW w:w="860" w:type="dxa"/>
            <w:vAlign w:val="bottom"/>
          </w:tcPr>
          <w:p>
            <w:pPr>
              <w:jc w:val="center"/>
              <w:spacing w:after="0" w:line="94" w:lineRule="exact"/>
              <w:rPr>
                <w:sz w:val="20"/>
                <w:szCs w:val="20"/>
                <w:color w:val="auto"/>
              </w:rPr>
            </w:pPr>
            <w:r>
              <w:rPr>
                <w:rFonts w:ascii="Arial" w:cs="Arial" w:eastAsia="Arial" w:hAnsi="Arial"/>
                <w:sz w:val="10"/>
                <w:szCs w:val="10"/>
                <w:color w:val="auto"/>
              </w:rPr>
              <w:t>116.1%</w:t>
            </w:r>
          </w:p>
        </w:tc>
        <w:tc>
          <w:tcPr>
            <w:tcW w:w="94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10"/>
                <w:szCs w:val="10"/>
                <w:color w:val="auto"/>
              </w:rPr>
              <w:t>49.4%</w:t>
            </w:r>
          </w:p>
        </w:tc>
        <w:tc>
          <w:tcPr>
            <w:tcW w:w="700" w:type="dxa"/>
            <w:vAlign w:val="bottom"/>
          </w:tcPr>
          <w:p>
            <w:pPr>
              <w:jc w:val="center"/>
              <w:ind w:left="104"/>
              <w:spacing w:after="0" w:line="94" w:lineRule="exact"/>
              <w:rPr>
                <w:sz w:val="20"/>
                <w:szCs w:val="20"/>
                <w:color w:val="auto"/>
              </w:rPr>
            </w:pPr>
            <w:r>
              <w:rPr>
                <w:rFonts w:ascii="Arial" w:cs="Arial" w:eastAsia="Arial" w:hAnsi="Arial"/>
                <w:sz w:val="10"/>
                <w:szCs w:val="10"/>
                <w:color w:val="auto"/>
              </w:rPr>
              <w:t>-98,993</w:t>
            </w:r>
          </w:p>
        </w:tc>
        <w:tc>
          <w:tcPr>
            <w:tcW w:w="1080" w:type="dxa"/>
            <w:vAlign w:val="bottom"/>
            <w:tcBorders>
              <w:right w:val="single" w:sz="8" w:color="auto"/>
            </w:tcBorders>
          </w:tcPr>
          <w:p>
            <w:pPr>
              <w:jc w:val="center"/>
              <w:ind w:left="104"/>
              <w:spacing w:after="0" w:line="94" w:lineRule="exact"/>
              <w:rPr>
                <w:sz w:val="20"/>
                <w:szCs w:val="20"/>
                <w:color w:val="auto"/>
              </w:rPr>
            </w:pPr>
            <w:r>
              <w:rPr>
                <w:rFonts w:ascii="Arial" w:cs="Arial" w:eastAsia="Arial" w:hAnsi="Arial"/>
                <w:sz w:val="10"/>
                <w:szCs w:val="10"/>
                <w:color w:val="auto"/>
              </w:rPr>
              <w:t>308,055</w:t>
            </w:r>
          </w:p>
        </w:tc>
        <w:tc>
          <w:tcPr>
            <w:tcW w:w="90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10"/>
                <w:szCs w:val="10"/>
                <w:color w:val="auto"/>
              </w:rPr>
              <w:t>n.a.</w:t>
            </w:r>
          </w:p>
        </w:tc>
      </w:tr>
      <w:tr>
        <w:trPr>
          <w:trHeight w:val="127"/>
        </w:trPr>
        <w:tc>
          <w:tcPr>
            <w:tcW w:w="4060" w:type="dxa"/>
            <w:vAlign w:val="bottom"/>
            <w:tcBorders>
              <w:left w:val="single" w:sz="8" w:color="auto"/>
              <w:right w:val="single" w:sz="8" w:color="auto"/>
            </w:tcBorders>
          </w:tcPr>
          <w:p>
            <w:pPr>
              <w:ind w:left="40"/>
              <w:spacing w:after="0" w:line="127" w:lineRule="exact"/>
              <w:rPr>
                <w:sz w:val="20"/>
                <w:szCs w:val="20"/>
                <w:color w:val="auto"/>
              </w:rPr>
            </w:pPr>
            <w:r>
              <w:rPr>
                <w:rFonts w:ascii="Arial" w:cs="Arial" w:eastAsia="Arial" w:hAnsi="Arial"/>
                <w:sz w:val="9"/>
                <w:szCs w:val="9"/>
                <w:color w:val="auto"/>
              </w:rPr>
              <w:t xml:space="preserve">Net gain from associates </w:t>
            </w:r>
            <w:r>
              <w:rPr>
                <w:rFonts w:ascii="Arial" w:cs="Arial" w:eastAsia="Arial" w:hAnsi="Arial"/>
                <w:sz w:val="14"/>
                <w:szCs w:val="14"/>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1"/>
                <w:szCs w:val="11"/>
                <w:color w:val="auto"/>
              </w:rPr>
              <w:t>25,422</w:t>
            </w:r>
          </w:p>
        </w:tc>
        <w:tc>
          <w:tcPr>
            <w:tcW w:w="900" w:type="dxa"/>
            <w:vAlign w:val="bottom"/>
          </w:tcPr>
          <w:p>
            <w:pPr>
              <w:jc w:val="center"/>
              <w:spacing w:after="0"/>
              <w:rPr>
                <w:sz w:val="20"/>
                <w:szCs w:val="20"/>
                <w:color w:val="auto"/>
              </w:rPr>
            </w:pPr>
            <w:r>
              <w:rPr>
                <w:rFonts w:ascii="Arial" w:cs="Arial" w:eastAsia="Arial" w:hAnsi="Arial"/>
                <w:sz w:val="11"/>
                <w:szCs w:val="11"/>
                <w:color w:val="auto"/>
              </w:rPr>
              <w:t>32,056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34,132</w:t>
            </w:r>
          </w:p>
        </w:tc>
        <w:tc>
          <w:tcPr>
            <w:tcW w:w="860" w:type="dxa"/>
            <w:vAlign w:val="bottom"/>
          </w:tcPr>
          <w:p>
            <w:pPr>
              <w:jc w:val="center"/>
              <w:spacing w:after="0"/>
              <w:rPr>
                <w:sz w:val="20"/>
                <w:szCs w:val="20"/>
                <w:color w:val="auto"/>
              </w:rPr>
            </w:pPr>
            <w:r>
              <w:rPr>
                <w:rFonts w:ascii="Arial" w:cs="Arial" w:eastAsia="Arial" w:hAnsi="Arial"/>
                <w:sz w:val="11"/>
                <w:szCs w:val="11"/>
                <w:color w:val="auto"/>
              </w:rPr>
              <w:t>6.5%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34.3%</w:t>
            </w:r>
          </w:p>
        </w:tc>
        <w:tc>
          <w:tcPr>
            <w:tcW w:w="700" w:type="dxa"/>
            <w:vAlign w:val="bottom"/>
          </w:tcPr>
          <w:p>
            <w:pPr>
              <w:jc w:val="center"/>
              <w:ind w:left="104"/>
              <w:spacing w:after="0"/>
              <w:rPr>
                <w:sz w:val="20"/>
                <w:szCs w:val="20"/>
                <w:color w:val="auto"/>
              </w:rPr>
            </w:pPr>
            <w:r>
              <w:rPr>
                <w:rFonts w:ascii="Arial" w:cs="Arial" w:eastAsia="Arial" w:hAnsi="Arial"/>
                <w:sz w:val="11"/>
                <w:szCs w:val="11"/>
                <w:color w:val="auto"/>
              </w:rPr>
              <w:t>104,461</w:t>
            </w:r>
          </w:p>
        </w:tc>
        <w:tc>
          <w:tcPr>
            <w:tcW w:w="1080" w:type="dxa"/>
            <w:vAlign w:val="bottom"/>
            <w:tcBorders>
              <w:right w:val="single" w:sz="8" w:color="auto"/>
            </w:tcBorders>
          </w:tcPr>
          <w:p>
            <w:pPr>
              <w:jc w:val="center"/>
              <w:ind w:left="104"/>
              <w:spacing w:after="0"/>
              <w:rPr>
                <w:sz w:val="20"/>
                <w:szCs w:val="20"/>
                <w:color w:val="auto"/>
              </w:rPr>
            </w:pPr>
            <w:r>
              <w:rPr>
                <w:rFonts w:ascii="Arial" w:cs="Arial" w:eastAsia="Arial" w:hAnsi="Arial"/>
                <w:sz w:val="11"/>
                <w:szCs w:val="11"/>
                <w:color w:val="auto"/>
              </w:rPr>
              <w:t>117,089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12.1%</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Net gain on derivatives held for trading</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5,857</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38,545</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5,019</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-87.0%</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-14.3%</w:t>
            </w:r>
          </w:p>
        </w:tc>
        <w:tc>
          <w:tcPr>
            <w:tcW w:w="700" w:type="dxa"/>
            <w:vAlign w:val="bottom"/>
          </w:tcPr>
          <w:p>
            <w:pPr>
              <w:jc w:val="center"/>
              <w:ind w:left="104"/>
              <w:spacing w:after="0" w:line="122" w:lineRule="exact"/>
              <w:rPr>
                <w:sz w:val="20"/>
                <w:szCs w:val="20"/>
                <w:color w:val="auto"/>
              </w:rPr>
            </w:pPr>
            <w:r>
              <w:rPr>
                <w:rFonts w:ascii="Arial" w:cs="Arial" w:eastAsia="Arial" w:hAnsi="Arial"/>
                <w:sz w:val="11"/>
                <w:szCs w:val="11"/>
                <w:color w:val="auto"/>
              </w:rPr>
              <w:t>65,187</w:t>
            </w:r>
          </w:p>
        </w:tc>
        <w:tc>
          <w:tcPr>
            <w:tcW w:w="1080" w:type="dxa"/>
            <w:vAlign w:val="bottom"/>
            <w:tcBorders>
              <w:right w:val="single" w:sz="8" w:color="auto"/>
            </w:tcBorders>
          </w:tcPr>
          <w:p>
            <w:pPr>
              <w:jc w:val="center"/>
              <w:ind w:left="104"/>
              <w:spacing w:after="0" w:line="122" w:lineRule="exact"/>
              <w:rPr>
                <w:sz w:val="20"/>
                <w:szCs w:val="20"/>
                <w:color w:val="auto"/>
              </w:rPr>
            </w:pPr>
            <w:r>
              <w:rPr>
                <w:rFonts w:ascii="Arial" w:cs="Arial" w:eastAsia="Arial" w:hAnsi="Arial"/>
                <w:sz w:val="11"/>
                <w:szCs w:val="11"/>
                <w:color w:val="auto"/>
              </w:rPr>
              <w:t>53,665</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-17.7%</w:t>
            </w:r>
          </w:p>
        </w:tc>
      </w:tr>
      <w:tr>
        <w:trPr>
          <w:trHeight w:val="122"/>
        </w:trPr>
        <w:tc>
          <w:tcPr>
            <w:tcW w:w="406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1"/>
                <w:szCs w:val="11"/>
                <w:color w:val="auto"/>
              </w:rPr>
              <w:t>Net gain from exchange differences</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33,108</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4,564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15,255</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234.2%</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-53.9%</w:t>
            </w:r>
          </w:p>
        </w:tc>
        <w:tc>
          <w:tcPr>
            <w:tcW w:w="700" w:type="dxa"/>
            <w:vAlign w:val="bottom"/>
          </w:tcPr>
          <w:p>
            <w:pPr>
              <w:jc w:val="center"/>
              <w:ind w:left="104"/>
              <w:spacing w:after="0" w:line="122" w:lineRule="exact"/>
              <w:rPr>
                <w:sz w:val="20"/>
                <w:szCs w:val="20"/>
                <w:color w:val="auto"/>
              </w:rPr>
            </w:pPr>
            <w:r>
              <w:rPr>
                <w:rFonts w:ascii="Arial" w:cs="Arial" w:eastAsia="Arial" w:hAnsi="Arial"/>
                <w:sz w:val="11"/>
                <w:szCs w:val="11"/>
                <w:color w:val="auto"/>
                <w:w w:val="97"/>
              </w:rPr>
              <w:t>387</w:t>
            </w:r>
          </w:p>
        </w:tc>
        <w:tc>
          <w:tcPr>
            <w:tcW w:w="1080" w:type="dxa"/>
            <w:vAlign w:val="bottom"/>
            <w:tcBorders>
              <w:right w:val="single" w:sz="8" w:color="auto"/>
            </w:tcBorders>
          </w:tcPr>
          <w:p>
            <w:pPr>
              <w:jc w:val="center"/>
              <w:ind w:left="104"/>
              <w:spacing w:after="0" w:line="122" w:lineRule="exact"/>
              <w:rPr>
                <w:sz w:val="20"/>
                <w:szCs w:val="20"/>
                <w:color w:val="auto"/>
              </w:rPr>
            </w:pPr>
            <w:r>
              <w:rPr>
                <w:rFonts w:ascii="Arial" w:cs="Arial" w:eastAsia="Arial" w:hAnsi="Arial"/>
                <w:sz w:val="11"/>
                <w:szCs w:val="11"/>
                <w:color w:val="auto"/>
              </w:rPr>
              <w:t>45,778</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n.a.</w:t>
            </w:r>
          </w:p>
        </w:tc>
      </w:tr>
      <w:tr>
        <w:trPr>
          <w:trHeight w:val="137"/>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Other non-financial income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-2,548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89,272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112,372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25.9%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-4510.2%</w:t>
            </w:r>
          </w:p>
        </w:tc>
        <w:tc>
          <w:tcPr>
            <w:tcW w:w="700" w:type="dxa"/>
            <w:vAlign w:val="bottom"/>
            <w:tcBorders>
              <w:bottom w:val="single" w:sz="8" w:color="auto"/>
            </w:tcBorders>
          </w:tcPr>
          <w:p>
            <w:pPr>
              <w:jc w:val="center"/>
              <w:ind w:left="104"/>
              <w:spacing w:after="0"/>
              <w:rPr>
                <w:sz w:val="20"/>
                <w:szCs w:val="20"/>
                <w:color w:val="auto"/>
              </w:rPr>
            </w:pPr>
            <w:r>
              <w:rPr>
                <w:rFonts w:ascii="Arial" w:cs="Arial" w:eastAsia="Arial" w:hAnsi="Arial"/>
                <w:sz w:val="11"/>
                <w:szCs w:val="11"/>
                <w:color w:val="auto"/>
              </w:rPr>
              <w:t>268,046</w:t>
            </w:r>
          </w:p>
        </w:tc>
        <w:tc>
          <w:tcPr>
            <w:tcW w:w="1080" w:type="dxa"/>
            <w:vAlign w:val="bottom"/>
            <w:tcBorders>
              <w:bottom w:val="single" w:sz="8" w:color="auto"/>
              <w:right w:val="single" w:sz="8" w:color="auto"/>
            </w:tcBorders>
          </w:tcPr>
          <w:p>
            <w:pPr>
              <w:jc w:val="center"/>
              <w:ind w:left="104"/>
              <w:spacing w:after="0"/>
              <w:rPr>
                <w:sz w:val="20"/>
                <w:szCs w:val="20"/>
                <w:color w:val="auto"/>
              </w:rPr>
            </w:pPr>
            <w:r>
              <w:rPr>
                <w:rFonts w:ascii="Arial" w:cs="Arial" w:eastAsia="Arial" w:hAnsi="Arial"/>
                <w:sz w:val="11"/>
                <w:szCs w:val="11"/>
                <w:color w:val="auto"/>
              </w:rPr>
              <w:t>440,653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64.4%</w:t>
            </w:r>
          </w:p>
        </w:tc>
      </w:tr>
      <w:tr>
        <w:trPr>
          <w:trHeight w:val="114"/>
        </w:trPr>
        <w:tc>
          <w:tcPr>
            <w:tcW w:w="406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b w:val="1"/>
                <w:bCs w:val="1"/>
                <w:color w:val="auto"/>
              </w:rPr>
              <w:t>Total other Non-Core Income</w:t>
            </w:r>
          </w:p>
        </w:tc>
        <w:tc>
          <w:tcPr>
            <w:tcW w:w="9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139,352</w:t>
            </w:r>
          </w:p>
        </w:tc>
        <w:tc>
          <w:tcPr>
            <w:tcW w:w="9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218,028</w:t>
            </w:r>
          </w:p>
        </w:tc>
        <w:tc>
          <w:tcPr>
            <w:tcW w:w="9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282,603</w:t>
            </w:r>
          </w:p>
        </w:tc>
        <w:tc>
          <w:tcPr>
            <w:tcW w:w="8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29.6%</w:t>
            </w:r>
          </w:p>
        </w:tc>
        <w:tc>
          <w:tcPr>
            <w:tcW w:w="94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102.8%</w:t>
            </w:r>
          </w:p>
        </w:tc>
        <w:tc>
          <w:tcPr>
            <w:tcW w:w="700" w:type="dxa"/>
            <w:vAlign w:val="bottom"/>
            <w:tcBorders>
              <w:bottom w:val="single" w:sz="8" w:color="auto"/>
            </w:tcBorders>
          </w:tcPr>
          <w:p>
            <w:pPr>
              <w:jc w:val="center"/>
              <w:ind w:left="104"/>
              <w:spacing w:after="0" w:line="114" w:lineRule="exact"/>
              <w:rPr>
                <w:sz w:val="20"/>
                <w:szCs w:val="20"/>
                <w:color w:val="auto"/>
              </w:rPr>
            </w:pPr>
            <w:r>
              <w:rPr>
                <w:rFonts w:ascii="Arial" w:cs="Arial" w:eastAsia="Arial" w:hAnsi="Arial"/>
                <w:sz w:val="11"/>
                <w:szCs w:val="11"/>
                <w:b w:val="1"/>
                <w:bCs w:val="1"/>
                <w:color w:val="auto"/>
              </w:rPr>
              <w:t>339,088</w:t>
            </w:r>
          </w:p>
        </w:tc>
        <w:tc>
          <w:tcPr>
            <w:tcW w:w="1080" w:type="dxa"/>
            <w:vAlign w:val="bottom"/>
            <w:tcBorders>
              <w:bottom w:val="single" w:sz="8" w:color="auto"/>
              <w:right w:val="single" w:sz="8" w:color="auto"/>
            </w:tcBorders>
          </w:tcPr>
          <w:p>
            <w:pPr>
              <w:jc w:val="center"/>
              <w:ind w:left="104"/>
              <w:spacing w:after="0" w:line="114" w:lineRule="exact"/>
              <w:rPr>
                <w:sz w:val="20"/>
                <w:szCs w:val="20"/>
                <w:color w:val="auto"/>
              </w:rPr>
            </w:pPr>
            <w:r>
              <w:rPr>
                <w:rFonts w:ascii="Arial" w:cs="Arial" w:eastAsia="Arial" w:hAnsi="Arial"/>
                <w:sz w:val="11"/>
                <w:szCs w:val="11"/>
                <w:b w:val="1"/>
                <w:bCs w:val="1"/>
                <w:color w:val="auto"/>
              </w:rPr>
              <w:t>965,240</w:t>
            </w:r>
          </w:p>
        </w:tc>
        <w:tc>
          <w:tcPr>
            <w:tcW w:w="9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184.7%</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(1) Includes gains on other investments, which are mainly attributable to the Banmedica result.</w:t>
      </w:r>
    </w:p>
    <w:p>
      <w:pPr>
        <w:sectPr>
          <w:pgSz w:w="11900" w:h="16838" w:orient="portrait"/>
          <w:cols w:equalWidth="0" w:num="1">
            <w:col w:w="11260"/>
          </w:cols>
          <w:pgMar w:left="320" w:top="496" w:right="319" w:bottom="1440" w:gutter="0" w:footer="0" w:header="0"/>
        </w:sectPr>
      </w:pPr>
    </w:p>
    <w:p>
      <w:pPr>
        <w:spacing w:after="0" w:line="177"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QoQ Other Non-Core Income Evolution</w:t>
      </w:r>
    </w:p>
    <w:p>
      <w:pPr>
        <w:spacing w:after="0" w:line="15"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116205</wp:posOffset>
            </wp:positionV>
            <wp:extent cx="1935480" cy="162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35480" cy="1625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auto"/>
        </w:rPr>
        <w:t>YoY Other Non-Core Income Evolution</w:t>
      </w:r>
    </w:p>
    <w:p>
      <w:pPr>
        <w:spacing w:after="0" w:line="15"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116205</wp:posOffset>
            </wp:positionV>
            <wp:extent cx="2237105" cy="162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37105" cy="1625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300"/>
          </w:cols>
          <w:pgMar w:left="320" w:top="49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FY Other Non-Core Income Evolution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116205</wp:posOffset>
            </wp:positionV>
            <wp:extent cx="2082800" cy="162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82800" cy="162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includes: Grupo Crédito, Credicorp Individual, eliminations and others.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type w:val="continuous"/>
        </w:sectPr>
      </w:pPr>
    </w:p>
    <w:bookmarkStart w:id="38" w:name="page39"/>
    <w:bookmarkEnd w:id="38"/>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06. Other Income</w:t>
      </w:r>
    </w:p>
    <w:p>
      <w:pPr>
        <w:spacing w:after="0" w:line="297"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Other</w:t>
      </w:r>
      <w:r>
        <w:rPr>
          <w:rFonts w:ascii="Arial" w:cs="Arial" w:eastAsia="Arial" w:hAnsi="Arial"/>
          <w:sz w:val="16"/>
          <w:szCs w:val="16"/>
          <w:b w:val="1"/>
          <w:bCs w:val="1"/>
          <w:color w:val="auto"/>
        </w:rPr>
        <w:t xml:space="preserve"> Non-Core Income </w:t>
      </w:r>
      <w:r>
        <w:rPr>
          <w:rFonts w:ascii="Arial" w:cs="Arial" w:eastAsia="Arial" w:hAnsi="Arial"/>
          <w:sz w:val="16"/>
          <w:szCs w:val="16"/>
          <w:color w:val="auto"/>
        </w:rPr>
        <w:t>rose. This evolution was driven primarily by an uptick in the</w:t>
      </w:r>
      <w:r>
        <w:rPr>
          <w:rFonts w:ascii="Arial" w:cs="Arial" w:eastAsia="Arial" w:hAnsi="Arial"/>
          <w:sz w:val="16"/>
          <w:szCs w:val="16"/>
          <w:b w:val="1"/>
          <w:bCs w:val="1"/>
          <w:color w:val="auto"/>
        </w:rPr>
        <w:t xml:space="preserve"> Net Gain on Securities </w:t>
      </w:r>
      <w:r>
        <w:rPr>
          <w:rFonts w:ascii="Arial" w:cs="Arial" w:eastAsia="Arial" w:hAnsi="Arial"/>
          <w:sz w:val="16"/>
          <w:szCs w:val="16"/>
          <w:color w:val="auto"/>
        </w:rPr>
        <w:t>via adept trading strategies at</w:t>
      </w:r>
      <w:r>
        <w:rPr>
          <w:rFonts w:ascii="Arial" w:cs="Arial" w:eastAsia="Arial" w:hAnsi="Arial"/>
          <w:sz w:val="16"/>
          <w:szCs w:val="16"/>
          <w:b w:val="1"/>
          <w:bCs w:val="1"/>
          <w:color w:val="auto"/>
        </w:rPr>
        <w:t xml:space="preserve"> Credicorp Capital </w:t>
      </w:r>
      <w:r>
        <w:rPr>
          <w:rFonts w:ascii="Arial" w:cs="Arial" w:eastAsia="Arial" w:hAnsi="Arial"/>
          <w:sz w:val="16"/>
          <w:szCs w:val="16"/>
          <w:color w:val="auto"/>
        </w:rPr>
        <w:t>and secondarily by a positive result for</w:t>
      </w:r>
      <w:r>
        <w:rPr>
          <w:rFonts w:ascii="Arial" w:cs="Arial" w:eastAsia="Arial" w:hAnsi="Arial"/>
          <w:sz w:val="16"/>
          <w:szCs w:val="16"/>
          <w:b w:val="1"/>
          <w:bCs w:val="1"/>
          <w:color w:val="auto"/>
        </w:rPr>
        <w:t xml:space="preserve"> Other Income, </w:t>
      </w:r>
      <w:r>
        <w:rPr>
          <w:rFonts w:ascii="Arial" w:cs="Arial" w:eastAsia="Arial" w:hAnsi="Arial"/>
          <w:sz w:val="16"/>
          <w:szCs w:val="16"/>
          <w:color w:val="auto"/>
        </w:rPr>
        <w:t>which was impacted mainly by the sale of judicial recoveries at</w:t>
      </w:r>
      <w:r>
        <w:rPr>
          <w:rFonts w:ascii="Arial" w:cs="Arial" w:eastAsia="Arial" w:hAnsi="Arial"/>
          <w:sz w:val="16"/>
          <w:szCs w:val="16"/>
          <w:b w:val="1"/>
          <w:bCs w:val="1"/>
          <w:color w:val="auto"/>
        </w:rPr>
        <w:t xml:space="preserve"> BCP Stand-alone</w:t>
      </w:r>
      <w:r>
        <w:rPr>
          <w:rFonts w:ascii="Arial" w:cs="Arial" w:eastAsia="Arial" w:hAnsi="Arial"/>
          <w:sz w:val="16"/>
          <w:szCs w:val="16"/>
          <w:color w:val="auto"/>
        </w:rPr>
        <w:t>.</w:t>
      </w:r>
    </w:p>
    <w:p>
      <w:pPr>
        <w:spacing w:after="0" w:line="10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color w:val="auto"/>
        </w:rPr>
        <w:t xml:space="preserve">YoY, Other Non-Core Income </w:t>
      </w:r>
      <w:r>
        <w:rPr>
          <w:rFonts w:ascii="Arial" w:cs="Arial" w:eastAsia="Arial" w:hAnsi="Arial"/>
          <w:sz w:val="16"/>
          <w:szCs w:val="16"/>
          <w:color w:val="auto"/>
        </w:rPr>
        <w:t>rose due to growth in</w:t>
      </w:r>
      <w:r>
        <w:rPr>
          <w:rFonts w:ascii="Arial" w:cs="Arial" w:eastAsia="Arial" w:hAnsi="Arial"/>
          <w:sz w:val="16"/>
          <w:szCs w:val="16"/>
          <w:b w:val="1"/>
          <w:bCs w:val="1"/>
          <w:color w:val="auto"/>
        </w:rPr>
        <w:t xml:space="preserve"> Other Income</w:t>
      </w:r>
      <w:r>
        <w:rPr>
          <w:rFonts w:ascii="Arial" w:cs="Arial" w:eastAsia="Arial" w:hAnsi="Arial"/>
          <w:sz w:val="16"/>
          <w:szCs w:val="16"/>
          <w:color w:val="auto"/>
        </w:rPr>
        <w:t>. This result was spurred by the same drivers as those seen in QoQ and by an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w:t>
      </w:r>
      <w:r>
        <w:rPr>
          <w:rFonts w:ascii="Arial" w:cs="Arial" w:eastAsia="Arial" w:hAnsi="Arial"/>
          <w:sz w:val="16"/>
          <w:szCs w:val="16"/>
          <w:b w:val="1"/>
          <w:bCs w:val="1"/>
          <w:color w:val="auto"/>
        </w:rPr>
        <w:t>Net Gain on Securities</w:t>
      </w:r>
      <w:r>
        <w:rPr>
          <w:rFonts w:ascii="Arial" w:cs="Arial" w:eastAsia="Arial" w:hAnsi="Arial"/>
          <w:sz w:val="16"/>
          <w:szCs w:val="16"/>
          <w:color w:val="auto"/>
        </w:rPr>
        <w:t xml:space="preserve"> at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given that, in 4Q22, losses generated by the trading portfolio were offset by growth in interest income on fixed-income investments.</w:t>
      </w:r>
    </w:p>
    <w:p>
      <w:pPr>
        <w:spacing w:after="0" w:line="13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color w:val="auto"/>
        </w:rPr>
        <w:t>YTD</w:t>
      </w:r>
      <w:r>
        <w:rPr>
          <w:rFonts w:ascii="Arial" w:cs="Arial" w:eastAsia="Arial" w:hAnsi="Arial"/>
          <w:sz w:val="16"/>
          <w:szCs w:val="16"/>
          <w:color w:val="auto"/>
        </w:rPr>
        <w:t>, the improvement in results reflects an increase in the Net Gain on Securities due to good results for trading strategies at</w:t>
      </w:r>
      <w:r>
        <w:rPr>
          <w:rFonts w:ascii="Arial" w:cs="Arial" w:eastAsia="Arial" w:hAnsi="Arial"/>
          <w:sz w:val="16"/>
          <w:szCs w:val="16"/>
          <w:b w:val="1"/>
          <w:bCs w:val="1"/>
          <w:color w:val="auto"/>
        </w:rPr>
        <w:t xml:space="preserve"> Credicorp Capital </w:t>
      </w:r>
      <w:r>
        <w:rPr>
          <w:rFonts w:ascii="Arial" w:cs="Arial" w:eastAsia="Arial" w:hAnsi="Arial"/>
          <w:sz w:val="16"/>
          <w:szCs w:val="16"/>
          <w:color w:val="auto"/>
        </w:rPr>
        <w:t>and</w:t>
      </w:r>
      <w:r>
        <w:rPr>
          <w:rFonts w:ascii="Arial" w:cs="Arial" w:eastAsia="Arial" w:hAnsi="Arial"/>
          <w:sz w:val="16"/>
          <w:szCs w:val="16"/>
          <w:b w:val="1"/>
          <w:bCs w:val="1"/>
          <w:color w:val="auto"/>
        </w:rPr>
        <w:t xml:space="preserve"> ASB</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growth in income in the investment portfolio at </w:t>
      </w:r>
      <w:r>
        <w:rPr>
          <w:rFonts w:ascii="Arial" w:cs="Arial" w:eastAsia="Arial" w:hAnsi="Arial"/>
          <w:sz w:val="16"/>
          <w:szCs w:val="16"/>
          <w:b w:val="1"/>
          <w:bCs w:val="1"/>
          <w:color w:val="auto"/>
        </w:rPr>
        <w:t>Pacifico</w:t>
      </w:r>
      <w:r>
        <w:rPr>
          <w:rFonts w:ascii="Arial" w:cs="Arial" w:eastAsia="Arial" w:hAnsi="Arial"/>
          <w:sz w:val="16"/>
          <w:szCs w:val="16"/>
          <w:color w:val="auto"/>
        </w:rPr>
        <w:t xml:space="preserve">; and a revaluation of reserves at </w:t>
      </w:r>
      <w:r>
        <w:rPr>
          <w:rFonts w:ascii="Arial" w:cs="Arial" w:eastAsia="Arial" w:hAnsi="Arial"/>
          <w:sz w:val="16"/>
          <w:szCs w:val="16"/>
          <w:b w:val="1"/>
          <w:bCs w:val="1"/>
          <w:color w:val="auto"/>
        </w:rPr>
        <w:t>Prima AFP</w:t>
      </w:r>
      <w:r>
        <w:rPr>
          <w:rFonts w:ascii="Arial" w:cs="Arial" w:eastAsia="Arial" w:hAnsi="Arial"/>
          <w:sz w:val="16"/>
          <w:szCs w:val="16"/>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39" w:name="page40"/>
    <w:bookmarkEnd w:id="39"/>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321310</wp:posOffset>
            </wp:positionV>
            <wp:extent cx="7145655" cy="410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18" w:lineRule="exact"/>
        <w:rPr>
          <w:sz w:val="20"/>
          <w:szCs w:val="20"/>
          <w:color w:val="auto"/>
        </w:rPr>
      </w:pPr>
    </w:p>
    <w:p>
      <w:pPr>
        <w:spacing w:after="0"/>
        <w:rPr>
          <w:sz w:val="20"/>
          <w:szCs w:val="20"/>
          <w:color w:val="auto"/>
        </w:rPr>
      </w:pPr>
      <w:r>
        <w:rPr>
          <w:rFonts w:ascii="Arial" w:cs="Arial" w:eastAsia="Arial" w:hAnsi="Arial"/>
          <w:sz w:val="47"/>
          <w:szCs w:val="47"/>
          <w:b w:val="1"/>
          <w:bCs w:val="1"/>
          <w:color w:val="E93CAC"/>
        </w:rPr>
        <w:t xml:space="preserve">07  </w:t>
      </w:r>
      <w:r>
        <w:rPr>
          <w:rFonts w:ascii="Arial" w:cs="Arial" w:eastAsia="Arial" w:hAnsi="Arial"/>
          <w:sz w:val="29"/>
          <w:szCs w:val="29"/>
          <w:color w:val="E93CAC"/>
        </w:rPr>
        <w:t>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145655" cy="1037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655" cy="1037590"/>
                    </a:xfrm>
                    <a:prstGeom prst="rect">
                      <a:avLst/>
                    </a:prstGeom>
                    <a:noFill/>
                  </pic:spPr>
                </pic:pic>
              </a:graphicData>
            </a:graphic>
          </wp:anchor>
        </w:drawing>
      </w:r>
    </w:p>
    <w:p>
      <w:pPr>
        <w:spacing w:after="0" w:line="27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6"/>
          <w:szCs w:val="16"/>
          <w:color w:val="FFFFFF"/>
        </w:rPr>
        <w:t>The insurance underwriting result fell 13.2% QoQ due to a drop in underwriting results in P &amp; C and Life. The decline at P &amp; C was attributable to an uptick in Expenses for insurance services, which was primarily attributable to an increase in claims in P &amp; C Risks and Medical Assistance. In the Life line, the underwriting result dropped due to an increase in Expenses for insurance service derived from a greater frequency of claims in D &amp; S and Credit Life. It should be noted that, in both P &amp; C and Life, the higher Expenses for insurance services were mitigated by the higher Income from the insurance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-473710</wp:posOffset>
            </wp:positionV>
            <wp:extent cx="7068185" cy="982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8185" cy="982980"/>
                    </a:xfrm>
                    <a:prstGeom prst="rect">
                      <a:avLst/>
                    </a:prstGeom>
                    <a:noFill/>
                  </pic:spPr>
                </pic:pic>
              </a:graphicData>
            </a:graphic>
          </wp:anchor>
        </w:drawing>
      </w:r>
    </w:p>
    <w:p>
      <w:pPr>
        <w:spacing w:after="0" w:line="314"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6"/>
          <w:szCs w:val="16"/>
          <w:color w:val="FFFFFF"/>
        </w:rPr>
        <w:t>YTD, the insurance underwriting result rose 43.9%, driven by an improvement in the result for the Life business and Crediseguros. The uptick in Life was spurred mainly by favorable price and volume dynamics for insurance in the D &amp; S line.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3900" w:type="dxa"/>
            <w:vAlign w:val="bottom"/>
            <w:tcBorders>
              <w:top w:val="single" w:sz="8" w:color="auto"/>
              <w:left w:val="single" w:sz="8" w:color="auto"/>
              <w:right w:val="single" w:sz="8" w:color="auto"/>
            </w:tcBorders>
            <w:gridSpan w:val="2"/>
            <w:shd w:val="clear" w:color="auto" w:fill="2AD2C9"/>
          </w:tcPr>
          <w:p>
            <w:pPr>
              <w:ind w:left="100"/>
              <w:spacing w:after="0"/>
              <w:rPr>
                <w:sz w:val="20"/>
                <w:szCs w:val="20"/>
                <w:color w:val="auto"/>
              </w:rPr>
            </w:pPr>
            <w:r>
              <w:rPr>
                <w:rFonts w:ascii="Arial" w:cs="Arial" w:eastAsia="Arial" w:hAnsi="Arial"/>
                <w:sz w:val="13"/>
                <w:szCs w:val="13"/>
                <w:b w:val="1"/>
                <w:bCs w:val="1"/>
                <w:color w:val="FFFFFF"/>
              </w:rPr>
              <w:t>Insurance Underwriting Result</w:t>
            </w:r>
          </w:p>
        </w:tc>
        <w:tc>
          <w:tcPr>
            <w:tcW w:w="940" w:type="dxa"/>
            <w:vAlign w:val="bottom"/>
            <w:tcBorders>
              <w:top w:val="single" w:sz="8" w:color="auto"/>
            </w:tcBorders>
            <w:shd w:val="clear" w:color="auto" w:fill="2AD2C9"/>
          </w:tcPr>
          <w:p>
            <w:pPr>
              <w:spacing w:after="0"/>
              <w:rPr>
                <w:sz w:val="13"/>
                <w:szCs w:val="13"/>
                <w:color w:val="auto"/>
              </w:rPr>
            </w:pPr>
          </w:p>
        </w:tc>
        <w:tc>
          <w:tcPr>
            <w:tcW w:w="920" w:type="dxa"/>
            <w:vAlign w:val="bottom"/>
            <w:tcBorders>
              <w:top w:val="single" w:sz="8" w:color="auto"/>
            </w:tcBorders>
            <w:shd w:val="clear" w:color="auto" w:fill="2AD2C9"/>
          </w:tcPr>
          <w:p>
            <w:pPr>
              <w:jc w:val="right"/>
              <w:ind w:right="235"/>
              <w:spacing w:after="0"/>
              <w:rPr>
                <w:sz w:val="20"/>
                <w:szCs w:val="20"/>
                <w:color w:val="auto"/>
              </w:rPr>
            </w:pPr>
            <w:r>
              <w:rPr>
                <w:rFonts w:ascii="Arial" w:cs="Arial" w:eastAsia="Arial" w:hAnsi="Arial"/>
                <w:sz w:val="13"/>
                <w:szCs w:val="13"/>
                <w:b w:val="1"/>
                <w:bCs w:val="1"/>
                <w:color w:val="FFFFFF"/>
              </w:rPr>
              <w:t>Quarter</w:t>
            </w:r>
          </w:p>
        </w:tc>
        <w:tc>
          <w:tcPr>
            <w:tcW w:w="820" w:type="dxa"/>
            <w:vAlign w:val="bottom"/>
            <w:tcBorders>
              <w:top w:val="single" w:sz="8" w:color="auto"/>
              <w:right w:val="single" w:sz="8" w:color="auto"/>
            </w:tcBorders>
            <w:shd w:val="clear" w:color="auto" w:fill="2AD2C9"/>
          </w:tcPr>
          <w:p>
            <w:pPr>
              <w:spacing w:after="0"/>
              <w:rPr>
                <w:sz w:val="13"/>
                <w:szCs w:val="13"/>
                <w:color w:val="auto"/>
              </w:rPr>
            </w:pPr>
          </w:p>
        </w:tc>
        <w:tc>
          <w:tcPr>
            <w:tcW w:w="178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3"/>
                <w:szCs w:val="13"/>
                <w:b w:val="1"/>
                <w:bCs w:val="1"/>
                <w:color w:val="FFFFFF"/>
              </w:rPr>
              <w:t>Change %</w:t>
            </w:r>
          </w:p>
        </w:tc>
        <w:tc>
          <w:tcPr>
            <w:tcW w:w="106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720" w:type="dxa"/>
            <w:vAlign w:val="bottom"/>
            <w:tcBorders>
              <w:top w:val="single" w:sz="8" w:color="auto"/>
              <w:right w:val="single" w:sz="8" w:color="auto"/>
            </w:tcBorders>
            <w:shd w:val="clear" w:color="auto" w:fill="2AD2C9"/>
          </w:tcPr>
          <w:p>
            <w:pPr>
              <w:spacing w:after="0"/>
              <w:rPr>
                <w:sz w:val="13"/>
                <w:szCs w:val="13"/>
                <w:color w:val="auto"/>
              </w:rPr>
            </w:pPr>
          </w:p>
        </w:tc>
        <w:tc>
          <w:tcPr>
            <w:tcW w:w="1120" w:type="dxa"/>
            <w:vAlign w:val="bottom"/>
            <w:tcBorders>
              <w:top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3"/>
                <w:szCs w:val="13"/>
                <w:b w:val="1"/>
                <w:bCs w:val="1"/>
                <w:color w:val="FFFFFF"/>
              </w:rPr>
              <w:t>Change %</w:t>
            </w:r>
          </w:p>
        </w:tc>
        <w:tc>
          <w:tcPr>
            <w:tcW w:w="0" w:type="dxa"/>
            <w:vAlign w:val="bottom"/>
          </w:tcPr>
          <w:p>
            <w:pPr>
              <w:spacing w:after="0"/>
              <w:rPr>
                <w:sz w:val="1"/>
                <w:szCs w:val="1"/>
                <w:color w:val="auto"/>
              </w:rPr>
            </w:pPr>
          </w:p>
        </w:tc>
      </w:tr>
      <w:tr>
        <w:trPr>
          <w:trHeight w:val="154"/>
        </w:trPr>
        <w:tc>
          <w:tcPr>
            <w:tcW w:w="1000" w:type="dxa"/>
            <w:vAlign w:val="bottom"/>
            <w:tcBorders>
              <w:left w:val="single" w:sz="8" w:color="auto"/>
              <w:bottom w:val="single" w:sz="8" w:color="auto"/>
              <w:right w:val="single" w:sz="8" w:color="2AD2C9"/>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S/ millions</w:t>
            </w:r>
          </w:p>
        </w:tc>
        <w:tc>
          <w:tcPr>
            <w:tcW w:w="2900" w:type="dxa"/>
            <w:vAlign w:val="bottom"/>
            <w:tcBorders>
              <w:bottom w:val="single" w:sz="8" w:color="auto"/>
              <w:right w:val="single" w:sz="8" w:color="auto"/>
            </w:tcBorders>
            <w:shd w:val="clear" w:color="auto" w:fill="2AD2C9"/>
          </w:tcPr>
          <w:p>
            <w:pPr>
              <w:spacing w:after="0"/>
              <w:rPr>
                <w:sz w:val="13"/>
                <w:szCs w:val="13"/>
                <w:color w:val="auto"/>
              </w:rPr>
            </w:pPr>
          </w:p>
        </w:tc>
        <w:tc>
          <w:tcPr>
            <w:tcW w:w="940" w:type="dxa"/>
            <w:vAlign w:val="bottom"/>
            <w:tcBorders>
              <w:bottom w:val="single" w:sz="8" w:color="auto"/>
            </w:tcBorders>
            <w:shd w:val="clear" w:color="auto" w:fill="2AD2C9"/>
          </w:tcPr>
          <w:p>
            <w:pPr>
              <w:jc w:val="right"/>
              <w:ind w:right="275"/>
              <w:spacing w:after="0"/>
              <w:rPr>
                <w:sz w:val="20"/>
                <w:szCs w:val="20"/>
                <w:color w:val="auto"/>
              </w:rPr>
            </w:pPr>
            <w:r>
              <w:rPr>
                <w:rFonts w:ascii="Arial" w:cs="Arial" w:eastAsia="Arial" w:hAnsi="Arial"/>
                <w:sz w:val="13"/>
                <w:szCs w:val="13"/>
                <w:b w:val="1"/>
                <w:bCs w:val="1"/>
                <w:color w:val="FFFFFF"/>
              </w:rPr>
              <w:t>4Q22</w:t>
            </w:r>
          </w:p>
        </w:tc>
        <w:tc>
          <w:tcPr>
            <w:tcW w:w="920" w:type="dxa"/>
            <w:vAlign w:val="bottom"/>
            <w:tcBorders>
              <w:bottom w:val="single" w:sz="8" w:color="auto"/>
            </w:tcBorders>
            <w:shd w:val="clear" w:color="auto" w:fill="2AD2C9"/>
          </w:tcPr>
          <w:p>
            <w:pPr>
              <w:jc w:val="right"/>
              <w:ind w:right="315"/>
              <w:spacing w:after="0"/>
              <w:rPr>
                <w:sz w:val="20"/>
                <w:szCs w:val="20"/>
                <w:color w:val="auto"/>
              </w:rPr>
            </w:pPr>
            <w:r>
              <w:rPr>
                <w:rFonts w:ascii="Arial" w:cs="Arial" w:eastAsia="Arial" w:hAnsi="Arial"/>
                <w:sz w:val="13"/>
                <w:szCs w:val="13"/>
                <w:b w:val="1"/>
                <w:bCs w:val="1"/>
                <w:color w:val="FFFFFF"/>
              </w:rPr>
              <w:t>3Q23</w:t>
            </w:r>
          </w:p>
        </w:tc>
        <w:tc>
          <w:tcPr>
            <w:tcW w:w="820" w:type="dxa"/>
            <w:vAlign w:val="bottom"/>
            <w:tcBorders>
              <w:bottom w:val="single" w:sz="8" w:color="auto"/>
              <w:right w:val="single" w:sz="8" w:color="auto"/>
            </w:tcBorders>
            <w:shd w:val="clear" w:color="auto" w:fill="2AD2C9"/>
          </w:tcPr>
          <w:p>
            <w:pPr>
              <w:jc w:val="right"/>
              <w:ind w:right="235"/>
              <w:spacing w:after="0"/>
              <w:rPr>
                <w:sz w:val="20"/>
                <w:szCs w:val="20"/>
                <w:color w:val="auto"/>
              </w:rPr>
            </w:pPr>
            <w:r>
              <w:rPr>
                <w:rFonts w:ascii="Arial" w:cs="Arial" w:eastAsia="Arial" w:hAnsi="Arial"/>
                <w:sz w:val="13"/>
                <w:szCs w:val="13"/>
                <w:b w:val="1"/>
                <w:bCs w:val="1"/>
                <w:color w:val="FFFFFF"/>
              </w:rPr>
              <w:t>4Q23</w:t>
            </w:r>
          </w:p>
        </w:tc>
        <w:tc>
          <w:tcPr>
            <w:tcW w:w="86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3"/>
                <w:szCs w:val="13"/>
                <w:b w:val="1"/>
                <w:bCs w:val="1"/>
                <w:color w:val="FFFFFF"/>
              </w:rPr>
              <w:t>QoQ</w:t>
            </w:r>
          </w:p>
        </w:tc>
        <w:tc>
          <w:tcPr>
            <w:tcW w:w="9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3"/>
                <w:szCs w:val="13"/>
                <w:b w:val="1"/>
                <w:bCs w:val="1"/>
                <w:color w:val="FFFFFF"/>
              </w:rPr>
              <w:t>YoY</w:t>
            </w:r>
          </w:p>
        </w:tc>
        <w:tc>
          <w:tcPr>
            <w:tcW w:w="1060" w:type="dxa"/>
            <w:vAlign w:val="bottom"/>
            <w:tcBorders>
              <w:bottom w:val="single" w:sz="8" w:color="auto"/>
            </w:tcBorders>
            <w:shd w:val="clear" w:color="auto" w:fill="2AD2C9"/>
          </w:tcPr>
          <w:p>
            <w:pPr>
              <w:jc w:val="right"/>
              <w:ind w:right="355"/>
              <w:spacing w:after="0"/>
              <w:rPr>
                <w:sz w:val="20"/>
                <w:szCs w:val="20"/>
                <w:color w:val="auto"/>
              </w:rPr>
            </w:pPr>
            <w:r>
              <w:rPr>
                <w:rFonts w:ascii="Arial" w:cs="Arial" w:eastAsia="Arial" w:hAnsi="Arial"/>
                <w:sz w:val="13"/>
                <w:szCs w:val="13"/>
                <w:b w:val="1"/>
                <w:bCs w:val="1"/>
                <w:color w:val="FFFFFF"/>
              </w:rPr>
              <w:t>Dec 22</w:t>
            </w:r>
          </w:p>
        </w:tc>
        <w:tc>
          <w:tcPr>
            <w:tcW w:w="720" w:type="dxa"/>
            <w:vAlign w:val="bottom"/>
            <w:tcBorders>
              <w:bottom w:val="single" w:sz="8" w:color="auto"/>
              <w:right w:val="single" w:sz="8" w:color="auto"/>
            </w:tcBorders>
            <w:shd w:val="clear" w:color="auto" w:fill="2AD2C9"/>
          </w:tcPr>
          <w:p>
            <w:pPr>
              <w:jc w:val="right"/>
              <w:ind w:right="195"/>
              <w:spacing w:after="0"/>
              <w:rPr>
                <w:sz w:val="20"/>
                <w:szCs w:val="20"/>
                <w:color w:val="auto"/>
              </w:rPr>
            </w:pPr>
            <w:r>
              <w:rPr>
                <w:rFonts w:ascii="Arial" w:cs="Arial" w:eastAsia="Arial" w:hAnsi="Arial"/>
                <w:sz w:val="13"/>
                <w:szCs w:val="13"/>
                <w:b w:val="1"/>
                <w:bCs w:val="1"/>
                <w:color w:val="FFFFFF"/>
              </w:rPr>
              <w:t>Dec 23</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8"/>
              </w:rPr>
              <w:t>2023 / 2022</w:t>
            </w:r>
          </w:p>
        </w:tc>
        <w:tc>
          <w:tcPr>
            <w:tcW w:w="0" w:type="dxa"/>
            <w:vAlign w:val="bottom"/>
          </w:tcPr>
          <w:p>
            <w:pPr>
              <w:spacing w:after="0"/>
              <w:rPr>
                <w:sz w:val="1"/>
                <w:szCs w:val="1"/>
                <w:color w:val="auto"/>
              </w:rPr>
            </w:pPr>
          </w:p>
        </w:tc>
      </w:tr>
      <w:tr>
        <w:trPr>
          <w:trHeight w:val="131"/>
        </w:trPr>
        <w:tc>
          <w:tcPr>
            <w:tcW w:w="1000" w:type="dxa"/>
            <w:vAlign w:val="bottom"/>
            <w:tcBorders>
              <w:left w:val="single" w:sz="8" w:color="auto"/>
              <w:right w:val="single" w:sz="8" w:color="auto"/>
            </w:tcBorders>
          </w:tcPr>
          <w:p>
            <w:pPr>
              <w:spacing w:after="0"/>
              <w:rPr>
                <w:sz w:val="11"/>
                <w:szCs w:val="11"/>
                <w:color w:val="auto"/>
              </w:rPr>
            </w:pPr>
          </w:p>
        </w:tc>
        <w:tc>
          <w:tcPr>
            <w:tcW w:w="290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3"/>
                <w:szCs w:val="13"/>
                <w:color w:val="auto"/>
              </w:rPr>
              <w:t>Income from Insurance Services</w:t>
            </w:r>
          </w:p>
        </w:tc>
        <w:tc>
          <w:tcPr>
            <w:tcW w:w="940" w:type="dxa"/>
            <w:vAlign w:val="bottom"/>
          </w:tcPr>
          <w:p>
            <w:pPr>
              <w:jc w:val="right"/>
              <w:ind w:right="135"/>
              <w:spacing w:after="0" w:line="131" w:lineRule="exact"/>
              <w:rPr>
                <w:sz w:val="20"/>
                <w:szCs w:val="20"/>
                <w:color w:val="auto"/>
              </w:rPr>
            </w:pPr>
            <w:r>
              <w:rPr>
                <w:rFonts w:ascii="Arial" w:cs="Arial" w:eastAsia="Arial" w:hAnsi="Arial"/>
                <w:sz w:val="13"/>
                <w:szCs w:val="13"/>
                <w:color w:val="auto"/>
              </w:rPr>
              <w:t>929.7</w:t>
            </w:r>
          </w:p>
        </w:tc>
        <w:tc>
          <w:tcPr>
            <w:tcW w:w="920" w:type="dxa"/>
            <w:vAlign w:val="bottom"/>
          </w:tcPr>
          <w:p>
            <w:pPr>
              <w:jc w:val="right"/>
              <w:ind w:right="195"/>
              <w:spacing w:after="0" w:line="131" w:lineRule="exact"/>
              <w:rPr>
                <w:sz w:val="20"/>
                <w:szCs w:val="20"/>
                <w:color w:val="auto"/>
              </w:rPr>
            </w:pPr>
            <w:r>
              <w:rPr>
                <w:rFonts w:ascii="Arial" w:cs="Arial" w:eastAsia="Arial" w:hAnsi="Arial"/>
                <w:sz w:val="13"/>
                <w:szCs w:val="13"/>
                <w:color w:val="auto"/>
              </w:rPr>
              <w:t>923.7</w:t>
            </w:r>
          </w:p>
        </w:tc>
        <w:tc>
          <w:tcPr>
            <w:tcW w:w="820" w:type="dxa"/>
            <w:vAlign w:val="bottom"/>
            <w:tcBorders>
              <w:right w:val="single" w:sz="8" w:color="auto"/>
            </w:tcBorders>
          </w:tcPr>
          <w:p>
            <w:pPr>
              <w:jc w:val="right"/>
              <w:ind w:right="115"/>
              <w:spacing w:after="0" w:line="131" w:lineRule="exact"/>
              <w:rPr>
                <w:sz w:val="20"/>
                <w:szCs w:val="20"/>
                <w:color w:val="auto"/>
              </w:rPr>
            </w:pPr>
            <w:r>
              <w:rPr>
                <w:rFonts w:ascii="Arial" w:cs="Arial" w:eastAsia="Arial" w:hAnsi="Arial"/>
                <w:sz w:val="13"/>
                <w:szCs w:val="13"/>
                <w:color w:val="auto"/>
              </w:rPr>
              <w:t>1,019.6</w:t>
            </w:r>
          </w:p>
        </w:tc>
        <w:tc>
          <w:tcPr>
            <w:tcW w:w="860" w:type="dxa"/>
            <w:vAlign w:val="bottom"/>
          </w:tcPr>
          <w:p>
            <w:pPr>
              <w:jc w:val="center"/>
              <w:spacing w:after="0" w:line="131" w:lineRule="exact"/>
              <w:rPr>
                <w:sz w:val="20"/>
                <w:szCs w:val="20"/>
                <w:color w:val="auto"/>
              </w:rPr>
            </w:pPr>
            <w:r>
              <w:rPr>
                <w:rFonts w:ascii="Arial" w:cs="Arial" w:eastAsia="Arial" w:hAnsi="Arial"/>
                <w:sz w:val="13"/>
                <w:szCs w:val="13"/>
                <w:color w:val="auto"/>
              </w:rPr>
              <w:t>10.4%</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9.7%</w:t>
            </w:r>
          </w:p>
        </w:tc>
        <w:tc>
          <w:tcPr>
            <w:tcW w:w="1060" w:type="dxa"/>
            <w:vAlign w:val="bottom"/>
          </w:tcPr>
          <w:p>
            <w:pPr>
              <w:jc w:val="right"/>
              <w:ind w:right="255"/>
              <w:spacing w:after="0" w:line="131" w:lineRule="exact"/>
              <w:rPr>
                <w:sz w:val="20"/>
                <w:szCs w:val="20"/>
                <w:color w:val="auto"/>
              </w:rPr>
            </w:pPr>
            <w:r>
              <w:rPr>
                <w:rFonts w:ascii="Arial" w:cs="Arial" w:eastAsia="Arial" w:hAnsi="Arial"/>
                <w:sz w:val="13"/>
                <w:szCs w:val="13"/>
                <w:color w:val="auto"/>
              </w:rPr>
              <w:t>3,478.5</w:t>
            </w:r>
          </w:p>
        </w:tc>
        <w:tc>
          <w:tcPr>
            <w:tcW w:w="720" w:type="dxa"/>
            <w:vAlign w:val="bottom"/>
            <w:tcBorders>
              <w:right w:val="single" w:sz="8" w:color="auto"/>
            </w:tcBorders>
          </w:tcPr>
          <w:p>
            <w:pPr>
              <w:jc w:val="right"/>
              <w:ind w:right="95"/>
              <w:spacing w:after="0" w:line="131" w:lineRule="exact"/>
              <w:rPr>
                <w:sz w:val="20"/>
                <w:szCs w:val="20"/>
                <w:color w:val="auto"/>
              </w:rPr>
            </w:pPr>
            <w:r>
              <w:rPr>
                <w:rFonts w:ascii="Arial" w:cs="Arial" w:eastAsia="Arial" w:hAnsi="Arial"/>
                <w:sz w:val="13"/>
                <w:szCs w:val="13"/>
                <w:color w:val="auto"/>
              </w:rPr>
              <w:t>3,843.1</w:t>
            </w:r>
          </w:p>
        </w:tc>
        <w:tc>
          <w:tcPr>
            <w:tcW w:w="11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10.5%</w:t>
            </w: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Total</w:t>
            </w:r>
          </w:p>
        </w:tc>
        <w:tc>
          <w:tcPr>
            <w:tcW w:w="29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3"/>
                <w:szCs w:val="13"/>
                <w:color w:val="auto"/>
              </w:rPr>
              <w:t>Expenses for Insurance Services</w:t>
            </w:r>
          </w:p>
        </w:tc>
        <w:tc>
          <w:tcPr>
            <w:tcW w:w="9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(675.9)</w:t>
            </w:r>
          </w:p>
        </w:tc>
        <w:tc>
          <w:tcPr>
            <w:tcW w:w="92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(505.4)</w:t>
            </w:r>
          </w:p>
        </w:tc>
        <w:tc>
          <w:tcPr>
            <w:tcW w:w="8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(634.0)</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rPr>
              <w:t>25.4%</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-6.2%</w:t>
            </w:r>
          </w:p>
        </w:tc>
        <w:tc>
          <w:tcPr>
            <w:tcW w:w="1060" w:type="dxa"/>
            <w:vAlign w:val="bottom"/>
          </w:tcPr>
          <w:p>
            <w:pPr>
              <w:jc w:val="right"/>
              <w:ind w:right="215"/>
              <w:spacing w:after="0" w:line="146" w:lineRule="exact"/>
              <w:rPr>
                <w:sz w:val="20"/>
                <w:szCs w:val="20"/>
                <w:color w:val="auto"/>
              </w:rPr>
            </w:pPr>
            <w:r>
              <w:rPr>
                <w:rFonts w:ascii="Arial" w:cs="Arial" w:eastAsia="Arial" w:hAnsi="Arial"/>
                <w:sz w:val="13"/>
                <w:szCs w:val="13"/>
                <w:color w:val="auto"/>
              </w:rPr>
              <w:t>(2,216.8)</w:t>
            </w:r>
          </w:p>
        </w:tc>
        <w:tc>
          <w:tcPr>
            <w:tcW w:w="7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(2,235.0)</w:t>
            </w:r>
          </w:p>
        </w:tc>
        <w:tc>
          <w:tcPr>
            <w:tcW w:w="11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98"/>
        </w:trPr>
        <w:tc>
          <w:tcPr>
            <w:tcW w:w="100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restart"/>
          </w:tcPr>
          <w:p>
            <w:pPr>
              <w:ind w:left="80"/>
              <w:spacing w:after="0" w:line="146" w:lineRule="exact"/>
              <w:rPr>
                <w:sz w:val="20"/>
                <w:szCs w:val="20"/>
                <w:color w:val="auto"/>
              </w:rPr>
            </w:pPr>
            <w:r>
              <w:rPr>
                <w:rFonts w:ascii="Arial" w:cs="Arial" w:eastAsia="Arial" w:hAnsi="Arial"/>
                <w:sz w:val="13"/>
                <w:szCs w:val="13"/>
                <w:color w:val="auto"/>
              </w:rPr>
              <w:t>Reinsurance Results</w:t>
            </w:r>
          </w:p>
        </w:tc>
        <w:tc>
          <w:tcPr>
            <w:tcW w:w="940" w:type="dxa"/>
            <w:vAlign w:val="bottom"/>
            <w:vMerge w:val="restart"/>
          </w:tcPr>
          <w:p>
            <w:pPr>
              <w:jc w:val="right"/>
              <w:ind w:right="95"/>
              <w:spacing w:after="0" w:line="146" w:lineRule="exact"/>
              <w:rPr>
                <w:sz w:val="20"/>
                <w:szCs w:val="20"/>
                <w:color w:val="auto"/>
              </w:rPr>
            </w:pPr>
            <w:r>
              <w:rPr>
                <w:rFonts w:ascii="Arial" w:cs="Arial" w:eastAsia="Arial" w:hAnsi="Arial"/>
                <w:sz w:val="13"/>
                <w:szCs w:val="13"/>
                <w:color w:val="auto"/>
              </w:rPr>
              <w:t>(117.0)</w:t>
            </w:r>
          </w:p>
        </w:tc>
        <w:tc>
          <w:tcPr>
            <w:tcW w:w="920" w:type="dxa"/>
            <w:vAlign w:val="bottom"/>
            <w:vMerge w:val="restart"/>
          </w:tcPr>
          <w:p>
            <w:pPr>
              <w:jc w:val="right"/>
              <w:ind w:right="115"/>
              <w:spacing w:after="0" w:line="146" w:lineRule="exact"/>
              <w:rPr>
                <w:sz w:val="20"/>
                <w:szCs w:val="20"/>
                <w:color w:val="auto"/>
              </w:rPr>
            </w:pPr>
            <w:r>
              <w:rPr>
                <w:rFonts w:ascii="Arial" w:cs="Arial" w:eastAsia="Arial" w:hAnsi="Arial"/>
                <w:sz w:val="13"/>
                <w:szCs w:val="13"/>
                <w:color w:val="auto"/>
              </w:rPr>
              <w:t>(87.4)</w:t>
            </w:r>
          </w:p>
        </w:tc>
        <w:tc>
          <w:tcPr>
            <w:tcW w:w="8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(98.4)</w:t>
            </w:r>
          </w:p>
        </w:tc>
        <w:tc>
          <w:tcPr>
            <w:tcW w:w="860" w:type="dxa"/>
            <w:vAlign w:val="bottom"/>
            <w:vMerge w:val="restart"/>
          </w:tcPr>
          <w:p>
            <w:pPr>
              <w:jc w:val="center"/>
              <w:spacing w:after="0" w:line="146" w:lineRule="exact"/>
              <w:rPr>
                <w:sz w:val="20"/>
                <w:szCs w:val="20"/>
                <w:color w:val="auto"/>
              </w:rPr>
            </w:pPr>
            <w:r>
              <w:rPr>
                <w:rFonts w:ascii="Arial" w:cs="Arial" w:eastAsia="Arial" w:hAnsi="Arial"/>
                <w:sz w:val="13"/>
                <w:szCs w:val="13"/>
                <w:color w:val="auto"/>
              </w:rPr>
              <w:t>12.6%</w:t>
            </w:r>
          </w:p>
        </w:tc>
        <w:tc>
          <w:tcPr>
            <w:tcW w:w="9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rPr>
              <w:t>-15.9%</w:t>
            </w:r>
          </w:p>
        </w:tc>
        <w:tc>
          <w:tcPr>
            <w:tcW w:w="1060" w:type="dxa"/>
            <w:vAlign w:val="bottom"/>
            <w:vMerge w:val="restart"/>
          </w:tcPr>
          <w:p>
            <w:pPr>
              <w:jc w:val="right"/>
              <w:ind w:right="215"/>
              <w:spacing w:after="0" w:line="146" w:lineRule="exact"/>
              <w:rPr>
                <w:sz w:val="20"/>
                <w:szCs w:val="20"/>
                <w:color w:val="auto"/>
              </w:rPr>
            </w:pPr>
            <w:r>
              <w:rPr>
                <w:rFonts w:ascii="Arial" w:cs="Arial" w:eastAsia="Arial" w:hAnsi="Arial"/>
                <w:sz w:val="13"/>
                <w:szCs w:val="13"/>
                <w:color w:val="auto"/>
              </w:rPr>
              <w:t>(420.3)</w:t>
            </w:r>
          </w:p>
        </w:tc>
        <w:tc>
          <w:tcPr>
            <w:tcW w:w="7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(397.1)</w:t>
            </w:r>
          </w:p>
        </w:tc>
        <w:tc>
          <w:tcPr>
            <w:tcW w:w="11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w w:val="99"/>
              </w:rPr>
              <w:t>-5.5%</w:t>
            </w:r>
          </w:p>
        </w:tc>
        <w:tc>
          <w:tcPr>
            <w:tcW w:w="0" w:type="dxa"/>
            <w:vAlign w:val="bottom"/>
          </w:tcPr>
          <w:p>
            <w:pPr>
              <w:spacing w:after="0"/>
              <w:rPr>
                <w:sz w:val="1"/>
                <w:szCs w:val="1"/>
                <w:color w:val="auto"/>
              </w:rPr>
            </w:pPr>
          </w:p>
        </w:tc>
      </w:tr>
      <w:tr>
        <w:trPr>
          <w:trHeight w:val="48"/>
        </w:trPr>
        <w:tc>
          <w:tcPr>
            <w:tcW w:w="100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000" w:type="dxa"/>
            <w:vAlign w:val="bottom"/>
            <w:tcBorders>
              <w:left w:val="single" w:sz="8" w:color="auto"/>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Insurance Undewrwriting Result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136.8</w:t>
            </w: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330.9</w:t>
            </w:r>
          </w:p>
        </w:tc>
        <w:tc>
          <w:tcPr>
            <w:tcW w:w="82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287.3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-13.2%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110.0%</w:t>
            </w: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841.4</w:t>
            </w:r>
          </w:p>
        </w:tc>
        <w:tc>
          <w:tcPr>
            <w:tcW w:w="72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1,211.1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43.9%</w:t>
            </w:r>
          </w:p>
        </w:tc>
        <w:tc>
          <w:tcPr>
            <w:tcW w:w="0" w:type="dxa"/>
            <w:vAlign w:val="bottom"/>
          </w:tcPr>
          <w:p>
            <w:pPr>
              <w:spacing w:after="0"/>
              <w:rPr>
                <w:sz w:val="1"/>
                <w:szCs w:val="1"/>
                <w:color w:val="auto"/>
              </w:rPr>
            </w:pPr>
          </w:p>
        </w:tc>
      </w:tr>
      <w:tr>
        <w:trPr>
          <w:trHeight w:val="131"/>
        </w:trPr>
        <w:tc>
          <w:tcPr>
            <w:tcW w:w="1000" w:type="dxa"/>
            <w:vAlign w:val="bottom"/>
            <w:tcBorders>
              <w:left w:val="single" w:sz="8" w:color="auto"/>
              <w:right w:val="single" w:sz="8" w:color="auto"/>
            </w:tcBorders>
          </w:tcPr>
          <w:p>
            <w:pPr>
              <w:spacing w:after="0"/>
              <w:rPr>
                <w:sz w:val="11"/>
                <w:szCs w:val="11"/>
                <w:color w:val="auto"/>
              </w:rPr>
            </w:pPr>
          </w:p>
        </w:tc>
        <w:tc>
          <w:tcPr>
            <w:tcW w:w="290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3"/>
                <w:szCs w:val="13"/>
                <w:color w:val="auto"/>
              </w:rPr>
              <w:t>Income from Insurance Services</w:t>
            </w:r>
          </w:p>
        </w:tc>
        <w:tc>
          <w:tcPr>
            <w:tcW w:w="940" w:type="dxa"/>
            <w:vAlign w:val="bottom"/>
          </w:tcPr>
          <w:p>
            <w:pPr>
              <w:jc w:val="right"/>
              <w:ind w:right="135"/>
              <w:spacing w:after="0" w:line="131" w:lineRule="exact"/>
              <w:rPr>
                <w:sz w:val="20"/>
                <w:szCs w:val="20"/>
                <w:color w:val="auto"/>
              </w:rPr>
            </w:pPr>
            <w:r>
              <w:rPr>
                <w:rFonts w:ascii="Arial" w:cs="Arial" w:eastAsia="Arial" w:hAnsi="Arial"/>
                <w:sz w:val="13"/>
                <w:szCs w:val="13"/>
                <w:color w:val="auto"/>
              </w:rPr>
              <w:t>437.7</w:t>
            </w:r>
          </w:p>
        </w:tc>
        <w:tc>
          <w:tcPr>
            <w:tcW w:w="920" w:type="dxa"/>
            <w:vAlign w:val="bottom"/>
          </w:tcPr>
          <w:p>
            <w:pPr>
              <w:jc w:val="right"/>
              <w:ind w:right="195"/>
              <w:spacing w:after="0" w:line="131" w:lineRule="exact"/>
              <w:rPr>
                <w:sz w:val="20"/>
                <w:szCs w:val="20"/>
                <w:color w:val="auto"/>
              </w:rPr>
            </w:pPr>
            <w:r>
              <w:rPr>
                <w:rFonts w:ascii="Arial" w:cs="Arial" w:eastAsia="Arial" w:hAnsi="Arial"/>
                <w:sz w:val="13"/>
                <w:szCs w:val="13"/>
                <w:color w:val="auto"/>
              </w:rPr>
              <w:t>404.6</w:t>
            </w:r>
          </w:p>
        </w:tc>
        <w:tc>
          <w:tcPr>
            <w:tcW w:w="820" w:type="dxa"/>
            <w:vAlign w:val="bottom"/>
            <w:tcBorders>
              <w:right w:val="single" w:sz="8" w:color="auto"/>
            </w:tcBorders>
          </w:tcPr>
          <w:p>
            <w:pPr>
              <w:jc w:val="right"/>
              <w:ind w:right="115"/>
              <w:spacing w:after="0" w:line="131" w:lineRule="exact"/>
              <w:rPr>
                <w:sz w:val="20"/>
                <w:szCs w:val="20"/>
                <w:color w:val="auto"/>
              </w:rPr>
            </w:pPr>
            <w:r>
              <w:rPr>
                <w:rFonts w:ascii="Arial" w:cs="Arial" w:eastAsia="Arial" w:hAnsi="Arial"/>
                <w:sz w:val="13"/>
                <w:szCs w:val="13"/>
                <w:color w:val="auto"/>
              </w:rPr>
              <w:t>449.8</w:t>
            </w:r>
          </w:p>
        </w:tc>
        <w:tc>
          <w:tcPr>
            <w:tcW w:w="8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11.2%</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2.8%</w:t>
            </w:r>
          </w:p>
        </w:tc>
        <w:tc>
          <w:tcPr>
            <w:tcW w:w="1060" w:type="dxa"/>
            <w:vAlign w:val="bottom"/>
          </w:tcPr>
          <w:p>
            <w:pPr>
              <w:jc w:val="right"/>
              <w:ind w:right="255"/>
              <w:spacing w:after="0" w:line="131" w:lineRule="exact"/>
              <w:rPr>
                <w:sz w:val="20"/>
                <w:szCs w:val="20"/>
                <w:color w:val="auto"/>
              </w:rPr>
            </w:pPr>
            <w:r>
              <w:rPr>
                <w:rFonts w:ascii="Arial" w:cs="Arial" w:eastAsia="Arial" w:hAnsi="Arial"/>
                <w:sz w:val="13"/>
                <w:szCs w:val="13"/>
                <w:color w:val="auto"/>
              </w:rPr>
              <w:t>1,660.0</w:t>
            </w:r>
          </w:p>
        </w:tc>
        <w:tc>
          <w:tcPr>
            <w:tcW w:w="720" w:type="dxa"/>
            <w:vAlign w:val="bottom"/>
            <w:tcBorders>
              <w:right w:val="single" w:sz="8" w:color="auto"/>
            </w:tcBorders>
          </w:tcPr>
          <w:p>
            <w:pPr>
              <w:jc w:val="right"/>
              <w:ind w:right="95"/>
              <w:spacing w:after="0" w:line="131" w:lineRule="exact"/>
              <w:rPr>
                <w:sz w:val="20"/>
                <w:szCs w:val="20"/>
                <w:color w:val="auto"/>
              </w:rPr>
            </w:pPr>
            <w:r>
              <w:rPr>
                <w:rFonts w:ascii="Arial" w:cs="Arial" w:eastAsia="Arial" w:hAnsi="Arial"/>
                <w:sz w:val="13"/>
                <w:szCs w:val="13"/>
                <w:color w:val="auto"/>
              </w:rPr>
              <w:t>1,694.7</w:t>
            </w:r>
          </w:p>
        </w:tc>
        <w:tc>
          <w:tcPr>
            <w:tcW w:w="11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P&amp;C</w:t>
            </w:r>
          </w:p>
        </w:tc>
        <w:tc>
          <w:tcPr>
            <w:tcW w:w="29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3"/>
                <w:szCs w:val="13"/>
                <w:color w:val="auto"/>
              </w:rPr>
              <w:t>Expenses for Insurance Services</w:t>
            </w:r>
          </w:p>
        </w:tc>
        <w:tc>
          <w:tcPr>
            <w:tcW w:w="9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(282.7)</w:t>
            </w:r>
          </w:p>
        </w:tc>
        <w:tc>
          <w:tcPr>
            <w:tcW w:w="92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(256.2)</w:t>
            </w:r>
          </w:p>
        </w:tc>
        <w:tc>
          <w:tcPr>
            <w:tcW w:w="8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(323.7)</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rPr>
              <w:t>26.4%</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14.5%</w:t>
            </w:r>
          </w:p>
        </w:tc>
        <w:tc>
          <w:tcPr>
            <w:tcW w:w="1060" w:type="dxa"/>
            <w:vAlign w:val="bottom"/>
          </w:tcPr>
          <w:p>
            <w:pPr>
              <w:jc w:val="right"/>
              <w:ind w:right="215"/>
              <w:spacing w:after="0" w:line="146" w:lineRule="exact"/>
              <w:rPr>
                <w:sz w:val="20"/>
                <w:szCs w:val="20"/>
                <w:color w:val="auto"/>
              </w:rPr>
            </w:pPr>
            <w:r>
              <w:rPr>
                <w:rFonts w:ascii="Arial" w:cs="Arial" w:eastAsia="Arial" w:hAnsi="Arial"/>
                <w:sz w:val="13"/>
                <w:szCs w:val="13"/>
                <w:color w:val="auto"/>
              </w:rPr>
              <w:t>(981.2)</w:t>
            </w:r>
          </w:p>
        </w:tc>
        <w:tc>
          <w:tcPr>
            <w:tcW w:w="7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(1,138.5)</w:t>
            </w:r>
          </w:p>
        </w:tc>
        <w:tc>
          <w:tcPr>
            <w:tcW w:w="11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16.0%</w:t>
            </w:r>
          </w:p>
        </w:tc>
        <w:tc>
          <w:tcPr>
            <w:tcW w:w="0" w:type="dxa"/>
            <w:vAlign w:val="bottom"/>
          </w:tcPr>
          <w:p>
            <w:pPr>
              <w:spacing w:after="0"/>
              <w:rPr>
                <w:sz w:val="1"/>
                <w:szCs w:val="1"/>
                <w:color w:val="auto"/>
              </w:rPr>
            </w:pPr>
          </w:p>
        </w:tc>
      </w:tr>
      <w:tr>
        <w:trPr>
          <w:trHeight w:val="98"/>
        </w:trPr>
        <w:tc>
          <w:tcPr>
            <w:tcW w:w="100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restart"/>
          </w:tcPr>
          <w:p>
            <w:pPr>
              <w:ind w:left="80"/>
              <w:spacing w:after="0" w:line="146" w:lineRule="exact"/>
              <w:rPr>
                <w:sz w:val="20"/>
                <w:szCs w:val="20"/>
                <w:color w:val="auto"/>
              </w:rPr>
            </w:pPr>
            <w:r>
              <w:rPr>
                <w:rFonts w:ascii="Arial" w:cs="Arial" w:eastAsia="Arial" w:hAnsi="Arial"/>
                <w:sz w:val="13"/>
                <w:szCs w:val="13"/>
                <w:color w:val="auto"/>
              </w:rPr>
              <w:t>Reinsurance Results</w:t>
            </w:r>
          </w:p>
        </w:tc>
        <w:tc>
          <w:tcPr>
            <w:tcW w:w="940" w:type="dxa"/>
            <w:vAlign w:val="bottom"/>
            <w:vMerge w:val="restart"/>
          </w:tcPr>
          <w:p>
            <w:pPr>
              <w:jc w:val="right"/>
              <w:ind w:right="95"/>
              <w:spacing w:after="0" w:line="146" w:lineRule="exact"/>
              <w:rPr>
                <w:sz w:val="20"/>
                <w:szCs w:val="20"/>
                <w:color w:val="auto"/>
              </w:rPr>
            </w:pPr>
            <w:r>
              <w:rPr>
                <w:rFonts w:ascii="Arial" w:cs="Arial" w:eastAsia="Arial" w:hAnsi="Arial"/>
                <w:sz w:val="13"/>
                <w:szCs w:val="13"/>
                <w:color w:val="auto"/>
              </w:rPr>
              <w:t>(92.7)</w:t>
            </w:r>
          </w:p>
        </w:tc>
        <w:tc>
          <w:tcPr>
            <w:tcW w:w="920" w:type="dxa"/>
            <w:vAlign w:val="bottom"/>
            <w:vMerge w:val="restart"/>
          </w:tcPr>
          <w:p>
            <w:pPr>
              <w:jc w:val="right"/>
              <w:ind w:right="115"/>
              <w:spacing w:after="0" w:line="146" w:lineRule="exact"/>
              <w:rPr>
                <w:sz w:val="20"/>
                <w:szCs w:val="20"/>
                <w:color w:val="auto"/>
              </w:rPr>
            </w:pPr>
            <w:r>
              <w:rPr>
                <w:rFonts w:ascii="Arial" w:cs="Arial" w:eastAsia="Arial" w:hAnsi="Arial"/>
                <w:sz w:val="13"/>
                <w:szCs w:val="13"/>
                <w:color w:val="auto"/>
              </w:rPr>
              <w:t>(64.3)</w:t>
            </w:r>
          </w:p>
        </w:tc>
        <w:tc>
          <w:tcPr>
            <w:tcW w:w="8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(76.8)</w:t>
            </w:r>
          </w:p>
        </w:tc>
        <w:tc>
          <w:tcPr>
            <w:tcW w:w="860" w:type="dxa"/>
            <w:vAlign w:val="bottom"/>
            <w:vMerge w:val="restart"/>
          </w:tcPr>
          <w:p>
            <w:pPr>
              <w:jc w:val="center"/>
              <w:spacing w:after="0" w:line="146" w:lineRule="exact"/>
              <w:rPr>
                <w:sz w:val="20"/>
                <w:szCs w:val="20"/>
                <w:color w:val="auto"/>
              </w:rPr>
            </w:pPr>
            <w:r>
              <w:rPr>
                <w:rFonts w:ascii="Arial" w:cs="Arial" w:eastAsia="Arial" w:hAnsi="Arial"/>
                <w:sz w:val="13"/>
                <w:szCs w:val="13"/>
                <w:color w:val="auto"/>
              </w:rPr>
              <w:t>19.4%</w:t>
            </w:r>
          </w:p>
        </w:tc>
        <w:tc>
          <w:tcPr>
            <w:tcW w:w="9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rPr>
              <w:t>-17.2%</w:t>
            </w:r>
          </w:p>
        </w:tc>
        <w:tc>
          <w:tcPr>
            <w:tcW w:w="1060" w:type="dxa"/>
            <w:vAlign w:val="bottom"/>
            <w:vMerge w:val="restart"/>
          </w:tcPr>
          <w:p>
            <w:pPr>
              <w:jc w:val="right"/>
              <w:ind w:right="215"/>
              <w:spacing w:after="0" w:line="146" w:lineRule="exact"/>
              <w:rPr>
                <w:sz w:val="20"/>
                <w:szCs w:val="20"/>
                <w:color w:val="auto"/>
              </w:rPr>
            </w:pPr>
            <w:r>
              <w:rPr>
                <w:rFonts w:ascii="Arial" w:cs="Arial" w:eastAsia="Arial" w:hAnsi="Arial"/>
                <w:sz w:val="13"/>
                <w:szCs w:val="13"/>
                <w:color w:val="auto"/>
              </w:rPr>
              <w:t>(389.0)</w:t>
            </w:r>
          </w:p>
        </w:tc>
        <w:tc>
          <w:tcPr>
            <w:tcW w:w="7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(293.1)</w:t>
            </w:r>
          </w:p>
        </w:tc>
        <w:tc>
          <w:tcPr>
            <w:tcW w:w="11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b w:val="1"/>
                <w:bCs w:val="1"/>
                <w:color w:val="auto"/>
                <w:w w:val="97"/>
              </w:rPr>
              <w:t>-24.7%</w:t>
            </w:r>
          </w:p>
        </w:tc>
        <w:tc>
          <w:tcPr>
            <w:tcW w:w="0" w:type="dxa"/>
            <w:vAlign w:val="bottom"/>
          </w:tcPr>
          <w:p>
            <w:pPr>
              <w:spacing w:after="0"/>
              <w:rPr>
                <w:sz w:val="1"/>
                <w:szCs w:val="1"/>
                <w:color w:val="auto"/>
              </w:rPr>
            </w:pPr>
          </w:p>
        </w:tc>
      </w:tr>
      <w:tr>
        <w:trPr>
          <w:trHeight w:val="48"/>
        </w:trPr>
        <w:tc>
          <w:tcPr>
            <w:tcW w:w="100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000" w:type="dxa"/>
            <w:vAlign w:val="bottom"/>
            <w:tcBorders>
              <w:left w:val="single" w:sz="8" w:color="auto"/>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Insurance Undewrwriting Result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62.4</w:t>
            </w: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84.2</w:t>
            </w:r>
          </w:p>
        </w:tc>
        <w:tc>
          <w:tcPr>
            <w:tcW w:w="82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49.3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-41.4%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-20.9%</w:t>
            </w: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289.8</w:t>
            </w:r>
          </w:p>
        </w:tc>
        <w:tc>
          <w:tcPr>
            <w:tcW w:w="72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263.1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-9.2%</w:t>
            </w:r>
          </w:p>
        </w:tc>
        <w:tc>
          <w:tcPr>
            <w:tcW w:w="0" w:type="dxa"/>
            <w:vAlign w:val="bottom"/>
          </w:tcPr>
          <w:p>
            <w:pPr>
              <w:spacing w:after="0"/>
              <w:rPr>
                <w:sz w:val="1"/>
                <w:szCs w:val="1"/>
                <w:color w:val="auto"/>
              </w:rPr>
            </w:pPr>
          </w:p>
        </w:tc>
      </w:tr>
      <w:tr>
        <w:trPr>
          <w:trHeight w:val="131"/>
        </w:trPr>
        <w:tc>
          <w:tcPr>
            <w:tcW w:w="1000" w:type="dxa"/>
            <w:vAlign w:val="bottom"/>
            <w:tcBorders>
              <w:left w:val="single" w:sz="8" w:color="auto"/>
              <w:right w:val="single" w:sz="8" w:color="auto"/>
            </w:tcBorders>
          </w:tcPr>
          <w:p>
            <w:pPr>
              <w:spacing w:after="0"/>
              <w:rPr>
                <w:sz w:val="11"/>
                <w:szCs w:val="11"/>
                <w:color w:val="auto"/>
              </w:rPr>
            </w:pPr>
          </w:p>
        </w:tc>
        <w:tc>
          <w:tcPr>
            <w:tcW w:w="290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3"/>
                <w:szCs w:val="13"/>
                <w:color w:val="auto"/>
              </w:rPr>
              <w:t>Income from Insurance Services</w:t>
            </w:r>
          </w:p>
        </w:tc>
        <w:tc>
          <w:tcPr>
            <w:tcW w:w="940" w:type="dxa"/>
            <w:vAlign w:val="bottom"/>
          </w:tcPr>
          <w:p>
            <w:pPr>
              <w:jc w:val="right"/>
              <w:ind w:right="135"/>
              <w:spacing w:after="0" w:line="131" w:lineRule="exact"/>
              <w:rPr>
                <w:sz w:val="20"/>
                <w:szCs w:val="20"/>
                <w:color w:val="auto"/>
              </w:rPr>
            </w:pPr>
            <w:r>
              <w:rPr>
                <w:rFonts w:ascii="Arial" w:cs="Arial" w:eastAsia="Arial" w:hAnsi="Arial"/>
                <w:sz w:val="13"/>
                <w:szCs w:val="13"/>
                <w:color w:val="auto"/>
              </w:rPr>
              <w:t>453.4</w:t>
            </w:r>
          </w:p>
        </w:tc>
        <w:tc>
          <w:tcPr>
            <w:tcW w:w="920" w:type="dxa"/>
            <w:vAlign w:val="bottom"/>
          </w:tcPr>
          <w:p>
            <w:pPr>
              <w:jc w:val="right"/>
              <w:ind w:right="195"/>
              <w:spacing w:after="0" w:line="131" w:lineRule="exact"/>
              <w:rPr>
                <w:sz w:val="20"/>
                <w:szCs w:val="20"/>
                <w:color w:val="auto"/>
              </w:rPr>
            </w:pPr>
            <w:r>
              <w:rPr>
                <w:rFonts w:ascii="Arial" w:cs="Arial" w:eastAsia="Arial" w:hAnsi="Arial"/>
                <w:sz w:val="13"/>
                <w:szCs w:val="13"/>
                <w:color w:val="auto"/>
              </w:rPr>
              <w:t>487.1</w:t>
            </w:r>
          </w:p>
        </w:tc>
        <w:tc>
          <w:tcPr>
            <w:tcW w:w="820" w:type="dxa"/>
            <w:vAlign w:val="bottom"/>
            <w:tcBorders>
              <w:right w:val="single" w:sz="8" w:color="auto"/>
            </w:tcBorders>
          </w:tcPr>
          <w:p>
            <w:pPr>
              <w:jc w:val="right"/>
              <w:ind w:right="115"/>
              <w:spacing w:after="0" w:line="131" w:lineRule="exact"/>
              <w:rPr>
                <w:sz w:val="20"/>
                <w:szCs w:val="20"/>
                <w:color w:val="auto"/>
              </w:rPr>
            </w:pPr>
            <w:r>
              <w:rPr>
                <w:rFonts w:ascii="Arial" w:cs="Arial" w:eastAsia="Arial" w:hAnsi="Arial"/>
                <w:sz w:val="13"/>
                <w:szCs w:val="13"/>
                <w:color w:val="auto"/>
              </w:rPr>
              <w:t>534.8</w:t>
            </w:r>
          </w:p>
        </w:tc>
        <w:tc>
          <w:tcPr>
            <w:tcW w:w="860" w:type="dxa"/>
            <w:vAlign w:val="bottom"/>
          </w:tcPr>
          <w:p>
            <w:pPr>
              <w:jc w:val="center"/>
              <w:spacing w:after="0" w:line="131" w:lineRule="exact"/>
              <w:rPr>
                <w:sz w:val="20"/>
                <w:szCs w:val="20"/>
                <w:color w:val="auto"/>
              </w:rPr>
            </w:pPr>
            <w:r>
              <w:rPr>
                <w:rFonts w:ascii="Arial" w:cs="Arial" w:eastAsia="Arial" w:hAnsi="Arial"/>
                <w:sz w:val="13"/>
                <w:szCs w:val="13"/>
                <w:color w:val="auto"/>
              </w:rPr>
              <w:t>9.8%</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18.0%</w:t>
            </w:r>
          </w:p>
        </w:tc>
        <w:tc>
          <w:tcPr>
            <w:tcW w:w="1060" w:type="dxa"/>
            <w:vAlign w:val="bottom"/>
          </w:tcPr>
          <w:p>
            <w:pPr>
              <w:jc w:val="right"/>
              <w:ind w:right="255"/>
              <w:spacing w:after="0" w:line="131" w:lineRule="exact"/>
              <w:rPr>
                <w:sz w:val="20"/>
                <w:szCs w:val="20"/>
                <w:color w:val="auto"/>
              </w:rPr>
            </w:pPr>
            <w:r>
              <w:rPr>
                <w:rFonts w:ascii="Arial" w:cs="Arial" w:eastAsia="Arial" w:hAnsi="Arial"/>
                <w:sz w:val="13"/>
                <w:szCs w:val="13"/>
                <w:color w:val="auto"/>
              </w:rPr>
              <w:t>1,738.3</w:t>
            </w:r>
          </w:p>
        </w:tc>
        <w:tc>
          <w:tcPr>
            <w:tcW w:w="720" w:type="dxa"/>
            <w:vAlign w:val="bottom"/>
            <w:tcBorders>
              <w:right w:val="single" w:sz="8" w:color="auto"/>
            </w:tcBorders>
          </w:tcPr>
          <w:p>
            <w:pPr>
              <w:jc w:val="right"/>
              <w:ind w:right="95"/>
              <w:spacing w:after="0" w:line="131" w:lineRule="exact"/>
              <w:rPr>
                <w:sz w:val="20"/>
                <w:szCs w:val="20"/>
                <w:color w:val="auto"/>
              </w:rPr>
            </w:pPr>
            <w:r>
              <w:rPr>
                <w:rFonts w:ascii="Arial" w:cs="Arial" w:eastAsia="Arial" w:hAnsi="Arial"/>
                <w:sz w:val="13"/>
                <w:szCs w:val="13"/>
                <w:color w:val="auto"/>
              </w:rPr>
              <w:t>2,033.1</w:t>
            </w:r>
          </w:p>
        </w:tc>
        <w:tc>
          <w:tcPr>
            <w:tcW w:w="11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17.0%</w:t>
            </w: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Life</w:t>
            </w:r>
          </w:p>
        </w:tc>
        <w:tc>
          <w:tcPr>
            <w:tcW w:w="29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3"/>
                <w:szCs w:val="13"/>
                <w:color w:val="auto"/>
              </w:rPr>
              <w:t>Expenses for Insurance Services</w:t>
            </w:r>
          </w:p>
        </w:tc>
        <w:tc>
          <w:tcPr>
            <w:tcW w:w="9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(372.1)</w:t>
            </w:r>
          </w:p>
        </w:tc>
        <w:tc>
          <w:tcPr>
            <w:tcW w:w="92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(243.3)</w:t>
            </w:r>
          </w:p>
        </w:tc>
        <w:tc>
          <w:tcPr>
            <w:tcW w:w="8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(305.1)</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rPr>
              <w:t>25.4%</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-18.0%</w:t>
            </w:r>
          </w:p>
        </w:tc>
        <w:tc>
          <w:tcPr>
            <w:tcW w:w="1060" w:type="dxa"/>
            <w:vAlign w:val="bottom"/>
          </w:tcPr>
          <w:p>
            <w:pPr>
              <w:jc w:val="right"/>
              <w:ind w:right="215"/>
              <w:spacing w:after="0" w:line="146" w:lineRule="exact"/>
              <w:rPr>
                <w:sz w:val="20"/>
                <w:szCs w:val="20"/>
                <w:color w:val="auto"/>
              </w:rPr>
            </w:pPr>
            <w:r>
              <w:rPr>
                <w:rFonts w:ascii="Arial" w:cs="Arial" w:eastAsia="Arial" w:hAnsi="Arial"/>
                <w:sz w:val="13"/>
                <w:szCs w:val="13"/>
                <w:color w:val="auto"/>
              </w:rPr>
              <w:t>(1,212.0)</w:t>
            </w:r>
          </w:p>
        </w:tc>
        <w:tc>
          <w:tcPr>
            <w:tcW w:w="7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(1,076.3)</w:t>
            </w:r>
          </w:p>
        </w:tc>
        <w:tc>
          <w:tcPr>
            <w:tcW w:w="11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-11.2%</w:t>
            </w:r>
          </w:p>
        </w:tc>
        <w:tc>
          <w:tcPr>
            <w:tcW w:w="0" w:type="dxa"/>
            <w:vAlign w:val="bottom"/>
          </w:tcPr>
          <w:p>
            <w:pPr>
              <w:spacing w:after="0"/>
              <w:rPr>
                <w:sz w:val="1"/>
                <w:szCs w:val="1"/>
                <w:color w:val="auto"/>
              </w:rPr>
            </w:pPr>
          </w:p>
        </w:tc>
      </w:tr>
      <w:tr>
        <w:trPr>
          <w:trHeight w:val="98"/>
        </w:trPr>
        <w:tc>
          <w:tcPr>
            <w:tcW w:w="100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restart"/>
          </w:tcPr>
          <w:p>
            <w:pPr>
              <w:ind w:left="80"/>
              <w:spacing w:after="0" w:line="146" w:lineRule="exact"/>
              <w:rPr>
                <w:sz w:val="20"/>
                <w:szCs w:val="20"/>
                <w:color w:val="auto"/>
              </w:rPr>
            </w:pPr>
            <w:r>
              <w:rPr>
                <w:rFonts w:ascii="Arial" w:cs="Arial" w:eastAsia="Arial" w:hAnsi="Arial"/>
                <w:sz w:val="13"/>
                <w:szCs w:val="13"/>
                <w:color w:val="auto"/>
              </w:rPr>
              <w:t>Reinsurance Results</w:t>
            </w:r>
          </w:p>
        </w:tc>
        <w:tc>
          <w:tcPr>
            <w:tcW w:w="940" w:type="dxa"/>
            <w:vAlign w:val="bottom"/>
            <w:vMerge w:val="restart"/>
          </w:tcPr>
          <w:p>
            <w:pPr>
              <w:jc w:val="right"/>
              <w:ind w:right="95"/>
              <w:spacing w:after="0" w:line="146" w:lineRule="exact"/>
              <w:rPr>
                <w:sz w:val="20"/>
                <w:szCs w:val="20"/>
                <w:color w:val="auto"/>
              </w:rPr>
            </w:pPr>
            <w:r>
              <w:rPr>
                <w:rFonts w:ascii="Arial" w:cs="Arial" w:eastAsia="Arial" w:hAnsi="Arial"/>
                <w:sz w:val="13"/>
                <w:szCs w:val="13"/>
                <w:color w:val="auto"/>
              </w:rPr>
              <w:t>(20.2)</w:t>
            </w:r>
          </w:p>
        </w:tc>
        <w:tc>
          <w:tcPr>
            <w:tcW w:w="920" w:type="dxa"/>
            <w:vAlign w:val="bottom"/>
            <w:vMerge w:val="restart"/>
          </w:tcPr>
          <w:p>
            <w:pPr>
              <w:jc w:val="right"/>
              <w:ind w:right="115"/>
              <w:spacing w:after="0" w:line="146" w:lineRule="exact"/>
              <w:rPr>
                <w:sz w:val="20"/>
                <w:szCs w:val="20"/>
                <w:color w:val="auto"/>
              </w:rPr>
            </w:pPr>
            <w:r>
              <w:rPr>
                <w:rFonts w:ascii="Arial" w:cs="Arial" w:eastAsia="Arial" w:hAnsi="Arial"/>
                <w:sz w:val="13"/>
                <w:szCs w:val="13"/>
                <w:color w:val="auto"/>
              </w:rPr>
              <w:t>(17.3)</w:t>
            </w:r>
          </w:p>
        </w:tc>
        <w:tc>
          <w:tcPr>
            <w:tcW w:w="8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(14.5)</w:t>
            </w:r>
          </w:p>
        </w:tc>
        <w:tc>
          <w:tcPr>
            <w:tcW w:w="860" w:type="dxa"/>
            <w:vAlign w:val="bottom"/>
            <w:vMerge w:val="restart"/>
          </w:tcPr>
          <w:p>
            <w:pPr>
              <w:jc w:val="center"/>
              <w:spacing w:after="0" w:line="146" w:lineRule="exact"/>
              <w:rPr>
                <w:sz w:val="20"/>
                <w:szCs w:val="20"/>
                <w:color w:val="auto"/>
              </w:rPr>
            </w:pPr>
            <w:r>
              <w:rPr>
                <w:rFonts w:ascii="Arial" w:cs="Arial" w:eastAsia="Arial" w:hAnsi="Arial"/>
                <w:sz w:val="13"/>
                <w:szCs w:val="13"/>
                <w:color w:val="auto"/>
              </w:rPr>
              <w:t>-16.2%</w:t>
            </w:r>
          </w:p>
        </w:tc>
        <w:tc>
          <w:tcPr>
            <w:tcW w:w="9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rPr>
              <w:t>-28.1%</w:t>
            </w:r>
          </w:p>
        </w:tc>
        <w:tc>
          <w:tcPr>
            <w:tcW w:w="1060" w:type="dxa"/>
            <w:vAlign w:val="bottom"/>
            <w:vMerge w:val="restart"/>
          </w:tcPr>
          <w:p>
            <w:pPr>
              <w:jc w:val="right"/>
              <w:ind w:right="215"/>
              <w:spacing w:after="0" w:line="146" w:lineRule="exact"/>
              <w:rPr>
                <w:sz w:val="20"/>
                <w:szCs w:val="20"/>
                <w:color w:val="auto"/>
              </w:rPr>
            </w:pPr>
            <w:r>
              <w:rPr>
                <w:rFonts w:ascii="Arial" w:cs="Arial" w:eastAsia="Arial" w:hAnsi="Arial"/>
                <w:sz w:val="13"/>
                <w:szCs w:val="13"/>
                <w:color w:val="auto"/>
              </w:rPr>
              <w:t>(27.1)</w:t>
            </w:r>
          </w:p>
        </w:tc>
        <w:tc>
          <w:tcPr>
            <w:tcW w:w="7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(83.0)</w:t>
            </w:r>
          </w:p>
        </w:tc>
        <w:tc>
          <w:tcPr>
            <w:tcW w:w="11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w w:val="99"/>
              </w:rPr>
              <w:t>206.6%</w:t>
            </w:r>
          </w:p>
        </w:tc>
        <w:tc>
          <w:tcPr>
            <w:tcW w:w="0" w:type="dxa"/>
            <w:vAlign w:val="bottom"/>
          </w:tcPr>
          <w:p>
            <w:pPr>
              <w:spacing w:after="0"/>
              <w:rPr>
                <w:sz w:val="1"/>
                <w:szCs w:val="1"/>
                <w:color w:val="auto"/>
              </w:rPr>
            </w:pPr>
          </w:p>
        </w:tc>
      </w:tr>
      <w:tr>
        <w:trPr>
          <w:trHeight w:val="48"/>
        </w:trPr>
        <w:tc>
          <w:tcPr>
            <w:tcW w:w="100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000" w:type="dxa"/>
            <w:vAlign w:val="bottom"/>
            <w:tcBorders>
              <w:left w:val="single" w:sz="8" w:color="auto"/>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Insurance Undewrwriting Result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61.1</w:t>
            </w: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226.6</w:t>
            </w:r>
          </w:p>
        </w:tc>
        <w:tc>
          <w:tcPr>
            <w:tcW w:w="82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215.2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-5.0%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252.3%</w:t>
            </w: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499.3</w:t>
            </w:r>
          </w:p>
        </w:tc>
        <w:tc>
          <w:tcPr>
            <w:tcW w:w="72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873.9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75.0%</w:t>
            </w:r>
          </w:p>
        </w:tc>
        <w:tc>
          <w:tcPr>
            <w:tcW w:w="0" w:type="dxa"/>
            <w:vAlign w:val="bottom"/>
          </w:tcPr>
          <w:p>
            <w:pPr>
              <w:spacing w:after="0"/>
              <w:rPr>
                <w:sz w:val="1"/>
                <w:szCs w:val="1"/>
                <w:color w:val="auto"/>
              </w:rPr>
            </w:pPr>
          </w:p>
        </w:tc>
      </w:tr>
      <w:tr>
        <w:trPr>
          <w:trHeight w:val="131"/>
        </w:trPr>
        <w:tc>
          <w:tcPr>
            <w:tcW w:w="1000" w:type="dxa"/>
            <w:vAlign w:val="bottom"/>
            <w:tcBorders>
              <w:left w:val="single" w:sz="8" w:color="auto"/>
              <w:right w:val="single" w:sz="8" w:color="auto"/>
            </w:tcBorders>
          </w:tcPr>
          <w:p>
            <w:pPr>
              <w:spacing w:after="0"/>
              <w:rPr>
                <w:sz w:val="11"/>
                <w:szCs w:val="11"/>
                <w:color w:val="auto"/>
              </w:rPr>
            </w:pPr>
          </w:p>
        </w:tc>
        <w:tc>
          <w:tcPr>
            <w:tcW w:w="290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3"/>
                <w:szCs w:val="13"/>
                <w:color w:val="auto"/>
              </w:rPr>
              <w:t>Income from Insurance Services</w:t>
            </w:r>
          </w:p>
        </w:tc>
        <w:tc>
          <w:tcPr>
            <w:tcW w:w="940" w:type="dxa"/>
            <w:vAlign w:val="bottom"/>
          </w:tcPr>
          <w:p>
            <w:pPr>
              <w:jc w:val="right"/>
              <w:ind w:right="135"/>
              <w:spacing w:after="0" w:line="131" w:lineRule="exact"/>
              <w:rPr>
                <w:sz w:val="20"/>
                <w:szCs w:val="20"/>
                <w:color w:val="auto"/>
              </w:rPr>
            </w:pPr>
            <w:r>
              <w:rPr>
                <w:rFonts w:ascii="Arial" w:cs="Arial" w:eastAsia="Arial" w:hAnsi="Arial"/>
                <w:sz w:val="13"/>
                <w:szCs w:val="13"/>
                <w:color w:val="auto"/>
              </w:rPr>
              <w:t>23.5</w:t>
            </w:r>
          </w:p>
        </w:tc>
        <w:tc>
          <w:tcPr>
            <w:tcW w:w="920" w:type="dxa"/>
            <w:vAlign w:val="bottom"/>
          </w:tcPr>
          <w:p>
            <w:pPr>
              <w:jc w:val="right"/>
              <w:ind w:right="195"/>
              <w:spacing w:after="0" w:line="131" w:lineRule="exact"/>
              <w:rPr>
                <w:sz w:val="20"/>
                <w:szCs w:val="20"/>
                <w:color w:val="auto"/>
              </w:rPr>
            </w:pPr>
            <w:r>
              <w:rPr>
                <w:rFonts w:ascii="Arial" w:cs="Arial" w:eastAsia="Arial" w:hAnsi="Arial"/>
                <w:sz w:val="13"/>
                <w:szCs w:val="13"/>
                <w:color w:val="auto"/>
              </w:rPr>
              <w:t>33.9</w:t>
            </w:r>
          </w:p>
        </w:tc>
        <w:tc>
          <w:tcPr>
            <w:tcW w:w="820" w:type="dxa"/>
            <w:vAlign w:val="bottom"/>
            <w:tcBorders>
              <w:right w:val="single" w:sz="8" w:color="auto"/>
            </w:tcBorders>
          </w:tcPr>
          <w:p>
            <w:pPr>
              <w:jc w:val="right"/>
              <w:ind w:right="115"/>
              <w:spacing w:after="0" w:line="131" w:lineRule="exact"/>
              <w:rPr>
                <w:sz w:val="20"/>
                <w:szCs w:val="20"/>
                <w:color w:val="auto"/>
              </w:rPr>
            </w:pPr>
            <w:r>
              <w:rPr>
                <w:rFonts w:ascii="Arial" w:cs="Arial" w:eastAsia="Arial" w:hAnsi="Arial"/>
                <w:sz w:val="13"/>
                <w:szCs w:val="13"/>
                <w:color w:val="auto"/>
              </w:rPr>
              <w:t>37.1</w:t>
            </w:r>
          </w:p>
        </w:tc>
        <w:tc>
          <w:tcPr>
            <w:tcW w:w="860" w:type="dxa"/>
            <w:vAlign w:val="bottom"/>
          </w:tcPr>
          <w:p>
            <w:pPr>
              <w:jc w:val="center"/>
              <w:spacing w:after="0" w:line="131" w:lineRule="exact"/>
              <w:rPr>
                <w:sz w:val="20"/>
                <w:szCs w:val="20"/>
                <w:color w:val="auto"/>
              </w:rPr>
            </w:pPr>
            <w:r>
              <w:rPr>
                <w:rFonts w:ascii="Arial" w:cs="Arial" w:eastAsia="Arial" w:hAnsi="Arial"/>
                <w:sz w:val="13"/>
                <w:szCs w:val="13"/>
                <w:color w:val="auto"/>
              </w:rPr>
              <w:t>9.5%</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58.3%</w:t>
            </w:r>
          </w:p>
        </w:tc>
        <w:tc>
          <w:tcPr>
            <w:tcW w:w="1060" w:type="dxa"/>
            <w:vAlign w:val="bottom"/>
          </w:tcPr>
          <w:p>
            <w:pPr>
              <w:jc w:val="right"/>
              <w:ind w:right="255"/>
              <w:spacing w:after="0" w:line="131" w:lineRule="exact"/>
              <w:rPr>
                <w:sz w:val="20"/>
                <w:szCs w:val="20"/>
                <w:color w:val="auto"/>
              </w:rPr>
            </w:pPr>
            <w:r>
              <w:rPr>
                <w:rFonts w:ascii="Arial" w:cs="Arial" w:eastAsia="Arial" w:hAnsi="Arial"/>
                <w:sz w:val="13"/>
                <w:szCs w:val="13"/>
                <w:color w:val="auto"/>
              </w:rPr>
              <w:t>78.1</w:t>
            </w:r>
          </w:p>
        </w:tc>
        <w:tc>
          <w:tcPr>
            <w:tcW w:w="720" w:type="dxa"/>
            <w:vAlign w:val="bottom"/>
            <w:tcBorders>
              <w:right w:val="single" w:sz="8" w:color="auto"/>
            </w:tcBorders>
          </w:tcPr>
          <w:p>
            <w:pPr>
              <w:jc w:val="right"/>
              <w:ind w:right="95"/>
              <w:spacing w:after="0" w:line="131" w:lineRule="exact"/>
              <w:rPr>
                <w:sz w:val="20"/>
                <w:szCs w:val="20"/>
                <w:color w:val="auto"/>
              </w:rPr>
            </w:pPr>
            <w:r>
              <w:rPr>
                <w:rFonts w:ascii="Arial" w:cs="Arial" w:eastAsia="Arial" w:hAnsi="Arial"/>
                <w:sz w:val="13"/>
                <w:szCs w:val="13"/>
                <w:color w:val="auto"/>
              </w:rPr>
              <w:t>123.6</w:t>
            </w:r>
          </w:p>
        </w:tc>
        <w:tc>
          <w:tcPr>
            <w:tcW w:w="11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58.2%</w:t>
            </w: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Crediseguros</w:t>
            </w:r>
          </w:p>
        </w:tc>
        <w:tc>
          <w:tcPr>
            <w:tcW w:w="29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3"/>
                <w:szCs w:val="13"/>
                <w:color w:val="auto"/>
              </w:rPr>
              <w:t>Expenses for Insurance Services</w:t>
            </w:r>
          </w:p>
        </w:tc>
        <w:tc>
          <w:tcPr>
            <w:tcW w:w="9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(5.3)</w:t>
            </w:r>
          </w:p>
        </w:tc>
        <w:tc>
          <w:tcPr>
            <w:tcW w:w="92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(11.3)</w:t>
            </w:r>
          </w:p>
        </w:tc>
        <w:tc>
          <w:tcPr>
            <w:tcW w:w="8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(11.5)</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rPr>
              <w:t>2.0%</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114.9%</w:t>
            </w:r>
          </w:p>
        </w:tc>
        <w:tc>
          <w:tcPr>
            <w:tcW w:w="1060" w:type="dxa"/>
            <w:vAlign w:val="bottom"/>
          </w:tcPr>
          <w:p>
            <w:pPr>
              <w:jc w:val="right"/>
              <w:ind w:right="215"/>
              <w:spacing w:after="0" w:line="146" w:lineRule="exact"/>
              <w:rPr>
                <w:sz w:val="20"/>
                <w:szCs w:val="20"/>
                <w:color w:val="auto"/>
              </w:rPr>
            </w:pPr>
            <w:r>
              <w:rPr>
                <w:rFonts w:ascii="Arial" w:cs="Arial" w:eastAsia="Arial" w:hAnsi="Arial"/>
                <w:sz w:val="13"/>
                <w:szCs w:val="13"/>
                <w:color w:val="auto"/>
              </w:rPr>
              <w:t>(19.9)</w:t>
            </w:r>
          </w:p>
        </w:tc>
        <w:tc>
          <w:tcPr>
            <w:tcW w:w="7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(39.2)</w:t>
            </w:r>
          </w:p>
        </w:tc>
        <w:tc>
          <w:tcPr>
            <w:tcW w:w="11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96.9%</w:t>
            </w:r>
          </w:p>
        </w:tc>
        <w:tc>
          <w:tcPr>
            <w:tcW w:w="0" w:type="dxa"/>
            <w:vAlign w:val="bottom"/>
          </w:tcPr>
          <w:p>
            <w:pPr>
              <w:spacing w:after="0"/>
              <w:rPr>
                <w:sz w:val="1"/>
                <w:szCs w:val="1"/>
                <w:color w:val="auto"/>
              </w:rPr>
            </w:pPr>
          </w:p>
        </w:tc>
      </w:tr>
      <w:tr>
        <w:trPr>
          <w:trHeight w:val="98"/>
        </w:trPr>
        <w:tc>
          <w:tcPr>
            <w:tcW w:w="100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restart"/>
          </w:tcPr>
          <w:p>
            <w:pPr>
              <w:ind w:left="80"/>
              <w:spacing w:after="0" w:line="146" w:lineRule="exact"/>
              <w:rPr>
                <w:sz w:val="20"/>
                <w:szCs w:val="20"/>
                <w:color w:val="auto"/>
              </w:rPr>
            </w:pPr>
            <w:r>
              <w:rPr>
                <w:rFonts w:ascii="Arial" w:cs="Arial" w:eastAsia="Arial" w:hAnsi="Arial"/>
                <w:sz w:val="13"/>
                <w:szCs w:val="13"/>
                <w:color w:val="auto"/>
              </w:rPr>
              <w:t>Reinsurance Results</w:t>
            </w:r>
          </w:p>
        </w:tc>
        <w:tc>
          <w:tcPr>
            <w:tcW w:w="940" w:type="dxa"/>
            <w:vAlign w:val="bottom"/>
            <w:vMerge w:val="restart"/>
          </w:tcPr>
          <w:p>
            <w:pPr>
              <w:jc w:val="right"/>
              <w:ind w:right="95"/>
              <w:spacing w:after="0" w:line="146" w:lineRule="exact"/>
              <w:rPr>
                <w:sz w:val="20"/>
                <w:szCs w:val="20"/>
                <w:color w:val="auto"/>
              </w:rPr>
            </w:pPr>
            <w:r>
              <w:rPr>
                <w:rFonts w:ascii="Arial" w:cs="Arial" w:eastAsia="Arial" w:hAnsi="Arial"/>
                <w:sz w:val="13"/>
                <w:szCs w:val="13"/>
                <w:color w:val="auto"/>
              </w:rPr>
              <w:t>(6.7)</w:t>
            </w:r>
          </w:p>
        </w:tc>
        <w:tc>
          <w:tcPr>
            <w:tcW w:w="920" w:type="dxa"/>
            <w:vAlign w:val="bottom"/>
            <w:vMerge w:val="restart"/>
          </w:tcPr>
          <w:p>
            <w:pPr>
              <w:jc w:val="right"/>
              <w:ind w:right="115"/>
              <w:spacing w:after="0" w:line="146" w:lineRule="exact"/>
              <w:rPr>
                <w:sz w:val="20"/>
                <w:szCs w:val="20"/>
                <w:color w:val="auto"/>
              </w:rPr>
            </w:pPr>
            <w:r>
              <w:rPr>
                <w:rFonts w:ascii="Arial" w:cs="Arial" w:eastAsia="Arial" w:hAnsi="Arial"/>
                <w:sz w:val="13"/>
                <w:szCs w:val="13"/>
                <w:color w:val="auto"/>
              </w:rPr>
              <w:t>(7.6)</w:t>
            </w:r>
          </w:p>
        </w:tc>
        <w:tc>
          <w:tcPr>
            <w:tcW w:w="8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(9.1)</w:t>
            </w:r>
          </w:p>
        </w:tc>
        <w:tc>
          <w:tcPr>
            <w:tcW w:w="860" w:type="dxa"/>
            <w:vAlign w:val="bottom"/>
            <w:vMerge w:val="restart"/>
          </w:tcPr>
          <w:p>
            <w:pPr>
              <w:jc w:val="center"/>
              <w:spacing w:after="0" w:line="146" w:lineRule="exact"/>
              <w:rPr>
                <w:sz w:val="20"/>
                <w:szCs w:val="20"/>
                <w:color w:val="auto"/>
              </w:rPr>
            </w:pPr>
            <w:r>
              <w:rPr>
                <w:rFonts w:ascii="Arial" w:cs="Arial" w:eastAsia="Arial" w:hAnsi="Arial"/>
                <w:sz w:val="13"/>
                <w:szCs w:val="13"/>
                <w:color w:val="auto"/>
              </w:rPr>
              <w:t>19.1%</w:t>
            </w:r>
          </w:p>
        </w:tc>
        <w:tc>
          <w:tcPr>
            <w:tcW w:w="9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rPr>
              <w:t>36.0%</w:t>
            </w:r>
          </w:p>
        </w:tc>
        <w:tc>
          <w:tcPr>
            <w:tcW w:w="1060" w:type="dxa"/>
            <w:vAlign w:val="bottom"/>
            <w:vMerge w:val="restart"/>
          </w:tcPr>
          <w:p>
            <w:pPr>
              <w:jc w:val="right"/>
              <w:ind w:right="215"/>
              <w:spacing w:after="0" w:line="146" w:lineRule="exact"/>
              <w:rPr>
                <w:sz w:val="20"/>
                <w:szCs w:val="20"/>
                <w:color w:val="auto"/>
              </w:rPr>
            </w:pPr>
            <w:r>
              <w:rPr>
                <w:rFonts w:ascii="Arial" w:cs="Arial" w:eastAsia="Arial" w:hAnsi="Arial"/>
                <w:sz w:val="13"/>
                <w:szCs w:val="13"/>
                <w:color w:val="auto"/>
              </w:rPr>
              <w:t>(19.9)</w:t>
            </w:r>
          </w:p>
        </w:tc>
        <w:tc>
          <w:tcPr>
            <w:tcW w:w="7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(30.0)</w:t>
            </w:r>
          </w:p>
        </w:tc>
        <w:tc>
          <w:tcPr>
            <w:tcW w:w="11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b w:val="1"/>
                <w:bCs w:val="1"/>
                <w:color w:val="auto"/>
                <w:w w:val="97"/>
              </w:rPr>
              <w:t>50.3%</w:t>
            </w:r>
          </w:p>
        </w:tc>
        <w:tc>
          <w:tcPr>
            <w:tcW w:w="0" w:type="dxa"/>
            <w:vAlign w:val="bottom"/>
          </w:tcPr>
          <w:p>
            <w:pPr>
              <w:spacing w:after="0"/>
              <w:rPr>
                <w:sz w:val="1"/>
                <w:szCs w:val="1"/>
                <w:color w:val="auto"/>
              </w:rPr>
            </w:pPr>
          </w:p>
        </w:tc>
      </w:tr>
      <w:tr>
        <w:trPr>
          <w:trHeight w:val="48"/>
        </w:trPr>
        <w:tc>
          <w:tcPr>
            <w:tcW w:w="100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000" w:type="dxa"/>
            <w:vAlign w:val="bottom"/>
            <w:tcBorders>
              <w:left w:val="single" w:sz="8" w:color="auto"/>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Insurance Undewrwriting Result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11.4</w:t>
            </w: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15.0</w:t>
            </w:r>
          </w:p>
        </w:tc>
        <w:tc>
          <w:tcPr>
            <w:tcW w:w="82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16.5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10.2%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44.9%</w:t>
            </w: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38.3</w:t>
            </w:r>
          </w:p>
        </w:tc>
        <w:tc>
          <w:tcPr>
            <w:tcW w:w="72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54.4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42.2%</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the QoQ analysis, the Insurance Underwriting Result dropped 13.2%. This evolution was driven by an uptick in expenses for insurance services (+25.4%) in both P &amp; C and Life and by a less favorable reinsurance result. These dynamics were partially mitigated by growth in income for insurance services, which was spurred mainly by the Life business.</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YTD, the Insurance Underwriting Result rose 43.9%. This variation was driven mainly by an increase in income from insurance services (+10.5%), primarily in Life and Crediseguros, and secondarily by a less favorable reinsurance result. These dynamics were partially offset by an uptick in expenses for insurance services (+0.8%), mainly in P &amp; C due to growth in claims.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 &amp; C Insurance</w:t>
      </w:r>
    </w:p>
    <w:p>
      <w:pPr>
        <w:spacing w:after="0" w:line="180" w:lineRule="exact"/>
        <w:rPr>
          <w:sz w:val="20"/>
          <w:szCs w:val="20"/>
          <w:color w:val="auto"/>
        </w:rPr>
      </w:pPr>
    </w:p>
    <w:p>
      <w:pPr>
        <w:ind w:left="1360"/>
        <w:spacing w:after="0"/>
        <w:tabs>
          <w:tab w:leader="none" w:pos="6980" w:val="left"/>
        </w:tabs>
        <w:rPr>
          <w:sz w:val="20"/>
          <w:szCs w:val="20"/>
          <w:color w:val="auto"/>
        </w:rPr>
      </w:pPr>
      <w:r>
        <w:rPr>
          <w:rFonts w:ascii="Arial" w:cs="Arial" w:eastAsia="Arial" w:hAnsi="Arial"/>
          <w:sz w:val="16"/>
          <w:szCs w:val="16"/>
          <w:b w:val="1"/>
          <w:bCs w:val="1"/>
          <w:color w:val="auto"/>
        </w:rPr>
        <w:t>Income from the Insurance Services</w:t>
      </w:r>
      <w:r>
        <w:rPr>
          <w:sz w:val="20"/>
          <w:szCs w:val="20"/>
          <w:color w:val="auto"/>
        </w:rPr>
        <w:tab/>
      </w:r>
      <w:r>
        <w:rPr>
          <w:rFonts w:ascii="Arial" w:cs="Arial" w:eastAsia="Arial" w:hAnsi="Arial"/>
          <w:sz w:val="16"/>
          <w:szCs w:val="16"/>
          <w:b w:val="1"/>
          <w:bCs w:val="1"/>
          <w:color w:val="auto"/>
        </w:rPr>
        <w:t>Expenses from the Insurance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126365</wp:posOffset>
            </wp:positionV>
            <wp:extent cx="6177915" cy="18815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791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79" w:right="319" w:bottom="1440" w:gutter="0" w:footer="0" w:header="0"/>
        </w:sectPr>
      </w:pPr>
    </w:p>
    <w:bookmarkStart w:id="40" w:name="page41"/>
    <w:bookmarkEnd w:id="40"/>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012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655" cy="201295"/>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Insurance Underwriting Results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QoQ, the Insurance Underwriting Result dropped 41.4%. The following dynamics stood out:</w:t>
      </w:r>
    </w:p>
    <w:p>
      <w:pPr>
        <w:spacing w:after="0" w:line="15" w:lineRule="exact"/>
        <w:rPr>
          <w:sz w:val="20"/>
          <w:szCs w:val="20"/>
          <w:color w:val="auto"/>
        </w:rPr>
      </w:pPr>
    </w:p>
    <w:p>
      <w:pPr>
        <w:ind w:left="580" w:right="20" w:hanging="290"/>
        <w:spacing w:after="0" w:line="23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Income from insurance services increased 11.2%, driven mainly by growth in underwritten premiums for P &amp; C products and for Fire, Maritime Hulls and Mortgage in particular.</w:t>
      </w:r>
    </w:p>
    <w:p>
      <w:pPr>
        <w:ind w:left="580" w:hanging="290"/>
        <w:spacing w:after="0" w:line="23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Expenses for insurance services increased 26.4% due to growth in claims in P &amp; C Risks and Medical Assistance.</w:t>
      </w:r>
    </w:p>
    <w:p>
      <w:pPr>
        <w:ind w:left="580" w:right="20" w:hanging="290"/>
        <w:spacing w:after="0" w:line="25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reinsurance result rose 19.4%; this was driven by an increase in the volume of ceded premiums, which was in line with an uptick in underwritten premiums in P &amp; C.</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In the YTD analysis, the Insurance Underwriting Result fell 9.2%, fueled by the following dynamics:</w:t>
      </w:r>
    </w:p>
    <w:p>
      <w:pPr>
        <w:spacing w:after="0" w:line="15" w:lineRule="exact"/>
        <w:rPr>
          <w:sz w:val="20"/>
          <w:szCs w:val="20"/>
          <w:color w:val="auto"/>
        </w:rPr>
      </w:pPr>
    </w:p>
    <w:p>
      <w:pPr>
        <w:jc w:val="both"/>
        <w:ind w:left="580" w:right="20" w:hanging="290"/>
        <w:spacing w:after="0" w:line="238"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Income from insurance services rose 2.1%, driven mainly by growth in the premium volume via P &amp; C products and through Fire, Maritime Hulls and Card Protection in particular. The Cars line also contributed to an increase in income through higher premium subscriptions in the corporate channel and via growth in SOAT, through bancassurance.</w:t>
      </w:r>
    </w:p>
    <w:p>
      <w:pPr>
        <w:spacing w:after="0" w:line="1" w:lineRule="exact"/>
        <w:rPr>
          <w:rFonts w:ascii="Arial" w:cs="Arial" w:eastAsia="Arial" w:hAnsi="Arial"/>
          <w:sz w:val="16"/>
          <w:szCs w:val="16"/>
          <w:color w:val="auto"/>
        </w:rPr>
      </w:pPr>
    </w:p>
    <w:p>
      <w:pPr>
        <w:jc w:val="both"/>
        <w:ind w:left="580" w:right="20" w:hanging="290"/>
        <w:spacing w:after="0" w:line="238"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Expenses for insurance services rose 16.0%, mainly due to higher claims in (i) P &amp; C Risks, primarily through Fire products, where more reserves were established, and Card Protection, due to the increase in the incidence of unrecognized online purchases, and (ii) Vehicular, due to the increase in the frequency of accidents. Likewise, there were higher attributable expenses compared to the previous year.</w:t>
      </w:r>
    </w:p>
    <w:p>
      <w:pPr>
        <w:spacing w:after="0" w:line="1" w:lineRule="exact"/>
        <w:rPr>
          <w:rFonts w:ascii="Arial" w:cs="Arial" w:eastAsia="Arial" w:hAnsi="Arial"/>
          <w:sz w:val="16"/>
          <w:szCs w:val="16"/>
          <w:color w:val="auto"/>
        </w:rPr>
      </w:pPr>
    </w:p>
    <w:p>
      <w:pPr>
        <w:ind w:left="580" w:hanging="290"/>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reinsurance result dropped 24.7%, fueled by reinsurance recoveries on claims for the Yaku Cyclone.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Life Insurance</w:t>
      </w:r>
    </w:p>
    <w:p>
      <w:pPr>
        <w:spacing w:after="0" w:line="180" w:lineRule="exact"/>
        <w:rPr>
          <w:sz w:val="20"/>
          <w:szCs w:val="20"/>
          <w:color w:val="auto"/>
        </w:rPr>
      </w:pPr>
    </w:p>
    <w:p>
      <w:pPr>
        <w:ind w:left="1500"/>
        <w:spacing w:after="0"/>
        <w:tabs>
          <w:tab w:leader="none" w:pos="7120" w:val="left"/>
        </w:tabs>
        <w:rPr>
          <w:sz w:val="20"/>
          <w:szCs w:val="20"/>
          <w:color w:val="auto"/>
        </w:rPr>
      </w:pPr>
      <w:r>
        <w:rPr>
          <w:rFonts w:ascii="Arial" w:cs="Arial" w:eastAsia="Arial" w:hAnsi="Arial"/>
          <w:sz w:val="16"/>
          <w:szCs w:val="16"/>
          <w:b w:val="1"/>
          <w:bCs w:val="1"/>
          <w:color w:val="auto"/>
        </w:rPr>
        <w:t>Income from Insurance Services</w:t>
      </w:r>
      <w:r>
        <w:rPr>
          <w:sz w:val="20"/>
          <w:szCs w:val="20"/>
          <w:color w:val="auto"/>
        </w:rPr>
        <w:tab/>
      </w:r>
      <w:r>
        <w:rPr>
          <w:rFonts w:ascii="Arial" w:cs="Arial" w:eastAsia="Arial" w:hAnsi="Arial"/>
          <w:sz w:val="16"/>
          <w:szCs w:val="16"/>
          <w:b w:val="1"/>
          <w:bCs w:val="1"/>
          <w:color w:val="auto"/>
        </w:rPr>
        <w:t>Expenses from Insurance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126365</wp:posOffset>
            </wp:positionV>
            <wp:extent cx="6131560" cy="1889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31560"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QoQ, the Insurance Underwriting Result fell 5.0%. The following dynamics were noteworthy:</w:t>
      </w:r>
    </w:p>
    <w:p>
      <w:pPr>
        <w:spacing w:after="0" w:line="182" w:lineRule="exact"/>
        <w:rPr>
          <w:sz w:val="20"/>
          <w:szCs w:val="20"/>
          <w:color w:val="auto"/>
        </w:rPr>
      </w:pPr>
    </w:p>
    <w:p>
      <w:pPr>
        <w:ind w:left="580" w:right="20" w:hanging="290"/>
        <w:spacing w:after="0" w:line="248"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Income from insurance services rose 9.8% due to (i) Credit Life, which experienced growth in the premium volume for Bancassurance at BCP, and (ii) D &amp; S, which also reflected an uptick in premium collections.</w:t>
      </w:r>
    </w:p>
    <w:p>
      <w:pPr>
        <w:spacing w:after="0" w:line="1" w:lineRule="exact"/>
        <w:rPr>
          <w:rFonts w:ascii="Arial" w:cs="Arial" w:eastAsia="Arial" w:hAnsi="Arial"/>
          <w:sz w:val="16"/>
          <w:szCs w:val="16"/>
          <w:color w:val="auto"/>
        </w:rPr>
      </w:pPr>
    </w:p>
    <w:p>
      <w:pPr>
        <w:ind w:left="580" w:right="20" w:hanging="290"/>
        <w:spacing w:after="0" w:line="238"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Expenses for insurance services increased 25.4%, which reflected growth in claims in all line businesses, which was led by Credit Life and AFP, which registered an increase in claims frequency.</w:t>
      </w:r>
    </w:p>
    <w:p>
      <w:pPr>
        <w:ind w:left="580" w:right="20" w:hanging="290"/>
        <w:spacing w:after="0" w:line="258"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reinsurance result dropped 16.2%, which was mainly driven by an increase in claims recovered from the reinsurer of SCTR products in Group Life.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YTD, the Insurance Underwriting Result rose 75.0%. The following dynamics stood out:</w:t>
      </w:r>
    </w:p>
    <w:p>
      <w:pPr>
        <w:spacing w:after="0" w:line="15" w:lineRule="exact"/>
        <w:rPr>
          <w:sz w:val="20"/>
          <w:szCs w:val="20"/>
          <w:color w:val="auto"/>
        </w:rPr>
      </w:pPr>
    </w:p>
    <w:p>
      <w:pPr>
        <w:jc w:val="both"/>
        <w:ind w:left="580" w:right="20" w:hanging="290"/>
        <w:spacing w:after="0" w:line="238"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Income from insurance services increased 17.0%. This growth was attributable primarily to (i) D &amp; S, after Pacifico reaped the benefits of obtaining a larger portion of and better rates under SISCO VI versus SISCO V, (ii) Credit Life, due to an increase in sales of Bancassurance through BCP and Banco de la Nación, (iii) Group Life, through SCTR products and Statutory Life, which reflected an uptick in underwritten premiums.</w:t>
      </w:r>
    </w:p>
    <w:p>
      <w:pPr>
        <w:spacing w:after="0" w:line="1" w:lineRule="exact"/>
        <w:rPr>
          <w:rFonts w:ascii="Arial" w:cs="Arial" w:eastAsia="Arial" w:hAnsi="Arial"/>
          <w:sz w:val="16"/>
          <w:szCs w:val="16"/>
          <w:color w:val="auto"/>
        </w:rPr>
      </w:pPr>
    </w:p>
    <w:p>
      <w:pPr>
        <w:ind w:left="580" w:right="20" w:hanging="290"/>
        <w:spacing w:after="0" w:line="238"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Expenses for insurance services fell 11.2% YTD, which was influenced by the lower levels of claims in Group Life, D &amp; S and Credit Life versus periods affected by COVID-19. This was mitigated by higher attributable expenses.</w:t>
      </w:r>
    </w:p>
    <w:p>
      <w:pPr>
        <w:ind w:left="580" w:hanging="290"/>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loss reported for the reinsurance result rose 206.6%, which reflects growth in ceded premiums in the D &amp; S line.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41" w:name="page42"/>
    <w:bookmarkEnd w:id="41"/>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400" w:lineRule="exact"/>
        <w:rPr>
          <w:sz w:val="20"/>
          <w:szCs w:val="20"/>
          <w:color w:val="auto"/>
        </w:rPr>
      </w:pPr>
    </w:p>
    <w:p>
      <w:pPr>
        <w:ind w:left="2"/>
        <w:spacing w:after="0"/>
        <w:rPr>
          <w:sz w:val="20"/>
          <w:szCs w:val="20"/>
          <w:color w:val="auto"/>
        </w:rPr>
      </w:pPr>
      <w:r>
        <w:rPr>
          <w:rFonts w:ascii="Arial" w:cs="Arial" w:eastAsia="Arial" w:hAnsi="Arial"/>
          <w:sz w:val="47"/>
          <w:szCs w:val="47"/>
          <w:b w:val="1"/>
          <w:bCs w:val="1"/>
          <w:color w:val="E93CAC"/>
        </w:rPr>
        <w:t xml:space="preserve">08  </w:t>
      </w:r>
      <w:r>
        <w:rPr>
          <w:rFonts w:ascii="Arial" w:cs="Arial" w:eastAsia="Arial" w:hAnsi="Arial"/>
          <w:sz w:val="29"/>
          <w:szCs w:val="29"/>
          <w:color w:val="E93CAC"/>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145655" cy="7042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655" cy="704215"/>
                    </a:xfrm>
                    <a:prstGeom prst="rect">
                      <a:avLst/>
                    </a:prstGeom>
                    <a:noFill/>
                  </pic:spPr>
                </pic:pic>
              </a:graphicData>
            </a:graphic>
          </wp:anchor>
        </w:drawing>
      </w:r>
    </w:p>
    <w:p>
      <w:pPr>
        <w:spacing w:after="0" w:line="287" w:lineRule="exact"/>
        <w:rPr>
          <w:sz w:val="20"/>
          <w:szCs w:val="20"/>
          <w:color w:val="auto"/>
        </w:rPr>
      </w:pPr>
    </w:p>
    <w:p>
      <w:pPr>
        <w:jc w:val="both"/>
        <w:ind w:left="242" w:right="260"/>
        <w:spacing w:after="0" w:line="248" w:lineRule="auto"/>
        <w:rPr>
          <w:sz w:val="20"/>
          <w:szCs w:val="20"/>
          <w:color w:val="auto"/>
        </w:rPr>
      </w:pPr>
      <w:r>
        <w:rPr>
          <w:rFonts w:ascii="Arial" w:cs="Arial" w:eastAsia="Arial" w:hAnsi="Arial"/>
          <w:sz w:val="16"/>
          <w:szCs w:val="16"/>
          <w:color w:val="FFFFFF"/>
        </w:rPr>
        <w:t>Operating expenses rose YTD, driven primarily by disruptive initiatives at the Credicorp level and by core business at BCP Stand-alone. Expenses for disruptive initiatives at the Credicorp level, which are concentrated in Yape and Tenpo, rose 66.6%. Core business expenses at BCP increased in IT-related expenses for (i) an uptick in cloud use given ongoing increases in client digitalization; (ii) investments to improve digital capacities and an improvement in cybersecurity; and (iii) measures to attract more specialized digital talent. If we exclude expenses for disruption, growth to date in operating expenses stands at 5.6%.</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Total Operating Expenses</w:t>
      </w:r>
    </w:p>
    <w:p>
      <w:pPr>
        <w:spacing w:after="0" w:line="179" w:lineRule="exact"/>
        <w:rPr>
          <w:sz w:val="20"/>
          <w:szCs w:val="20"/>
          <w:color w:val="auto"/>
        </w:rPr>
      </w:pPr>
    </w:p>
    <w:tbl>
      <w:tblPr>
        <w:tblLayout w:type="fixed"/>
        <w:tblInd w:w="12" w:type="dxa"/>
        <w:tblCellMar>
          <w:top w:w="0" w:type="dxa"/>
          <w:left w:w="0" w:type="dxa"/>
          <w:bottom w:w="0" w:type="dxa"/>
          <w:right w:w="0" w:type="dxa"/>
        </w:tblCellMar>
      </w:tblPr>
      <w:tr>
        <w:trPr>
          <w:trHeight w:val="206"/>
        </w:trPr>
        <w:tc>
          <w:tcPr>
            <w:tcW w:w="3880" w:type="dxa"/>
            <w:vAlign w:val="bottom"/>
            <w:tcBorders>
              <w:top w:val="single" w:sz="8" w:color="auto"/>
              <w:left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Operating expenses</w:t>
            </w:r>
          </w:p>
        </w:tc>
        <w:tc>
          <w:tcPr>
            <w:tcW w:w="1020" w:type="dxa"/>
            <w:vAlign w:val="bottom"/>
            <w:tcBorders>
              <w:top w:val="single" w:sz="8" w:color="auto"/>
            </w:tcBorders>
            <w:shd w:val="clear" w:color="auto" w:fill="2AD2C9"/>
          </w:tcPr>
          <w:p>
            <w:pPr>
              <w:spacing w:after="0"/>
              <w:rPr>
                <w:sz w:val="17"/>
                <w:szCs w:val="17"/>
                <w:color w:val="auto"/>
              </w:rPr>
            </w:pPr>
          </w:p>
        </w:tc>
        <w:tc>
          <w:tcPr>
            <w:tcW w:w="940" w:type="dxa"/>
            <w:vAlign w:val="bottom"/>
            <w:tcBorders>
              <w:top w:val="single" w:sz="8" w:color="auto"/>
            </w:tcBorders>
            <w:shd w:val="clear" w:color="auto" w:fill="2AD2C9"/>
          </w:tcPr>
          <w:p>
            <w:pPr>
              <w:jc w:val="right"/>
              <w:ind w:right="255"/>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7"/>
                <w:szCs w:val="17"/>
                <w:color w:val="auto"/>
              </w:rPr>
            </w:pPr>
          </w:p>
        </w:tc>
        <w:tc>
          <w:tcPr>
            <w:tcW w:w="176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3"/>
                <w:szCs w:val="13"/>
                <w:b w:val="1"/>
                <w:bCs w:val="1"/>
                <w:color w:val="FFFFFF"/>
              </w:rPr>
              <w:t>% change</w:t>
            </w:r>
          </w:p>
        </w:tc>
        <w:tc>
          <w:tcPr>
            <w:tcW w:w="1140" w:type="dxa"/>
            <w:vAlign w:val="bottom"/>
            <w:tcBorders>
              <w:top w:val="single" w:sz="8" w:color="auto"/>
            </w:tcBorders>
            <w:shd w:val="clear" w:color="auto" w:fill="2AD2C9"/>
          </w:tcPr>
          <w:p>
            <w:pPr>
              <w:jc w:val="right"/>
              <w:ind w:right="15"/>
              <w:spacing w:after="0"/>
              <w:rPr>
                <w:sz w:val="20"/>
                <w:szCs w:val="20"/>
                <w:color w:val="auto"/>
              </w:rPr>
            </w:pPr>
            <w:r>
              <w:rPr>
                <w:rFonts w:ascii="Arial" w:cs="Arial" w:eastAsia="Arial" w:hAnsi="Arial"/>
                <w:sz w:val="13"/>
                <w:szCs w:val="13"/>
                <w:b w:val="1"/>
                <w:bCs w:val="1"/>
                <w:color w:val="FFFFFF"/>
              </w:rPr>
              <w:t>Year</w:t>
            </w:r>
          </w:p>
        </w:tc>
        <w:tc>
          <w:tcPr>
            <w:tcW w:w="740" w:type="dxa"/>
            <w:vAlign w:val="bottom"/>
            <w:tcBorders>
              <w:top w:val="single" w:sz="8" w:color="auto"/>
              <w:right w:val="single" w:sz="8" w:color="auto"/>
            </w:tcBorders>
            <w:shd w:val="clear" w:color="auto" w:fill="2AD2C9"/>
          </w:tcPr>
          <w:p>
            <w:pPr>
              <w:spacing w:after="0"/>
              <w:rPr>
                <w:sz w:val="17"/>
                <w:szCs w:val="17"/>
                <w:color w:val="auto"/>
              </w:rPr>
            </w:pPr>
          </w:p>
        </w:tc>
        <w:tc>
          <w:tcPr>
            <w:tcW w:w="900" w:type="dxa"/>
            <w:vAlign w:val="bottom"/>
            <w:tcBorders>
              <w:top w:val="single" w:sz="8" w:color="auto"/>
              <w:right w:val="single" w:sz="8" w:color="auto"/>
            </w:tcBorders>
            <w:shd w:val="clear" w:color="auto" w:fill="2AD2C9"/>
          </w:tcPr>
          <w:p>
            <w:pPr>
              <w:ind w:left="140"/>
              <w:spacing w:after="0"/>
              <w:rPr>
                <w:sz w:val="20"/>
                <w:szCs w:val="20"/>
                <w:color w:val="auto"/>
              </w:rPr>
            </w:pPr>
            <w:r>
              <w:rPr>
                <w:rFonts w:ascii="Arial" w:cs="Arial" w:eastAsia="Arial" w:hAnsi="Arial"/>
                <w:sz w:val="13"/>
                <w:szCs w:val="13"/>
                <w:b w:val="1"/>
                <w:bCs w:val="1"/>
                <w:color w:val="FFFFFF"/>
              </w:rPr>
              <w:t>% change</w:t>
            </w:r>
          </w:p>
        </w:tc>
      </w:tr>
      <w:tr>
        <w:trPr>
          <w:trHeight w:val="195"/>
        </w:trPr>
        <w:tc>
          <w:tcPr>
            <w:tcW w:w="388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S/ 000</w:t>
            </w:r>
          </w:p>
        </w:tc>
        <w:tc>
          <w:tcPr>
            <w:tcW w:w="1020" w:type="dxa"/>
            <w:vAlign w:val="bottom"/>
            <w:tcBorders>
              <w:bottom w:val="single" w:sz="8" w:color="auto"/>
            </w:tcBorders>
            <w:shd w:val="clear" w:color="auto" w:fill="2AD2C9"/>
          </w:tcPr>
          <w:p>
            <w:pPr>
              <w:jc w:val="right"/>
              <w:ind w:right="355"/>
              <w:spacing w:after="0"/>
              <w:rPr>
                <w:sz w:val="20"/>
                <w:szCs w:val="20"/>
                <w:color w:val="auto"/>
              </w:rPr>
            </w:pPr>
            <w:r>
              <w:rPr>
                <w:rFonts w:ascii="Arial" w:cs="Arial" w:eastAsia="Arial" w:hAnsi="Arial"/>
                <w:sz w:val="13"/>
                <w:szCs w:val="13"/>
                <w:b w:val="1"/>
                <w:bCs w:val="1"/>
                <w:color w:val="FFFFFF"/>
              </w:rPr>
              <w:t>4Q22</w:t>
            </w:r>
          </w:p>
        </w:tc>
        <w:tc>
          <w:tcPr>
            <w:tcW w:w="940" w:type="dxa"/>
            <w:vAlign w:val="bottom"/>
            <w:tcBorders>
              <w:bottom w:val="single" w:sz="8" w:color="auto"/>
            </w:tcBorders>
            <w:shd w:val="clear" w:color="auto" w:fill="2AD2C9"/>
          </w:tcPr>
          <w:p>
            <w:pPr>
              <w:jc w:val="right"/>
              <w:ind w:right="375"/>
              <w:spacing w:after="0"/>
              <w:rPr>
                <w:sz w:val="20"/>
                <w:szCs w:val="20"/>
                <w:color w:val="auto"/>
              </w:rPr>
            </w:pPr>
            <w:r>
              <w:rPr>
                <w:rFonts w:ascii="Arial" w:cs="Arial" w:eastAsia="Arial" w:hAnsi="Arial"/>
                <w:sz w:val="13"/>
                <w:szCs w:val="13"/>
                <w:b w:val="1"/>
                <w:bCs w:val="1"/>
                <w:color w:val="FFFFFF"/>
              </w:rPr>
              <w:t>3Q23</w:t>
            </w:r>
          </w:p>
        </w:tc>
        <w:tc>
          <w:tcPr>
            <w:tcW w:w="880" w:type="dxa"/>
            <w:vAlign w:val="bottom"/>
            <w:tcBorders>
              <w:bottom w:val="single" w:sz="8" w:color="auto"/>
              <w:right w:val="single" w:sz="8" w:color="auto"/>
            </w:tcBorders>
            <w:shd w:val="clear" w:color="auto" w:fill="2AD2C9"/>
          </w:tcPr>
          <w:p>
            <w:pPr>
              <w:jc w:val="right"/>
              <w:ind w:right="275"/>
              <w:spacing w:after="0"/>
              <w:rPr>
                <w:sz w:val="20"/>
                <w:szCs w:val="20"/>
                <w:color w:val="auto"/>
              </w:rPr>
            </w:pPr>
            <w:r>
              <w:rPr>
                <w:rFonts w:ascii="Arial" w:cs="Arial" w:eastAsia="Arial" w:hAnsi="Arial"/>
                <w:sz w:val="13"/>
                <w:szCs w:val="13"/>
                <w:b w:val="1"/>
                <w:bCs w:val="1"/>
                <w:color w:val="FFFFFF"/>
              </w:rPr>
              <w:t>4Q23</w:t>
            </w:r>
          </w:p>
        </w:tc>
        <w:tc>
          <w:tcPr>
            <w:tcW w:w="86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3"/>
                <w:szCs w:val="13"/>
                <w:b w:val="1"/>
                <w:bCs w:val="1"/>
                <w:color w:val="FFFFFF"/>
              </w:rPr>
              <w:t>QoQ</w:t>
            </w:r>
          </w:p>
        </w:tc>
        <w:tc>
          <w:tcPr>
            <w:tcW w:w="90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3"/>
                <w:szCs w:val="13"/>
                <w:b w:val="1"/>
                <w:bCs w:val="1"/>
                <w:color w:val="FFFFFF"/>
              </w:rPr>
              <w:t>YoY</w:t>
            </w:r>
          </w:p>
        </w:tc>
        <w:tc>
          <w:tcPr>
            <w:tcW w:w="1140" w:type="dxa"/>
            <w:vAlign w:val="bottom"/>
            <w:tcBorders>
              <w:bottom w:val="single" w:sz="8" w:color="auto"/>
            </w:tcBorders>
            <w:shd w:val="clear" w:color="auto" w:fill="2AD2C9"/>
          </w:tcPr>
          <w:p>
            <w:pPr>
              <w:jc w:val="right"/>
              <w:ind w:right="495"/>
              <w:spacing w:after="0"/>
              <w:rPr>
                <w:sz w:val="20"/>
                <w:szCs w:val="20"/>
                <w:color w:val="auto"/>
              </w:rPr>
            </w:pPr>
            <w:r>
              <w:rPr>
                <w:rFonts w:ascii="Arial" w:cs="Arial" w:eastAsia="Arial" w:hAnsi="Arial"/>
                <w:sz w:val="13"/>
                <w:szCs w:val="13"/>
                <w:b w:val="1"/>
                <w:bCs w:val="1"/>
                <w:color w:val="FFFFFF"/>
              </w:rPr>
              <w:t>2022</w:t>
            </w:r>
          </w:p>
        </w:tc>
        <w:tc>
          <w:tcPr>
            <w:tcW w:w="740" w:type="dxa"/>
            <w:vAlign w:val="bottom"/>
            <w:tcBorders>
              <w:bottom w:val="single" w:sz="8" w:color="auto"/>
              <w:right w:val="single" w:sz="8" w:color="auto"/>
            </w:tcBorders>
            <w:shd w:val="clear" w:color="auto" w:fill="2AD2C9"/>
          </w:tcPr>
          <w:p>
            <w:pPr>
              <w:jc w:val="right"/>
              <w:ind w:right="295"/>
              <w:spacing w:after="0"/>
              <w:rPr>
                <w:sz w:val="20"/>
                <w:szCs w:val="20"/>
                <w:color w:val="auto"/>
              </w:rPr>
            </w:pPr>
            <w:r>
              <w:rPr>
                <w:rFonts w:ascii="Arial" w:cs="Arial" w:eastAsia="Arial" w:hAnsi="Arial"/>
                <w:sz w:val="13"/>
                <w:szCs w:val="13"/>
                <w:b w:val="1"/>
                <w:bCs w:val="1"/>
                <w:color w:val="FFFFFF"/>
              </w:rPr>
              <w:t>2023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7"/>
              </w:rPr>
              <w:t>2022/2023</w:t>
            </w:r>
          </w:p>
        </w:tc>
      </w:tr>
      <w:tr>
        <w:trPr>
          <w:trHeight w:val="131"/>
        </w:trPr>
        <w:tc>
          <w:tcPr>
            <w:tcW w:w="3880" w:type="dxa"/>
            <w:vAlign w:val="bottom"/>
            <w:tcBorders>
              <w:left w:val="single" w:sz="8" w:color="auto"/>
              <w:right w:val="single" w:sz="8" w:color="auto"/>
            </w:tcBorders>
          </w:tcPr>
          <w:p>
            <w:pPr>
              <w:ind w:left="100"/>
              <w:spacing w:after="0" w:line="131" w:lineRule="exact"/>
              <w:rPr>
                <w:sz w:val="20"/>
                <w:szCs w:val="20"/>
                <w:color w:val="auto"/>
              </w:rPr>
            </w:pPr>
            <w:r>
              <w:rPr>
                <w:rFonts w:ascii="Arial" w:cs="Arial" w:eastAsia="Arial" w:hAnsi="Arial"/>
                <w:sz w:val="13"/>
                <w:szCs w:val="13"/>
                <w:color w:val="auto"/>
              </w:rPr>
              <w:t>Salaries and employees benefits</w:t>
            </w:r>
          </w:p>
        </w:tc>
        <w:tc>
          <w:tcPr>
            <w:tcW w:w="1020" w:type="dxa"/>
            <w:vAlign w:val="bottom"/>
          </w:tcPr>
          <w:p>
            <w:pPr>
              <w:jc w:val="right"/>
              <w:ind w:right="75"/>
              <w:spacing w:after="0" w:line="131" w:lineRule="exact"/>
              <w:rPr>
                <w:sz w:val="20"/>
                <w:szCs w:val="20"/>
                <w:color w:val="auto"/>
              </w:rPr>
            </w:pPr>
            <w:r>
              <w:rPr>
                <w:rFonts w:ascii="Arial" w:cs="Arial" w:eastAsia="Arial" w:hAnsi="Arial"/>
                <w:sz w:val="13"/>
                <w:szCs w:val="13"/>
                <w:color w:val="auto"/>
              </w:rPr>
              <w:t>1,036,148</w:t>
            </w:r>
          </w:p>
        </w:tc>
        <w:tc>
          <w:tcPr>
            <w:tcW w:w="940" w:type="dxa"/>
            <w:vAlign w:val="bottom"/>
          </w:tcPr>
          <w:p>
            <w:pPr>
              <w:jc w:val="right"/>
              <w:ind w:right="135"/>
              <w:spacing w:after="0" w:line="131" w:lineRule="exact"/>
              <w:rPr>
                <w:sz w:val="20"/>
                <w:szCs w:val="20"/>
                <w:color w:val="auto"/>
              </w:rPr>
            </w:pPr>
            <w:r>
              <w:rPr>
                <w:rFonts w:ascii="Arial" w:cs="Arial" w:eastAsia="Arial" w:hAnsi="Arial"/>
                <w:sz w:val="13"/>
                <w:szCs w:val="13"/>
                <w:color w:val="auto"/>
              </w:rPr>
              <w:t>1,061,402</w:t>
            </w:r>
          </w:p>
        </w:tc>
        <w:tc>
          <w:tcPr>
            <w:tcW w:w="880" w:type="dxa"/>
            <w:vAlign w:val="bottom"/>
            <w:tcBorders>
              <w:right w:val="single" w:sz="8" w:color="auto"/>
            </w:tcBorders>
          </w:tcPr>
          <w:p>
            <w:pPr>
              <w:jc w:val="right"/>
              <w:ind w:right="35"/>
              <w:spacing w:after="0" w:line="131" w:lineRule="exact"/>
              <w:rPr>
                <w:sz w:val="20"/>
                <w:szCs w:val="20"/>
                <w:color w:val="auto"/>
              </w:rPr>
            </w:pPr>
            <w:r>
              <w:rPr>
                <w:rFonts w:ascii="Arial" w:cs="Arial" w:eastAsia="Arial" w:hAnsi="Arial"/>
                <w:sz w:val="13"/>
                <w:szCs w:val="13"/>
                <w:color w:val="auto"/>
              </w:rPr>
              <w:t>1,119,758</w:t>
            </w:r>
          </w:p>
        </w:tc>
        <w:tc>
          <w:tcPr>
            <w:tcW w:w="860" w:type="dxa"/>
            <w:vAlign w:val="bottom"/>
          </w:tcPr>
          <w:p>
            <w:pPr>
              <w:jc w:val="center"/>
              <w:spacing w:after="0" w:line="131" w:lineRule="exact"/>
              <w:rPr>
                <w:sz w:val="20"/>
                <w:szCs w:val="20"/>
                <w:color w:val="auto"/>
              </w:rPr>
            </w:pPr>
            <w:r>
              <w:rPr>
                <w:rFonts w:ascii="Arial" w:cs="Arial" w:eastAsia="Arial" w:hAnsi="Arial"/>
                <w:sz w:val="13"/>
                <w:szCs w:val="13"/>
                <w:color w:val="auto"/>
              </w:rPr>
              <w:t>5.5%</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4"/>
              </w:rPr>
              <w:t>8.1%</w:t>
            </w:r>
          </w:p>
        </w:tc>
        <w:tc>
          <w:tcPr>
            <w:tcW w:w="1140" w:type="dxa"/>
            <w:vAlign w:val="bottom"/>
          </w:tcPr>
          <w:p>
            <w:pPr>
              <w:jc w:val="right"/>
              <w:ind w:right="275"/>
              <w:spacing w:after="0" w:line="131" w:lineRule="exact"/>
              <w:rPr>
                <w:sz w:val="20"/>
                <w:szCs w:val="20"/>
                <w:color w:val="auto"/>
              </w:rPr>
            </w:pPr>
            <w:r>
              <w:rPr>
                <w:rFonts w:ascii="Arial" w:cs="Arial" w:eastAsia="Arial" w:hAnsi="Arial"/>
                <w:sz w:val="13"/>
                <w:szCs w:val="13"/>
                <w:color w:val="auto"/>
              </w:rPr>
              <w:t>3,902,161</w:t>
            </w:r>
          </w:p>
        </w:tc>
        <w:tc>
          <w:tcPr>
            <w:tcW w:w="740" w:type="dxa"/>
            <w:vAlign w:val="bottom"/>
            <w:tcBorders>
              <w:right w:val="single" w:sz="8" w:color="auto"/>
            </w:tcBorders>
          </w:tcPr>
          <w:p>
            <w:pPr>
              <w:jc w:val="right"/>
              <w:ind w:right="35"/>
              <w:spacing w:after="0" w:line="131" w:lineRule="exact"/>
              <w:rPr>
                <w:sz w:val="20"/>
                <w:szCs w:val="20"/>
                <w:color w:val="auto"/>
              </w:rPr>
            </w:pPr>
            <w:r>
              <w:rPr>
                <w:rFonts w:ascii="Arial" w:cs="Arial" w:eastAsia="Arial" w:hAnsi="Arial"/>
                <w:sz w:val="13"/>
                <w:szCs w:val="13"/>
                <w:color w:val="auto"/>
              </w:rPr>
              <w:t>4,265,453</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4"/>
              </w:rPr>
              <w:t>9.3%</w:t>
            </w:r>
          </w:p>
        </w:tc>
      </w:tr>
      <w:tr>
        <w:trPr>
          <w:trHeight w:val="146"/>
        </w:trPr>
        <w:tc>
          <w:tcPr>
            <w:tcW w:w="388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Administrative, general and tax expenses</w:t>
            </w:r>
          </w:p>
        </w:tc>
        <w:tc>
          <w:tcPr>
            <w:tcW w:w="102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1,029,027</w:t>
            </w:r>
          </w:p>
        </w:tc>
        <w:tc>
          <w:tcPr>
            <w:tcW w:w="940" w:type="dxa"/>
            <w:vAlign w:val="bottom"/>
          </w:tcPr>
          <w:p>
            <w:pPr>
              <w:jc w:val="right"/>
              <w:ind w:right="135"/>
              <w:spacing w:after="0" w:line="146" w:lineRule="exact"/>
              <w:rPr>
                <w:sz w:val="20"/>
                <w:szCs w:val="20"/>
                <w:color w:val="auto"/>
              </w:rPr>
            </w:pPr>
            <w:r>
              <w:rPr>
                <w:rFonts w:ascii="Arial" w:cs="Arial" w:eastAsia="Arial" w:hAnsi="Arial"/>
                <w:sz w:val="13"/>
                <w:szCs w:val="13"/>
                <w:color w:val="auto"/>
              </w:rPr>
              <w:t>1,007,894</w:t>
            </w:r>
          </w:p>
        </w:tc>
        <w:tc>
          <w:tcPr>
            <w:tcW w:w="88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1,089,203</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rPr>
              <w:t>8.1%</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4"/>
              </w:rPr>
              <w:t>5.8%</w:t>
            </w:r>
          </w:p>
        </w:tc>
        <w:tc>
          <w:tcPr>
            <w:tcW w:w="1140" w:type="dxa"/>
            <w:vAlign w:val="bottom"/>
          </w:tcPr>
          <w:p>
            <w:pPr>
              <w:jc w:val="right"/>
              <w:ind w:right="275"/>
              <w:spacing w:after="0" w:line="146" w:lineRule="exact"/>
              <w:rPr>
                <w:sz w:val="20"/>
                <w:szCs w:val="20"/>
                <w:color w:val="auto"/>
              </w:rPr>
            </w:pPr>
            <w:r>
              <w:rPr>
                <w:rFonts w:ascii="Arial" w:cs="Arial" w:eastAsia="Arial" w:hAnsi="Arial"/>
                <w:sz w:val="13"/>
                <w:szCs w:val="13"/>
                <w:color w:val="auto"/>
              </w:rPr>
              <w:t>3,414,065</w:t>
            </w:r>
          </w:p>
        </w:tc>
        <w:tc>
          <w:tcPr>
            <w:tcW w:w="74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3,803,203</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11.4%</w:t>
            </w:r>
          </w:p>
        </w:tc>
      </w:tr>
      <w:tr>
        <w:trPr>
          <w:trHeight w:val="146"/>
        </w:trPr>
        <w:tc>
          <w:tcPr>
            <w:tcW w:w="388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Depreciation and amortization</w:t>
            </w:r>
          </w:p>
        </w:tc>
        <w:tc>
          <w:tcPr>
            <w:tcW w:w="102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165,694</w:t>
            </w:r>
          </w:p>
        </w:tc>
        <w:tc>
          <w:tcPr>
            <w:tcW w:w="940" w:type="dxa"/>
            <w:vAlign w:val="bottom"/>
          </w:tcPr>
          <w:p>
            <w:pPr>
              <w:jc w:val="right"/>
              <w:ind w:right="135"/>
              <w:spacing w:after="0" w:line="146" w:lineRule="exact"/>
              <w:rPr>
                <w:sz w:val="20"/>
                <w:szCs w:val="20"/>
                <w:color w:val="auto"/>
              </w:rPr>
            </w:pPr>
            <w:r>
              <w:rPr>
                <w:rFonts w:ascii="Arial" w:cs="Arial" w:eastAsia="Arial" w:hAnsi="Arial"/>
                <w:sz w:val="13"/>
                <w:szCs w:val="13"/>
                <w:color w:val="auto"/>
              </w:rPr>
              <w:t>159,761</w:t>
            </w:r>
          </w:p>
        </w:tc>
        <w:tc>
          <w:tcPr>
            <w:tcW w:w="88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177,618</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w w:val="97"/>
              </w:rPr>
              <w:t>11.2%</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4"/>
              </w:rPr>
              <w:t>7.2%</w:t>
            </w:r>
          </w:p>
        </w:tc>
        <w:tc>
          <w:tcPr>
            <w:tcW w:w="1140" w:type="dxa"/>
            <w:vAlign w:val="bottom"/>
          </w:tcPr>
          <w:p>
            <w:pPr>
              <w:jc w:val="right"/>
              <w:ind w:right="275"/>
              <w:spacing w:after="0" w:line="146" w:lineRule="exact"/>
              <w:rPr>
                <w:sz w:val="20"/>
                <w:szCs w:val="20"/>
                <w:color w:val="auto"/>
              </w:rPr>
            </w:pPr>
            <w:r>
              <w:rPr>
                <w:rFonts w:ascii="Arial" w:cs="Arial" w:eastAsia="Arial" w:hAnsi="Arial"/>
                <w:sz w:val="13"/>
                <w:szCs w:val="13"/>
                <w:color w:val="auto"/>
              </w:rPr>
              <w:t>636,489</w:t>
            </w:r>
          </w:p>
        </w:tc>
        <w:tc>
          <w:tcPr>
            <w:tcW w:w="74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659,007</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4"/>
              </w:rPr>
              <w:t>3.5%</w:t>
            </w:r>
          </w:p>
        </w:tc>
      </w:tr>
      <w:tr>
        <w:trPr>
          <w:trHeight w:val="154"/>
        </w:trPr>
        <w:tc>
          <w:tcPr>
            <w:tcW w:w="3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Association in participation</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12,936</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14,634</w:t>
            </w:r>
          </w:p>
        </w:tc>
        <w:tc>
          <w:tcPr>
            <w:tcW w:w="88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3"/>
                <w:szCs w:val="13"/>
                <w:color w:val="auto"/>
              </w:rPr>
              <w:t>9,109</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-37.8%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-29.6%</w:t>
            </w:r>
          </w:p>
        </w:tc>
        <w:tc>
          <w:tcPr>
            <w:tcW w:w="11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40,955</w:t>
            </w:r>
          </w:p>
        </w:tc>
        <w:tc>
          <w:tcPr>
            <w:tcW w:w="74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3"/>
                <w:szCs w:val="13"/>
                <w:color w:val="auto"/>
              </w:rPr>
              <w:t>53,097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29.6%</w:t>
            </w:r>
          </w:p>
        </w:tc>
      </w:tr>
      <w:tr>
        <w:trPr>
          <w:trHeight w:val="138"/>
        </w:trPr>
        <w:tc>
          <w:tcPr>
            <w:tcW w:w="3880" w:type="dxa"/>
            <w:vAlign w:val="bottom"/>
            <w:tcBorders>
              <w:left w:val="single" w:sz="8" w:color="auto"/>
              <w:bottom w:val="single" w:sz="8" w:color="auto"/>
              <w:right w:val="single" w:sz="8" w:color="auto"/>
            </w:tcBorders>
          </w:tcPr>
          <w:p>
            <w:pPr>
              <w:ind w:left="100"/>
              <w:spacing w:after="0" w:line="139" w:lineRule="exact"/>
              <w:rPr>
                <w:sz w:val="20"/>
                <w:szCs w:val="20"/>
                <w:color w:val="auto"/>
              </w:rPr>
            </w:pPr>
            <w:r>
              <w:rPr>
                <w:rFonts w:ascii="Arial" w:cs="Arial" w:eastAsia="Arial" w:hAnsi="Arial"/>
                <w:sz w:val="13"/>
                <w:szCs w:val="13"/>
                <w:color w:val="auto"/>
              </w:rPr>
              <w:t>Operating expenses</w:t>
            </w:r>
          </w:p>
        </w:tc>
        <w:tc>
          <w:tcPr>
            <w:tcW w:w="1020" w:type="dxa"/>
            <w:vAlign w:val="bottom"/>
            <w:tcBorders>
              <w:bottom w:val="single" w:sz="8" w:color="auto"/>
            </w:tcBorders>
          </w:tcPr>
          <w:p>
            <w:pPr>
              <w:jc w:val="right"/>
              <w:ind w:right="75"/>
              <w:spacing w:after="0" w:line="139" w:lineRule="exact"/>
              <w:rPr>
                <w:sz w:val="20"/>
                <w:szCs w:val="20"/>
                <w:color w:val="auto"/>
              </w:rPr>
            </w:pPr>
            <w:r>
              <w:rPr>
                <w:rFonts w:ascii="Arial" w:cs="Arial" w:eastAsia="Arial" w:hAnsi="Arial"/>
                <w:sz w:val="13"/>
                <w:szCs w:val="13"/>
                <w:b w:val="1"/>
                <w:bCs w:val="1"/>
                <w:color w:val="auto"/>
              </w:rPr>
              <w:t>2,243,805</w:t>
            </w:r>
          </w:p>
        </w:tc>
        <w:tc>
          <w:tcPr>
            <w:tcW w:w="94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2,243,691</w:t>
            </w:r>
          </w:p>
        </w:tc>
        <w:tc>
          <w:tcPr>
            <w:tcW w:w="880" w:type="dxa"/>
            <w:vAlign w:val="bottom"/>
            <w:tcBorders>
              <w:bottom w:val="single" w:sz="8" w:color="auto"/>
              <w:right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2,395,688</w:t>
            </w:r>
          </w:p>
        </w:tc>
        <w:tc>
          <w:tcPr>
            <w:tcW w:w="8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6.8%</w:t>
            </w:r>
          </w:p>
        </w:tc>
        <w:tc>
          <w:tcPr>
            <w:tcW w:w="90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6.8%</w:t>
            </w:r>
          </w:p>
        </w:tc>
        <w:tc>
          <w:tcPr>
            <w:tcW w:w="1140" w:type="dxa"/>
            <w:vAlign w:val="bottom"/>
            <w:tcBorders>
              <w:bottom w:val="single" w:sz="8" w:color="auto"/>
            </w:tcBorders>
          </w:tcPr>
          <w:p>
            <w:pPr>
              <w:jc w:val="right"/>
              <w:ind w:right="275"/>
              <w:spacing w:after="0" w:line="139" w:lineRule="exact"/>
              <w:rPr>
                <w:sz w:val="20"/>
                <w:szCs w:val="20"/>
                <w:color w:val="auto"/>
              </w:rPr>
            </w:pPr>
            <w:r>
              <w:rPr>
                <w:rFonts w:ascii="Arial" w:cs="Arial" w:eastAsia="Arial" w:hAnsi="Arial"/>
                <w:sz w:val="13"/>
                <w:szCs w:val="13"/>
                <w:b w:val="1"/>
                <w:bCs w:val="1"/>
                <w:color w:val="auto"/>
              </w:rPr>
              <w:t>7,993,670</w:t>
            </w:r>
          </w:p>
        </w:tc>
        <w:tc>
          <w:tcPr>
            <w:tcW w:w="740" w:type="dxa"/>
            <w:vAlign w:val="bottom"/>
            <w:tcBorders>
              <w:bottom w:val="single" w:sz="8" w:color="auto"/>
              <w:right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8,780,760</w:t>
            </w:r>
          </w:p>
        </w:tc>
        <w:tc>
          <w:tcPr>
            <w:tcW w:w="90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9.8%</w:t>
            </w:r>
          </w:p>
        </w:tc>
      </w:tr>
    </w:tbl>
    <w:p>
      <w:pPr>
        <w:spacing w:after="0" w:line="166"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the analysis of expenses, we consider solely YTD movements to eliminate the impact of seasonality between quarters.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6"/>
          <w:szCs w:val="16"/>
          <w:color w:val="auto"/>
        </w:rPr>
        <w:t>Operating expenses remain high due to:</w:t>
      </w:r>
    </w:p>
    <w:p>
      <w:pPr>
        <w:spacing w:after="0" w:line="182" w:lineRule="exact"/>
        <w:rPr>
          <w:sz w:val="20"/>
          <w:szCs w:val="20"/>
          <w:color w:val="auto"/>
        </w:rPr>
      </w:pPr>
    </w:p>
    <w:p>
      <w:pPr>
        <w:jc w:val="both"/>
        <w:ind w:left="302" w:right="20" w:hanging="302"/>
        <w:spacing w:after="0" w:line="251" w:lineRule="auto"/>
        <w:tabs>
          <w:tab w:leader="none" w:pos="302" w:val="left"/>
        </w:tabs>
        <w:numPr>
          <w:ilvl w:val="0"/>
          <w:numId w:val="39"/>
        </w:numPr>
        <w:rPr>
          <w:rFonts w:ascii="Arial" w:cs="Arial" w:eastAsia="Arial" w:hAnsi="Arial"/>
          <w:sz w:val="16"/>
          <w:szCs w:val="16"/>
          <w:color w:val="auto"/>
        </w:rPr>
      </w:pPr>
      <w:r>
        <w:rPr>
          <w:rFonts w:ascii="Arial" w:cs="Arial" w:eastAsia="Arial" w:hAnsi="Arial"/>
          <w:sz w:val="16"/>
          <w:szCs w:val="16"/>
          <w:color w:val="auto"/>
        </w:rPr>
        <w:t>Growth in Administrative and general expenses and taxes, mainly at BCP and associated with IT expenses related to an uptick in transactionality as well as development of and investment in disruption. Expenses for Advertising and Fidelity programs rose for both the core business and disruptive initiatives.</w:t>
      </w:r>
    </w:p>
    <w:p>
      <w:pPr>
        <w:spacing w:after="0" w:line="179" w:lineRule="exact"/>
        <w:rPr>
          <w:rFonts w:ascii="Arial" w:cs="Arial" w:eastAsia="Arial" w:hAnsi="Arial"/>
          <w:sz w:val="16"/>
          <w:szCs w:val="16"/>
          <w:color w:val="auto"/>
        </w:rPr>
      </w:pPr>
    </w:p>
    <w:p>
      <w:pPr>
        <w:ind w:left="302" w:hanging="302"/>
        <w:spacing w:after="0"/>
        <w:tabs>
          <w:tab w:leader="none" w:pos="30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increase in Salaries and Employee Benefits, which was primarily attributable to an increase in the headcount of specialized IT personnel.</w:t>
      </w:r>
    </w:p>
    <w:p>
      <w:pPr>
        <w:spacing w:after="0" w:line="166" w:lineRule="exact"/>
        <w:rPr>
          <w:sz w:val="20"/>
          <w:szCs w:val="20"/>
          <w:color w:val="auto"/>
        </w:rPr>
      </w:pPr>
    </w:p>
    <w:p>
      <w:pPr>
        <w:ind w:left="2" w:right="1560"/>
        <w:spacing w:after="0" w:line="488" w:lineRule="auto"/>
        <w:rPr>
          <w:sz w:val="20"/>
          <w:szCs w:val="20"/>
          <w:color w:val="auto"/>
        </w:rPr>
      </w:pPr>
      <w:r>
        <w:rPr>
          <w:rFonts w:ascii="Arial" w:cs="Arial" w:eastAsia="Arial" w:hAnsi="Arial"/>
          <w:sz w:val="16"/>
          <w:szCs w:val="16"/>
          <w:color w:val="auto"/>
        </w:rPr>
        <w:t xml:space="preserve">The uptick in operating expenses YTD stood at 9.8%. If we exclude disruption expenses, growth in operating expenses YTD was 5.6%. </w:t>
      </w:r>
      <w:r>
        <w:rPr>
          <w:rFonts w:ascii="Arial" w:cs="Arial" w:eastAsia="Arial" w:hAnsi="Arial"/>
          <w:sz w:val="16"/>
          <w:szCs w:val="16"/>
          <w:b w:val="1"/>
          <w:bCs w:val="1"/>
          <w:color w:val="auto"/>
        </w:rPr>
        <w:t>Administrative and General Expenses</w:t>
      </w:r>
    </w:p>
    <w:tbl>
      <w:tblPr>
        <w:tblLayout w:type="fixed"/>
        <w:tblInd w:w="12" w:type="dxa"/>
        <w:tblCellMar>
          <w:top w:w="0" w:type="dxa"/>
          <w:left w:w="0" w:type="dxa"/>
          <w:bottom w:w="0" w:type="dxa"/>
          <w:right w:w="0" w:type="dxa"/>
        </w:tblCellMar>
      </w:tblPr>
      <w:tr>
        <w:trPr>
          <w:trHeight w:val="187"/>
        </w:trPr>
        <w:tc>
          <w:tcPr>
            <w:tcW w:w="4060" w:type="dxa"/>
            <w:vAlign w:val="bottom"/>
            <w:tcBorders>
              <w:top w:val="single" w:sz="8" w:color="auto"/>
              <w:left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Administrative general, and tax expenses</w:t>
            </w:r>
          </w:p>
        </w:tc>
        <w:tc>
          <w:tcPr>
            <w:tcW w:w="960" w:type="dxa"/>
            <w:vAlign w:val="bottom"/>
            <w:tcBorders>
              <w:top w:val="single" w:sz="8" w:color="auto"/>
            </w:tcBorders>
            <w:shd w:val="clear" w:color="auto" w:fill="2AD2C9"/>
          </w:tcPr>
          <w:p>
            <w:pPr>
              <w:spacing w:after="0"/>
              <w:rPr>
                <w:sz w:val="16"/>
                <w:szCs w:val="16"/>
                <w:color w:val="auto"/>
              </w:rPr>
            </w:pPr>
          </w:p>
        </w:tc>
        <w:tc>
          <w:tcPr>
            <w:tcW w:w="900" w:type="dxa"/>
            <w:vAlign w:val="bottom"/>
            <w:tcBorders>
              <w:top w:val="single" w:sz="8" w:color="auto"/>
            </w:tcBorders>
            <w:shd w:val="clear" w:color="auto" w:fill="2AD2C9"/>
          </w:tcPr>
          <w:p>
            <w:pPr>
              <w:jc w:val="right"/>
              <w:ind w:right="215"/>
              <w:spacing w:after="0"/>
              <w:rPr>
                <w:sz w:val="20"/>
                <w:szCs w:val="20"/>
                <w:color w:val="auto"/>
              </w:rPr>
            </w:pPr>
            <w:r>
              <w:rPr>
                <w:rFonts w:ascii="Arial" w:cs="Arial" w:eastAsia="Arial" w:hAnsi="Arial"/>
                <w:sz w:val="13"/>
                <w:szCs w:val="13"/>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16"/>
                <w:szCs w:val="16"/>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c>
          <w:tcPr>
            <w:tcW w:w="106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Year</w:t>
            </w:r>
          </w:p>
        </w:tc>
        <w:tc>
          <w:tcPr>
            <w:tcW w:w="720" w:type="dxa"/>
            <w:vAlign w:val="bottom"/>
            <w:tcBorders>
              <w:top w:val="single" w:sz="8" w:color="auto"/>
              <w:right w:val="single" w:sz="8" w:color="auto"/>
            </w:tcBorders>
            <w:shd w:val="clear" w:color="auto" w:fill="2AD2C9"/>
          </w:tcPr>
          <w:p>
            <w:pPr>
              <w:spacing w:after="0"/>
              <w:rPr>
                <w:sz w:val="16"/>
                <w:szCs w:val="16"/>
                <w:color w:val="auto"/>
              </w:rPr>
            </w:pPr>
          </w:p>
        </w:tc>
        <w:tc>
          <w:tcPr>
            <w:tcW w:w="900" w:type="dxa"/>
            <w:vAlign w:val="bottom"/>
            <w:tcBorders>
              <w:top w:val="single" w:sz="8" w:color="auto"/>
              <w:right w:val="single" w:sz="8" w:color="auto"/>
            </w:tcBorders>
            <w:shd w:val="clear" w:color="auto" w:fill="2AD2C9"/>
          </w:tcPr>
          <w:p>
            <w:pPr>
              <w:ind w:left="140"/>
              <w:spacing w:after="0"/>
              <w:rPr>
                <w:sz w:val="20"/>
                <w:szCs w:val="20"/>
                <w:color w:val="auto"/>
              </w:rPr>
            </w:pPr>
            <w:r>
              <w:rPr>
                <w:rFonts w:ascii="Arial" w:cs="Arial" w:eastAsia="Arial" w:hAnsi="Arial"/>
                <w:sz w:val="13"/>
                <w:szCs w:val="13"/>
                <w:b w:val="1"/>
                <w:bCs w:val="1"/>
                <w:color w:val="FFFFFF"/>
              </w:rPr>
              <w:t>% change</w:t>
            </w:r>
          </w:p>
        </w:tc>
      </w:tr>
      <w:tr>
        <w:trPr>
          <w:trHeight w:val="195"/>
        </w:trPr>
        <w:tc>
          <w:tcPr>
            <w:tcW w:w="406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S/000</w:t>
            </w:r>
          </w:p>
        </w:tc>
        <w:tc>
          <w:tcPr>
            <w:tcW w:w="960" w:type="dxa"/>
            <w:vAlign w:val="bottom"/>
            <w:tcBorders>
              <w:bottom w:val="single" w:sz="8" w:color="auto"/>
            </w:tcBorders>
            <w:shd w:val="clear" w:color="auto" w:fill="2AD2C9"/>
          </w:tcPr>
          <w:p>
            <w:pPr>
              <w:jc w:val="right"/>
              <w:ind w:right="295"/>
              <w:spacing w:after="0"/>
              <w:rPr>
                <w:sz w:val="20"/>
                <w:szCs w:val="20"/>
                <w:color w:val="auto"/>
              </w:rPr>
            </w:pPr>
            <w:r>
              <w:rPr>
                <w:rFonts w:ascii="Arial" w:cs="Arial" w:eastAsia="Arial" w:hAnsi="Arial"/>
                <w:sz w:val="13"/>
                <w:szCs w:val="13"/>
                <w:b w:val="1"/>
                <w:bCs w:val="1"/>
                <w:color w:val="FFFFFF"/>
              </w:rPr>
              <w:t>4Q22</w:t>
            </w:r>
          </w:p>
        </w:tc>
        <w:tc>
          <w:tcPr>
            <w:tcW w:w="900" w:type="dxa"/>
            <w:vAlign w:val="bottom"/>
            <w:tcBorders>
              <w:bottom w:val="single" w:sz="8" w:color="auto"/>
            </w:tcBorders>
            <w:shd w:val="clear" w:color="auto" w:fill="2AD2C9"/>
          </w:tcPr>
          <w:p>
            <w:pPr>
              <w:jc w:val="right"/>
              <w:ind w:right="295"/>
              <w:spacing w:after="0"/>
              <w:rPr>
                <w:sz w:val="20"/>
                <w:szCs w:val="20"/>
                <w:color w:val="auto"/>
              </w:rPr>
            </w:pPr>
            <w:r>
              <w:rPr>
                <w:rFonts w:ascii="Arial" w:cs="Arial" w:eastAsia="Arial" w:hAnsi="Arial"/>
                <w:sz w:val="13"/>
                <w:szCs w:val="13"/>
                <w:b w:val="1"/>
                <w:bCs w:val="1"/>
                <w:color w:val="FFFFFF"/>
              </w:rPr>
              <w:t>3Q23</w:t>
            </w:r>
          </w:p>
        </w:tc>
        <w:tc>
          <w:tcPr>
            <w:tcW w:w="860" w:type="dxa"/>
            <w:vAlign w:val="bottom"/>
            <w:tcBorders>
              <w:bottom w:val="single" w:sz="8" w:color="auto"/>
              <w:right w:val="single" w:sz="8" w:color="auto"/>
            </w:tcBorders>
            <w:shd w:val="clear" w:color="auto" w:fill="2AD2C9"/>
          </w:tcPr>
          <w:p>
            <w:pPr>
              <w:jc w:val="right"/>
              <w:ind w:right="255"/>
              <w:spacing w:after="0"/>
              <w:rPr>
                <w:sz w:val="20"/>
                <w:szCs w:val="20"/>
                <w:color w:val="auto"/>
              </w:rPr>
            </w:pPr>
            <w:r>
              <w:rPr>
                <w:rFonts w:ascii="Arial" w:cs="Arial" w:eastAsia="Arial" w:hAnsi="Arial"/>
                <w:sz w:val="13"/>
                <w:szCs w:val="13"/>
                <w:b w:val="1"/>
                <w:bCs w:val="1"/>
                <w:color w:val="FFFFFF"/>
              </w:rPr>
              <w:t>4Q23</w:t>
            </w:r>
          </w:p>
        </w:tc>
        <w:tc>
          <w:tcPr>
            <w:tcW w:w="88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3"/>
                <w:szCs w:val="13"/>
                <w:b w:val="1"/>
                <w:bCs w:val="1"/>
                <w:color w:val="FFFFFF"/>
              </w:rPr>
              <w:t>QoQ</w:t>
            </w:r>
          </w:p>
        </w:tc>
        <w:tc>
          <w:tcPr>
            <w:tcW w:w="92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3"/>
                <w:szCs w:val="13"/>
                <w:b w:val="1"/>
                <w:bCs w:val="1"/>
                <w:color w:val="FFFFFF"/>
              </w:rPr>
              <w:t>YoY</w:t>
            </w:r>
          </w:p>
        </w:tc>
        <w:tc>
          <w:tcPr>
            <w:tcW w:w="1060" w:type="dxa"/>
            <w:vAlign w:val="bottom"/>
            <w:tcBorders>
              <w:bottom w:val="single" w:sz="8" w:color="auto"/>
            </w:tcBorders>
            <w:shd w:val="clear" w:color="auto" w:fill="2AD2C9"/>
          </w:tcPr>
          <w:p>
            <w:pPr>
              <w:jc w:val="right"/>
              <w:ind w:right="415"/>
              <w:spacing w:after="0"/>
              <w:rPr>
                <w:sz w:val="20"/>
                <w:szCs w:val="20"/>
                <w:color w:val="auto"/>
              </w:rPr>
            </w:pPr>
            <w:r>
              <w:rPr>
                <w:rFonts w:ascii="Arial" w:cs="Arial" w:eastAsia="Arial" w:hAnsi="Arial"/>
                <w:sz w:val="13"/>
                <w:szCs w:val="13"/>
                <w:b w:val="1"/>
                <w:bCs w:val="1"/>
                <w:color w:val="FFFFFF"/>
              </w:rPr>
              <w:t>2022</w:t>
            </w:r>
          </w:p>
        </w:tc>
        <w:tc>
          <w:tcPr>
            <w:tcW w:w="720" w:type="dxa"/>
            <w:vAlign w:val="bottom"/>
            <w:tcBorders>
              <w:bottom w:val="single" w:sz="8" w:color="auto"/>
              <w:right w:val="single" w:sz="8" w:color="auto"/>
            </w:tcBorders>
            <w:shd w:val="clear" w:color="auto" w:fill="2AD2C9"/>
          </w:tcPr>
          <w:p>
            <w:pPr>
              <w:jc w:val="right"/>
              <w:ind w:right="255"/>
              <w:spacing w:after="0"/>
              <w:rPr>
                <w:sz w:val="20"/>
                <w:szCs w:val="20"/>
                <w:color w:val="auto"/>
              </w:rPr>
            </w:pPr>
            <w:r>
              <w:rPr>
                <w:rFonts w:ascii="Arial" w:cs="Arial" w:eastAsia="Arial" w:hAnsi="Arial"/>
                <w:sz w:val="13"/>
                <w:szCs w:val="13"/>
                <w:b w:val="1"/>
                <w:bCs w:val="1"/>
                <w:color w:val="FFFFFF"/>
              </w:rPr>
              <w:t>2023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7"/>
              </w:rPr>
              <w:t>2022/2023</w:t>
            </w:r>
          </w:p>
        </w:tc>
      </w:tr>
      <w:tr>
        <w:trPr>
          <w:trHeight w:val="131"/>
        </w:trPr>
        <w:tc>
          <w:tcPr>
            <w:tcW w:w="4060" w:type="dxa"/>
            <w:vAlign w:val="bottom"/>
            <w:tcBorders>
              <w:left w:val="single" w:sz="8" w:color="auto"/>
              <w:right w:val="single" w:sz="8" w:color="auto"/>
            </w:tcBorders>
          </w:tcPr>
          <w:p>
            <w:pPr>
              <w:ind w:left="100"/>
              <w:spacing w:after="0" w:line="131" w:lineRule="exact"/>
              <w:rPr>
                <w:sz w:val="20"/>
                <w:szCs w:val="20"/>
                <w:color w:val="auto"/>
              </w:rPr>
            </w:pPr>
            <w:r>
              <w:rPr>
                <w:rFonts w:ascii="Arial" w:cs="Arial" w:eastAsia="Arial" w:hAnsi="Arial"/>
                <w:sz w:val="13"/>
                <w:szCs w:val="13"/>
                <w:color w:val="auto"/>
              </w:rPr>
              <w:t>IT expenses and IT third-party services</w:t>
            </w:r>
          </w:p>
        </w:tc>
        <w:tc>
          <w:tcPr>
            <w:tcW w:w="960" w:type="dxa"/>
            <w:vAlign w:val="bottom"/>
          </w:tcPr>
          <w:p>
            <w:pPr>
              <w:jc w:val="right"/>
              <w:ind w:right="95"/>
              <w:spacing w:after="0" w:line="131" w:lineRule="exact"/>
              <w:rPr>
                <w:sz w:val="20"/>
                <w:szCs w:val="20"/>
                <w:color w:val="auto"/>
              </w:rPr>
            </w:pPr>
            <w:r>
              <w:rPr>
                <w:rFonts w:ascii="Arial" w:cs="Arial" w:eastAsia="Arial" w:hAnsi="Arial"/>
                <w:sz w:val="13"/>
                <w:szCs w:val="13"/>
                <w:color w:val="auto"/>
              </w:rPr>
              <w:t>262,822</w:t>
            </w:r>
          </w:p>
        </w:tc>
        <w:tc>
          <w:tcPr>
            <w:tcW w:w="900" w:type="dxa"/>
            <w:vAlign w:val="bottom"/>
          </w:tcPr>
          <w:p>
            <w:pPr>
              <w:jc w:val="right"/>
              <w:ind w:right="95"/>
              <w:spacing w:after="0" w:line="131" w:lineRule="exact"/>
              <w:rPr>
                <w:sz w:val="20"/>
                <w:szCs w:val="20"/>
                <w:color w:val="auto"/>
              </w:rPr>
            </w:pPr>
            <w:r>
              <w:rPr>
                <w:rFonts w:ascii="Arial" w:cs="Arial" w:eastAsia="Arial" w:hAnsi="Arial"/>
                <w:sz w:val="13"/>
                <w:szCs w:val="13"/>
                <w:color w:val="auto"/>
              </w:rPr>
              <w:t>271,304</w:t>
            </w:r>
          </w:p>
        </w:tc>
        <w:tc>
          <w:tcPr>
            <w:tcW w:w="860" w:type="dxa"/>
            <w:vAlign w:val="bottom"/>
            <w:tcBorders>
              <w:right w:val="single" w:sz="8" w:color="auto"/>
            </w:tcBorders>
          </w:tcPr>
          <w:p>
            <w:pPr>
              <w:jc w:val="right"/>
              <w:ind w:right="55"/>
              <w:spacing w:after="0" w:line="131" w:lineRule="exact"/>
              <w:rPr>
                <w:sz w:val="20"/>
                <w:szCs w:val="20"/>
                <w:color w:val="auto"/>
              </w:rPr>
            </w:pPr>
            <w:r>
              <w:rPr>
                <w:rFonts w:ascii="Arial" w:cs="Arial" w:eastAsia="Arial" w:hAnsi="Arial"/>
                <w:sz w:val="13"/>
                <w:szCs w:val="13"/>
                <w:color w:val="auto"/>
              </w:rPr>
              <w:t>311,417</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rPr>
              <w:t>14.8%</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18.5%</w:t>
            </w:r>
          </w:p>
        </w:tc>
        <w:tc>
          <w:tcPr>
            <w:tcW w:w="1060" w:type="dxa"/>
            <w:vAlign w:val="bottom"/>
          </w:tcPr>
          <w:p>
            <w:pPr>
              <w:jc w:val="right"/>
              <w:ind w:right="195"/>
              <w:spacing w:after="0" w:line="131" w:lineRule="exact"/>
              <w:rPr>
                <w:sz w:val="20"/>
                <w:szCs w:val="20"/>
                <w:color w:val="auto"/>
              </w:rPr>
            </w:pPr>
            <w:r>
              <w:rPr>
                <w:rFonts w:ascii="Arial" w:cs="Arial" w:eastAsia="Arial" w:hAnsi="Arial"/>
                <w:sz w:val="13"/>
                <w:szCs w:val="13"/>
                <w:color w:val="auto"/>
              </w:rPr>
              <w:t>908,339</w:t>
            </w:r>
          </w:p>
        </w:tc>
        <w:tc>
          <w:tcPr>
            <w:tcW w:w="720" w:type="dxa"/>
            <w:vAlign w:val="bottom"/>
            <w:tcBorders>
              <w:right w:val="single" w:sz="8" w:color="auto"/>
            </w:tcBorders>
          </w:tcPr>
          <w:p>
            <w:pPr>
              <w:jc w:val="right"/>
              <w:ind w:right="35"/>
              <w:spacing w:after="0" w:line="131" w:lineRule="exact"/>
              <w:rPr>
                <w:sz w:val="20"/>
                <w:szCs w:val="20"/>
                <w:color w:val="auto"/>
              </w:rPr>
            </w:pPr>
            <w:r>
              <w:rPr>
                <w:rFonts w:ascii="Arial" w:cs="Arial" w:eastAsia="Arial" w:hAnsi="Arial"/>
                <w:sz w:val="13"/>
                <w:szCs w:val="13"/>
                <w:color w:val="auto"/>
              </w:rPr>
              <w:t>1,080,001</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18.9%</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Advertising and customer loyalty programs</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212,707</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171,902</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239,028</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39.0%</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12.4%</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652,587</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720,718</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10.4%</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Taxes and contributions</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94,071</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65,606</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93,090</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41.9%</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-1.0%</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280,171</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264,326</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-5.7%</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Audit Services, Consulting and professional fees</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139,096</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112,480</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105,340</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w w:val="99"/>
              </w:rPr>
              <w:t>-6.3%</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-24.3%</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333,325</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336,715</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4"/>
              </w:rPr>
              <w:t>1.0%</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Transport and communications</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63,981</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57,518</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60,869</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5.8%</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-4.9%</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225,491</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226,860</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4"/>
              </w:rPr>
              <w:t>0.6%</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Repair and maintenance</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36,079</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44,084</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49,698</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12.7%</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37.7%</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136,105</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157,127</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15.4%</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Agents’ Fees</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27,673</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29,310</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31,911</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8.9%</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15.3%</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106,356</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115,120</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4"/>
              </w:rPr>
              <w:t>8.2%</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Services by third-party</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35,338</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45,426</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43,936</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w w:val="99"/>
              </w:rPr>
              <w:t>-3.3%</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24.3%</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113,211</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144,534</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27.7%</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Leases of low value and short-term</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23,968</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27,754</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30,205</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8.8%</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26.0%</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91,680</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108,357</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18.2%</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Miscellaneous supplies</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22,845</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27,091</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30,589</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12.9%</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33.9%</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87,844</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118,510</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34.9%</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Security and protection</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16,365</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16,064</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16,575</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3.2%</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1.3%</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64,480</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64,432</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-0.1%</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Subscriptions and quotes</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14,322</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14,391</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18,444</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28.2%</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28.8%</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55,914</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61,945</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10.8%</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Electricity and water</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14,848</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13,592</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16,316</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20.0%</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9.9%</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50,566</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56,359</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11.5%</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Electronic processing</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12,225</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9,959</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11,284</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13.3%</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-7.7%</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35,896</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39,764</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10.8%</w:t>
            </w:r>
          </w:p>
        </w:tc>
      </w:tr>
      <w:tr>
        <w:trPr>
          <w:trHeight w:val="146"/>
        </w:trPr>
        <w:tc>
          <w:tcPr>
            <w:tcW w:w="40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Insurance</w:t>
            </w:r>
          </w:p>
        </w:tc>
        <w:tc>
          <w:tcPr>
            <w:tcW w:w="9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8,629</w:t>
            </w:r>
          </w:p>
        </w:tc>
        <w:tc>
          <w:tcPr>
            <w:tcW w:w="9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38,034</w:t>
            </w:r>
          </w:p>
        </w:tc>
        <w:tc>
          <w:tcPr>
            <w:tcW w:w="86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4,518</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-88.1%</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-47.6%</w:t>
            </w:r>
          </w:p>
        </w:tc>
        <w:tc>
          <w:tcPr>
            <w:tcW w:w="106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62,994</w:t>
            </w:r>
          </w:p>
        </w:tc>
        <w:tc>
          <w:tcPr>
            <w:tcW w:w="720" w:type="dxa"/>
            <w:vAlign w:val="bottom"/>
            <w:tcBorders>
              <w:right w:val="single" w:sz="8" w:color="auto"/>
            </w:tcBorders>
          </w:tcPr>
          <w:p>
            <w:pPr>
              <w:jc w:val="right"/>
              <w:ind w:right="35"/>
              <w:spacing w:after="0" w:line="146" w:lineRule="exact"/>
              <w:rPr>
                <w:sz w:val="20"/>
                <w:szCs w:val="20"/>
                <w:color w:val="auto"/>
              </w:rPr>
            </w:pPr>
            <w:r>
              <w:rPr>
                <w:rFonts w:ascii="Arial" w:cs="Arial" w:eastAsia="Arial" w:hAnsi="Arial"/>
                <w:sz w:val="13"/>
                <w:szCs w:val="13"/>
                <w:color w:val="auto"/>
              </w:rPr>
              <w:t>56,324</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-10.6%</w:t>
            </w:r>
          </w:p>
        </w:tc>
      </w:tr>
      <w:tr>
        <w:trPr>
          <w:trHeight w:val="131"/>
        </w:trPr>
        <w:tc>
          <w:tcPr>
            <w:tcW w:w="4060" w:type="dxa"/>
            <w:vAlign w:val="bottom"/>
            <w:tcBorders>
              <w:left w:val="single" w:sz="8" w:color="auto"/>
              <w:right w:val="single" w:sz="8" w:color="auto"/>
            </w:tcBorders>
          </w:tcPr>
          <w:p>
            <w:pPr>
              <w:ind w:left="100"/>
              <w:spacing w:after="0" w:line="131" w:lineRule="exact"/>
              <w:rPr>
                <w:sz w:val="20"/>
                <w:szCs w:val="20"/>
                <w:color w:val="auto"/>
              </w:rPr>
            </w:pPr>
            <w:r>
              <w:rPr>
                <w:rFonts w:ascii="Arial" w:cs="Arial" w:eastAsia="Arial" w:hAnsi="Arial"/>
                <w:sz w:val="13"/>
                <w:szCs w:val="13"/>
                <w:color w:val="auto"/>
              </w:rPr>
              <w:t>Cleaning</w:t>
            </w:r>
          </w:p>
        </w:tc>
        <w:tc>
          <w:tcPr>
            <w:tcW w:w="960" w:type="dxa"/>
            <w:vAlign w:val="bottom"/>
          </w:tcPr>
          <w:p>
            <w:pPr>
              <w:jc w:val="right"/>
              <w:ind w:right="95"/>
              <w:spacing w:after="0" w:line="131" w:lineRule="exact"/>
              <w:rPr>
                <w:sz w:val="20"/>
                <w:szCs w:val="20"/>
                <w:color w:val="auto"/>
              </w:rPr>
            </w:pPr>
            <w:r>
              <w:rPr>
                <w:rFonts w:ascii="Arial" w:cs="Arial" w:eastAsia="Arial" w:hAnsi="Arial"/>
                <w:sz w:val="13"/>
                <w:szCs w:val="13"/>
                <w:color w:val="auto"/>
              </w:rPr>
              <w:t>5,368</w:t>
            </w:r>
          </w:p>
        </w:tc>
        <w:tc>
          <w:tcPr>
            <w:tcW w:w="900" w:type="dxa"/>
            <w:vAlign w:val="bottom"/>
          </w:tcPr>
          <w:p>
            <w:pPr>
              <w:jc w:val="right"/>
              <w:ind w:right="95"/>
              <w:spacing w:after="0" w:line="131" w:lineRule="exact"/>
              <w:rPr>
                <w:sz w:val="20"/>
                <w:szCs w:val="20"/>
                <w:color w:val="auto"/>
              </w:rPr>
            </w:pPr>
            <w:r>
              <w:rPr>
                <w:rFonts w:ascii="Arial" w:cs="Arial" w:eastAsia="Arial" w:hAnsi="Arial"/>
                <w:sz w:val="13"/>
                <w:szCs w:val="13"/>
                <w:color w:val="auto"/>
              </w:rPr>
              <w:t>5,930</w:t>
            </w:r>
          </w:p>
        </w:tc>
        <w:tc>
          <w:tcPr>
            <w:tcW w:w="860" w:type="dxa"/>
            <w:vAlign w:val="bottom"/>
            <w:tcBorders>
              <w:right w:val="single" w:sz="8" w:color="auto"/>
            </w:tcBorders>
          </w:tcPr>
          <w:p>
            <w:pPr>
              <w:jc w:val="right"/>
              <w:ind w:right="55"/>
              <w:spacing w:after="0" w:line="131" w:lineRule="exact"/>
              <w:rPr>
                <w:sz w:val="20"/>
                <w:szCs w:val="20"/>
                <w:color w:val="auto"/>
              </w:rPr>
            </w:pPr>
            <w:r>
              <w:rPr>
                <w:rFonts w:ascii="Arial" w:cs="Arial" w:eastAsia="Arial" w:hAnsi="Arial"/>
                <w:sz w:val="13"/>
                <w:szCs w:val="13"/>
                <w:color w:val="auto"/>
              </w:rPr>
              <w:t>6,122</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rPr>
              <w:t>3.2%</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14.0%</w:t>
            </w:r>
          </w:p>
        </w:tc>
        <w:tc>
          <w:tcPr>
            <w:tcW w:w="1060" w:type="dxa"/>
            <w:vAlign w:val="bottom"/>
          </w:tcPr>
          <w:p>
            <w:pPr>
              <w:jc w:val="right"/>
              <w:ind w:right="195"/>
              <w:spacing w:after="0" w:line="131" w:lineRule="exact"/>
              <w:rPr>
                <w:sz w:val="20"/>
                <w:szCs w:val="20"/>
                <w:color w:val="auto"/>
              </w:rPr>
            </w:pPr>
            <w:r>
              <w:rPr>
                <w:rFonts w:ascii="Arial" w:cs="Arial" w:eastAsia="Arial" w:hAnsi="Arial"/>
                <w:sz w:val="13"/>
                <w:szCs w:val="13"/>
                <w:color w:val="auto"/>
              </w:rPr>
              <w:t>20,435</w:t>
            </w:r>
          </w:p>
        </w:tc>
        <w:tc>
          <w:tcPr>
            <w:tcW w:w="720" w:type="dxa"/>
            <w:vAlign w:val="bottom"/>
            <w:tcBorders>
              <w:right w:val="single" w:sz="8" w:color="auto"/>
            </w:tcBorders>
          </w:tcPr>
          <w:p>
            <w:pPr>
              <w:jc w:val="right"/>
              <w:ind w:right="35"/>
              <w:spacing w:after="0" w:line="131" w:lineRule="exact"/>
              <w:rPr>
                <w:sz w:val="20"/>
                <w:szCs w:val="20"/>
                <w:color w:val="auto"/>
              </w:rPr>
            </w:pPr>
            <w:r>
              <w:rPr>
                <w:rFonts w:ascii="Arial" w:cs="Arial" w:eastAsia="Arial" w:hAnsi="Arial"/>
                <w:sz w:val="13"/>
                <w:szCs w:val="13"/>
                <w:color w:val="auto"/>
              </w:rPr>
              <w:t>22,677</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11.0%</w:t>
            </w:r>
          </w:p>
        </w:tc>
      </w:tr>
      <w:tr>
        <w:trPr>
          <w:trHeight w:val="169"/>
        </w:trPr>
        <w:tc>
          <w:tcPr>
            <w:tcW w:w="4060" w:type="dxa"/>
            <w:vAlign w:val="bottom"/>
            <w:tcBorders>
              <w:left w:val="single" w:sz="8" w:color="auto"/>
              <w:bottom w:val="single" w:sz="8" w:color="auto"/>
              <w:right w:val="single" w:sz="8" w:color="auto"/>
            </w:tcBorders>
          </w:tcPr>
          <w:p>
            <w:pPr>
              <w:ind w:left="100"/>
              <w:spacing w:after="0" w:line="169" w:lineRule="exact"/>
              <w:rPr>
                <w:sz w:val="20"/>
                <w:szCs w:val="20"/>
                <w:color w:val="auto"/>
              </w:rPr>
            </w:pPr>
            <w:r>
              <w:rPr>
                <w:rFonts w:ascii="Arial" w:cs="Arial" w:eastAsia="Arial" w:hAnsi="Arial"/>
                <w:sz w:val="12"/>
                <w:szCs w:val="12"/>
                <w:color w:val="auto"/>
              </w:rPr>
              <w:t xml:space="preserve">Others </w:t>
            </w:r>
            <w:r>
              <w:rPr>
                <w:rFonts w:ascii="Arial" w:cs="Arial" w:eastAsia="Arial" w:hAnsi="Arial"/>
                <w:sz w:val="19"/>
                <w:szCs w:val="19"/>
                <w:color w:val="auto"/>
                <w:vertAlign w:val="superscript"/>
              </w:rPr>
              <w:t>(1)</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38,690</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57,449</w:t>
            </w:r>
          </w:p>
        </w:tc>
        <w:tc>
          <w:tcPr>
            <w:tcW w:w="8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color w:val="auto"/>
              </w:rPr>
              <w:t>19,861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-65.4%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-48.7%</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188,671</w:t>
            </w:r>
          </w:p>
        </w:tc>
        <w:tc>
          <w:tcPr>
            <w:tcW w:w="7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3"/>
                <w:szCs w:val="13"/>
                <w:color w:val="auto"/>
              </w:rPr>
              <w:t>229,434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21.6%</w:t>
            </w:r>
          </w:p>
        </w:tc>
      </w:tr>
      <w:tr>
        <w:trPr>
          <w:trHeight w:val="138"/>
        </w:trPr>
        <w:tc>
          <w:tcPr>
            <w:tcW w:w="4060" w:type="dxa"/>
            <w:vAlign w:val="bottom"/>
            <w:tcBorders>
              <w:left w:val="single" w:sz="8" w:color="auto"/>
              <w:bottom w:val="single" w:sz="8" w:color="auto"/>
              <w:right w:val="single" w:sz="8" w:color="auto"/>
            </w:tcBorders>
          </w:tcPr>
          <w:p>
            <w:pPr>
              <w:ind w:left="100"/>
              <w:spacing w:after="0" w:line="139" w:lineRule="exact"/>
              <w:rPr>
                <w:sz w:val="20"/>
                <w:szCs w:val="20"/>
                <w:color w:val="auto"/>
              </w:rPr>
            </w:pPr>
            <w:r>
              <w:rPr>
                <w:rFonts w:ascii="Arial" w:cs="Arial" w:eastAsia="Arial" w:hAnsi="Arial"/>
                <w:sz w:val="13"/>
                <w:szCs w:val="13"/>
                <w:b w:val="1"/>
                <w:bCs w:val="1"/>
                <w:color w:val="auto"/>
              </w:rPr>
              <w:t>Total</w:t>
            </w:r>
          </w:p>
        </w:tc>
        <w:tc>
          <w:tcPr>
            <w:tcW w:w="96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b w:val="1"/>
                <w:bCs w:val="1"/>
                <w:color w:val="auto"/>
              </w:rPr>
              <w:t>1,029,027</w:t>
            </w:r>
          </w:p>
        </w:tc>
        <w:tc>
          <w:tcPr>
            <w:tcW w:w="90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b w:val="1"/>
                <w:bCs w:val="1"/>
                <w:color w:val="auto"/>
              </w:rPr>
              <w:t>1,007,894</w:t>
            </w:r>
          </w:p>
        </w:tc>
        <w:tc>
          <w:tcPr>
            <w:tcW w:w="86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1,089,203</w:t>
            </w:r>
          </w:p>
        </w:tc>
        <w:tc>
          <w:tcPr>
            <w:tcW w:w="8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8.1%</w:t>
            </w:r>
          </w:p>
        </w:tc>
        <w:tc>
          <w:tcPr>
            <w:tcW w:w="92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5.8%</w:t>
            </w:r>
          </w:p>
        </w:tc>
        <w:tc>
          <w:tcPr>
            <w:tcW w:w="1060" w:type="dxa"/>
            <w:vAlign w:val="bottom"/>
            <w:tcBorders>
              <w:bottom w:val="single" w:sz="8" w:color="auto"/>
            </w:tcBorders>
          </w:tcPr>
          <w:p>
            <w:pPr>
              <w:jc w:val="right"/>
              <w:ind w:right="195"/>
              <w:spacing w:after="0" w:line="139" w:lineRule="exact"/>
              <w:rPr>
                <w:sz w:val="20"/>
                <w:szCs w:val="20"/>
                <w:color w:val="auto"/>
              </w:rPr>
            </w:pPr>
            <w:r>
              <w:rPr>
                <w:rFonts w:ascii="Arial" w:cs="Arial" w:eastAsia="Arial" w:hAnsi="Arial"/>
                <w:sz w:val="13"/>
                <w:szCs w:val="13"/>
                <w:b w:val="1"/>
                <w:bCs w:val="1"/>
                <w:color w:val="auto"/>
              </w:rPr>
              <w:t>3,414,065</w:t>
            </w:r>
          </w:p>
        </w:tc>
        <w:tc>
          <w:tcPr>
            <w:tcW w:w="720" w:type="dxa"/>
            <w:vAlign w:val="bottom"/>
            <w:tcBorders>
              <w:bottom w:val="single" w:sz="8" w:color="auto"/>
              <w:right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3,803,203</w:t>
            </w:r>
          </w:p>
        </w:tc>
        <w:tc>
          <w:tcPr>
            <w:tcW w:w="90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7"/>
              </w:rPr>
              <w:t>11.4%</w:t>
            </w:r>
          </w:p>
        </w:tc>
      </w:tr>
    </w:tbl>
    <w:p>
      <w:pPr>
        <w:spacing w:after="0" w:line="166" w:lineRule="exact"/>
        <w:rPr>
          <w:sz w:val="20"/>
          <w:szCs w:val="20"/>
          <w:color w:val="auto"/>
        </w:rPr>
      </w:pPr>
    </w:p>
    <w:p>
      <w:pPr>
        <w:jc w:val="both"/>
        <w:ind w:left="2" w:right="20"/>
        <w:spacing w:after="0" w:line="279" w:lineRule="auto"/>
        <w:rPr>
          <w:sz w:val="20"/>
          <w:szCs w:val="20"/>
          <w:color w:val="auto"/>
        </w:rPr>
      </w:pPr>
      <w:r>
        <w:rPr>
          <w:rFonts w:ascii="Arial" w:cs="Arial" w:eastAsia="Arial" w:hAnsi="Arial"/>
          <w:sz w:val="16"/>
          <w:szCs w:val="16"/>
          <w:color w:val="auto"/>
        </w:rPr>
        <w:t>Administrative and general expenses rose 11.4% in 2023, driven primarily by growth in IT and advertising expenses in BCP’s core business and for disruptive initiatives.</w:t>
      </w:r>
    </w:p>
    <w:p>
      <w:pPr>
        <w:spacing w:after="0" w:line="116"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496" w:right="319" w:bottom="1440" w:gutter="0" w:footer="0" w:header="0"/>
        </w:sectPr>
      </w:pPr>
    </w:p>
    <w:bookmarkStart w:id="42" w:name="page43"/>
    <w:bookmarkEnd w:id="42"/>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444"/>
        </w:trPr>
        <w:tc>
          <w:tcPr>
            <w:tcW w:w="2400" w:type="dxa"/>
            <w:vAlign w:val="bottom"/>
            <w:shd w:val="clear" w:color="auto" w:fill="000000"/>
          </w:tcPr>
          <w:p>
            <w:pPr>
              <w:spacing w:after="0"/>
              <w:rPr>
                <w:sz w:val="24"/>
                <w:szCs w:val="24"/>
                <w:color w:val="auto"/>
              </w:rPr>
            </w:pPr>
          </w:p>
        </w:tc>
        <w:tc>
          <w:tcPr>
            <w:tcW w:w="2820" w:type="dxa"/>
            <w:vAlign w:val="bottom"/>
            <w:gridSpan w:val="2"/>
            <w:shd w:val="clear" w:color="auto" w:fill="000000"/>
          </w:tcPr>
          <w:p>
            <w:pPr>
              <w:jc w:val="right"/>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 Release 4Q / 2023</w:t>
            </w:r>
          </w:p>
        </w:tc>
        <w:tc>
          <w:tcPr>
            <w:tcW w:w="840" w:type="dxa"/>
            <w:vAlign w:val="bottom"/>
            <w:shd w:val="clear" w:color="auto" w:fill="000000"/>
          </w:tcPr>
          <w:p>
            <w:pPr>
              <w:spacing w:after="0"/>
              <w:rPr>
                <w:sz w:val="24"/>
                <w:szCs w:val="24"/>
                <w:color w:val="auto"/>
              </w:rPr>
            </w:pPr>
          </w:p>
        </w:tc>
        <w:tc>
          <w:tcPr>
            <w:tcW w:w="1220" w:type="dxa"/>
            <w:vAlign w:val="bottom"/>
            <w:shd w:val="clear" w:color="auto" w:fill="000000"/>
          </w:tcPr>
          <w:p>
            <w:pPr>
              <w:spacing w:after="0"/>
              <w:rPr>
                <w:sz w:val="24"/>
                <w:szCs w:val="24"/>
                <w:color w:val="auto"/>
              </w:rPr>
            </w:pPr>
          </w:p>
        </w:tc>
        <w:tc>
          <w:tcPr>
            <w:tcW w:w="3980" w:type="dxa"/>
            <w:vAlign w:val="bottom"/>
            <w:gridSpan w:val="5"/>
            <w:shd w:val="clear" w:color="auto" w:fill="000000"/>
          </w:tcPr>
          <w:p>
            <w:pPr>
              <w:ind w:left="240"/>
              <w:spacing w:after="0"/>
              <w:rPr>
                <w:sz w:val="20"/>
                <w:szCs w:val="20"/>
                <w:color w:val="auto"/>
              </w:rPr>
            </w:pPr>
            <w:r>
              <w:rPr>
                <w:rFonts w:ascii="Arial" w:cs="Arial" w:eastAsia="Arial" w:hAnsi="Arial"/>
                <w:sz w:val="18"/>
                <w:szCs w:val="18"/>
                <w:b w:val="1"/>
                <w:bCs w:val="1"/>
                <w:color w:val="E93BAC"/>
              </w:rPr>
              <w:t>Analysis of 4Q23 Consolidated Results</w:t>
            </w:r>
          </w:p>
        </w:tc>
      </w:tr>
      <w:tr>
        <w:trPr>
          <w:trHeight w:val="202"/>
        </w:trPr>
        <w:tc>
          <w:tcPr>
            <w:tcW w:w="2400" w:type="dxa"/>
            <w:vAlign w:val="bottom"/>
            <w:shd w:val="clear" w:color="auto" w:fill="000000"/>
          </w:tcPr>
          <w:p>
            <w:pPr>
              <w:spacing w:after="0"/>
              <w:rPr>
                <w:sz w:val="17"/>
                <w:szCs w:val="17"/>
                <w:color w:val="auto"/>
              </w:rPr>
            </w:pPr>
          </w:p>
        </w:tc>
        <w:tc>
          <w:tcPr>
            <w:tcW w:w="1640" w:type="dxa"/>
            <w:vAlign w:val="bottom"/>
            <w:shd w:val="clear" w:color="auto" w:fill="000000"/>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122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126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93"/>
        </w:trPr>
        <w:tc>
          <w:tcPr>
            <w:tcW w:w="2400" w:type="dxa"/>
            <w:vAlign w:val="bottom"/>
            <w:shd w:val="clear" w:color="auto" w:fill="E93CAC"/>
          </w:tcPr>
          <w:p>
            <w:pPr>
              <w:ind w:left="40"/>
              <w:spacing w:after="0"/>
              <w:rPr>
                <w:sz w:val="20"/>
                <w:szCs w:val="20"/>
                <w:color w:val="auto"/>
              </w:rPr>
            </w:pPr>
            <w:r>
              <w:rPr>
                <w:rFonts w:ascii="Arial" w:cs="Arial" w:eastAsia="Arial" w:hAnsi="Arial"/>
                <w:sz w:val="18"/>
                <w:szCs w:val="18"/>
                <w:b w:val="1"/>
                <w:bCs w:val="1"/>
                <w:color w:val="FFFFFF"/>
              </w:rPr>
              <w:t>08. Operating Expenses</w:t>
            </w:r>
          </w:p>
        </w:tc>
        <w:tc>
          <w:tcPr>
            <w:tcW w:w="1640" w:type="dxa"/>
            <w:vAlign w:val="bottom"/>
            <w:shd w:val="clear" w:color="auto" w:fill="E93CAC"/>
          </w:tcPr>
          <w:p>
            <w:pPr>
              <w:spacing w:after="0"/>
              <w:rPr>
                <w:sz w:val="24"/>
                <w:szCs w:val="24"/>
                <w:color w:val="auto"/>
              </w:rPr>
            </w:pPr>
          </w:p>
        </w:tc>
        <w:tc>
          <w:tcPr>
            <w:tcW w:w="1180" w:type="dxa"/>
            <w:vAlign w:val="bottom"/>
            <w:shd w:val="clear" w:color="auto" w:fill="E93CAC"/>
          </w:tcPr>
          <w:p>
            <w:pPr>
              <w:spacing w:after="0"/>
              <w:rPr>
                <w:sz w:val="24"/>
                <w:szCs w:val="24"/>
                <w:color w:val="auto"/>
              </w:rPr>
            </w:pPr>
          </w:p>
        </w:tc>
        <w:tc>
          <w:tcPr>
            <w:tcW w:w="840" w:type="dxa"/>
            <w:vAlign w:val="bottom"/>
            <w:shd w:val="clear" w:color="auto" w:fill="E93CAC"/>
          </w:tcPr>
          <w:p>
            <w:pPr>
              <w:spacing w:after="0"/>
              <w:rPr>
                <w:sz w:val="24"/>
                <w:szCs w:val="24"/>
                <w:color w:val="auto"/>
              </w:rPr>
            </w:pPr>
          </w:p>
        </w:tc>
        <w:tc>
          <w:tcPr>
            <w:tcW w:w="1220" w:type="dxa"/>
            <w:vAlign w:val="bottom"/>
            <w:shd w:val="clear" w:color="auto" w:fill="E93CAC"/>
          </w:tcPr>
          <w:p>
            <w:pPr>
              <w:spacing w:after="0"/>
              <w:rPr>
                <w:sz w:val="24"/>
                <w:szCs w:val="24"/>
                <w:color w:val="auto"/>
              </w:rPr>
            </w:pPr>
          </w:p>
        </w:tc>
        <w:tc>
          <w:tcPr>
            <w:tcW w:w="720" w:type="dxa"/>
            <w:vAlign w:val="bottom"/>
            <w:shd w:val="clear" w:color="auto" w:fill="E93CAC"/>
          </w:tcPr>
          <w:p>
            <w:pPr>
              <w:spacing w:after="0"/>
              <w:rPr>
                <w:sz w:val="24"/>
                <w:szCs w:val="24"/>
                <w:color w:val="auto"/>
              </w:rPr>
            </w:pPr>
          </w:p>
        </w:tc>
        <w:tc>
          <w:tcPr>
            <w:tcW w:w="1260" w:type="dxa"/>
            <w:vAlign w:val="bottom"/>
            <w:shd w:val="clear" w:color="auto" w:fill="E93CAC"/>
          </w:tcPr>
          <w:p>
            <w:pPr>
              <w:spacing w:after="0"/>
              <w:rPr>
                <w:sz w:val="24"/>
                <w:szCs w:val="24"/>
                <w:color w:val="auto"/>
              </w:rPr>
            </w:pPr>
          </w:p>
        </w:tc>
        <w:tc>
          <w:tcPr>
            <w:tcW w:w="860" w:type="dxa"/>
            <w:vAlign w:val="bottom"/>
            <w:shd w:val="clear" w:color="auto" w:fill="E93CAC"/>
          </w:tcPr>
          <w:p>
            <w:pPr>
              <w:spacing w:after="0"/>
              <w:rPr>
                <w:sz w:val="24"/>
                <w:szCs w:val="24"/>
                <w:color w:val="auto"/>
              </w:rPr>
            </w:pPr>
          </w:p>
        </w:tc>
        <w:tc>
          <w:tcPr>
            <w:tcW w:w="1120" w:type="dxa"/>
            <w:vAlign w:val="bottom"/>
            <w:shd w:val="clear" w:color="auto" w:fill="E93CAC"/>
          </w:tcPr>
          <w:p>
            <w:pPr>
              <w:spacing w:after="0"/>
              <w:rPr>
                <w:sz w:val="24"/>
                <w:szCs w:val="24"/>
                <w:color w:val="auto"/>
              </w:rPr>
            </w:pPr>
          </w:p>
        </w:tc>
        <w:tc>
          <w:tcPr>
            <w:tcW w:w="20" w:type="dxa"/>
            <w:vAlign w:val="bottom"/>
            <w:shd w:val="clear" w:color="auto" w:fill="E93CAC"/>
          </w:tcPr>
          <w:p>
            <w:pPr>
              <w:spacing w:after="0"/>
              <w:rPr>
                <w:sz w:val="24"/>
                <w:szCs w:val="24"/>
                <w:color w:val="auto"/>
              </w:rPr>
            </w:pPr>
          </w:p>
        </w:tc>
      </w:tr>
      <w:tr>
        <w:trPr>
          <w:trHeight w:val="526"/>
        </w:trPr>
        <w:tc>
          <w:tcPr>
            <w:tcW w:w="522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Operating Expense in Core Businesses and Disruption </w:t>
            </w:r>
            <w:r>
              <w:rPr>
                <w:rFonts w:ascii="Arial" w:cs="Arial" w:eastAsia="Arial" w:hAnsi="Arial"/>
                <w:sz w:val="27"/>
                <w:szCs w:val="27"/>
                <w:b w:val="1"/>
                <w:bCs w:val="1"/>
                <w:color w:val="auto"/>
                <w:vertAlign w:val="superscript"/>
              </w:rPr>
              <w:t>(1)</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2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155"/>
        </w:trPr>
        <w:tc>
          <w:tcPr>
            <w:tcW w:w="2400" w:type="dxa"/>
            <w:vAlign w:val="bottom"/>
            <w:shd w:val="clear" w:color="auto" w:fill="2AD2C9"/>
          </w:tcPr>
          <w:p>
            <w:pPr>
              <w:ind w:left="100"/>
              <w:spacing w:after="0"/>
              <w:rPr>
                <w:sz w:val="20"/>
                <w:szCs w:val="20"/>
                <w:color w:val="auto"/>
              </w:rPr>
            </w:pPr>
            <w:r>
              <w:rPr>
                <w:rFonts w:ascii="Arial" w:cs="Arial" w:eastAsia="Arial" w:hAnsi="Arial"/>
                <w:sz w:val="13"/>
                <w:szCs w:val="13"/>
                <w:b w:val="1"/>
                <w:bCs w:val="1"/>
                <w:color w:val="FFFFFF"/>
              </w:rPr>
              <w:t>Operating Expenses</w:t>
            </w:r>
          </w:p>
        </w:tc>
        <w:tc>
          <w:tcPr>
            <w:tcW w:w="1640" w:type="dxa"/>
            <w:vAlign w:val="bottom"/>
            <w:shd w:val="clear" w:color="auto" w:fill="2AD2C9"/>
          </w:tcPr>
          <w:p>
            <w:pPr>
              <w:spacing w:after="0"/>
              <w:rPr>
                <w:sz w:val="13"/>
                <w:szCs w:val="13"/>
                <w:color w:val="auto"/>
              </w:rPr>
            </w:pPr>
          </w:p>
        </w:tc>
        <w:tc>
          <w:tcPr>
            <w:tcW w:w="1180" w:type="dxa"/>
            <w:vAlign w:val="bottom"/>
            <w:shd w:val="clear" w:color="auto" w:fill="2AD2C9"/>
          </w:tcPr>
          <w:p>
            <w:pPr>
              <w:jc w:val="right"/>
              <w:ind w:right="475"/>
              <w:spacing w:after="0"/>
              <w:rPr>
                <w:sz w:val="20"/>
                <w:szCs w:val="20"/>
                <w:color w:val="auto"/>
              </w:rPr>
            </w:pPr>
            <w:r>
              <w:rPr>
                <w:rFonts w:ascii="Arial" w:cs="Arial" w:eastAsia="Arial" w:hAnsi="Arial"/>
                <w:sz w:val="13"/>
                <w:szCs w:val="13"/>
                <w:b w:val="1"/>
                <w:bCs w:val="1"/>
                <w:color w:val="FFFFFF"/>
              </w:rPr>
              <w:t>Quarter</w:t>
            </w:r>
          </w:p>
        </w:tc>
        <w:tc>
          <w:tcPr>
            <w:tcW w:w="840" w:type="dxa"/>
            <w:vAlign w:val="bottom"/>
            <w:shd w:val="clear" w:color="auto" w:fill="2AD2C9"/>
          </w:tcPr>
          <w:p>
            <w:pPr>
              <w:spacing w:after="0"/>
              <w:rPr>
                <w:sz w:val="13"/>
                <w:szCs w:val="13"/>
                <w:color w:val="auto"/>
              </w:rPr>
            </w:pPr>
          </w:p>
        </w:tc>
        <w:tc>
          <w:tcPr>
            <w:tcW w:w="1220" w:type="dxa"/>
            <w:vAlign w:val="bottom"/>
            <w:shd w:val="clear" w:color="auto" w:fill="2AD2C9"/>
          </w:tcPr>
          <w:p>
            <w:pPr>
              <w:ind w:left="620"/>
              <w:spacing w:after="0"/>
              <w:rPr>
                <w:sz w:val="20"/>
                <w:szCs w:val="20"/>
                <w:color w:val="auto"/>
              </w:rPr>
            </w:pPr>
            <w:r>
              <w:rPr>
                <w:rFonts w:ascii="Arial" w:cs="Arial" w:eastAsia="Arial" w:hAnsi="Arial"/>
                <w:sz w:val="13"/>
                <w:szCs w:val="13"/>
                <w:b w:val="1"/>
                <w:bCs w:val="1"/>
                <w:color w:val="FFFFFF"/>
                <w:w w:val="95"/>
              </w:rPr>
              <w:t>% change</w:t>
            </w:r>
          </w:p>
        </w:tc>
        <w:tc>
          <w:tcPr>
            <w:tcW w:w="720" w:type="dxa"/>
            <w:vAlign w:val="bottom"/>
            <w:shd w:val="clear" w:color="auto" w:fill="2AD2C9"/>
          </w:tcPr>
          <w:p>
            <w:pPr>
              <w:spacing w:after="0"/>
              <w:rPr>
                <w:sz w:val="13"/>
                <w:szCs w:val="13"/>
                <w:color w:val="auto"/>
              </w:rPr>
            </w:pPr>
          </w:p>
        </w:tc>
        <w:tc>
          <w:tcPr>
            <w:tcW w:w="1260" w:type="dxa"/>
            <w:vAlign w:val="bottom"/>
            <w:shd w:val="clear" w:color="auto" w:fill="2AD2C9"/>
          </w:tcPr>
          <w:p>
            <w:pPr>
              <w:jc w:val="right"/>
              <w:ind w:right="35"/>
              <w:spacing w:after="0"/>
              <w:rPr>
                <w:sz w:val="20"/>
                <w:szCs w:val="20"/>
                <w:color w:val="auto"/>
              </w:rPr>
            </w:pPr>
            <w:r>
              <w:rPr>
                <w:rFonts w:ascii="Arial" w:cs="Arial" w:eastAsia="Arial" w:hAnsi="Arial"/>
                <w:sz w:val="13"/>
                <w:szCs w:val="13"/>
                <w:b w:val="1"/>
                <w:bCs w:val="1"/>
                <w:color w:val="FFFFFF"/>
              </w:rPr>
              <w:t>As of</w:t>
            </w:r>
          </w:p>
        </w:tc>
        <w:tc>
          <w:tcPr>
            <w:tcW w:w="860" w:type="dxa"/>
            <w:vAlign w:val="bottom"/>
            <w:shd w:val="clear" w:color="auto" w:fill="2AD2C9"/>
          </w:tcPr>
          <w:p>
            <w:pPr>
              <w:spacing w:after="0"/>
              <w:rPr>
                <w:sz w:val="13"/>
                <w:szCs w:val="13"/>
                <w:color w:val="auto"/>
              </w:rPr>
            </w:pPr>
          </w:p>
        </w:tc>
        <w:tc>
          <w:tcPr>
            <w:tcW w:w="1120" w:type="dxa"/>
            <w:vAlign w:val="bottom"/>
            <w:shd w:val="clear" w:color="auto" w:fill="2AD2C9"/>
          </w:tcPr>
          <w:p>
            <w:pPr>
              <w:ind w:left="200"/>
              <w:spacing w:after="0"/>
              <w:rPr>
                <w:sz w:val="20"/>
                <w:szCs w:val="20"/>
                <w:color w:val="auto"/>
              </w:rPr>
            </w:pPr>
            <w:r>
              <w:rPr>
                <w:rFonts w:ascii="Arial" w:cs="Arial" w:eastAsia="Arial" w:hAnsi="Arial"/>
                <w:sz w:val="13"/>
                <w:szCs w:val="13"/>
                <w:b w:val="1"/>
                <w:bCs w:val="1"/>
                <w:color w:val="FFFFFF"/>
              </w:rPr>
              <w:t>% change</w:t>
            </w:r>
          </w:p>
        </w:tc>
        <w:tc>
          <w:tcPr>
            <w:tcW w:w="20" w:type="dxa"/>
            <w:vAlign w:val="bottom"/>
          </w:tcPr>
          <w:p>
            <w:pPr>
              <w:spacing w:after="0"/>
              <w:rPr>
                <w:sz w:val="13"/>
                <w:szCs w:val="13"/>
                <w:color w:val="auto"/>
              </w:rPr>
            </w:pPr>
          </w:p>
        </w:tc>
      </w:tr>
      <w:tr>
        <w:trPr>
          <w:trHeight w:val="227"/>
        </w:trPr>
        <w:tc>
          <w:tcPr>
            <w:tcW w:w="2400" w:type="dxa"/>
            <w:vAlign w:val="bottom"/>
            <w:tcBorders>
              <w:bottom w:val="single" w:sz="8" w:color="2AD2C9"/>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S/ (000)</w:t>
            </w:r>
          </w:p>
        </w:tc>
        <w:tc>
          <w:tcPr>
            <w:tcW w:w="1640" w:type="dxa"/>
            <w:vAlign w:val="bottom"/>
            <w:tcBorders>
              <w:bottom w:val="single" w:sz="8" w:color="2AD2C9"/>
            </w:tcBorders>
            <w:shd w:val="clear" w:color="auto" w:fill="2AD2C9"/>
          </w:tcPr>
          <w:p>
            <w:pPr>
              <w:jc w:val="right"/>
              <w:ind w:right="372"/>
              <w:spacing w:after="0"/>
              <w:rPr>
                <w:sz w:val="20"/>
                <w:szCs w:val="20"/>
                <w:color w:val="auto"/>
              </w:rPr>
            </w:pPr>
            <w:r>
              <w:rPr>
                <w:rFonts w:ascii="Arial" w:cs="Arial" w:eastAsia="Arial" w:hAnsi="Arial"/>
                <w:sz w:val="13"/>
                <w:szCs w:val="13"/>
                <w:b w:val="1"/>
                <w:bCs w:val="1"/>
                <w:color w:val="FFFFFF"/>
              </w:rPr>
              <w:t>4Q22</w:t>
            </w:r>
          </w:p>
        </w:tc>
        <w:tc>
          <w:tcPr>
            <w:tcW w:w="1180" w:type="dxa"/>
            <w:vAlign w:val="bottom"/>
            <w:tcBorders>
              <w:bottom w:val="single" w:sz="8" w:color="2AD2C9"/>
            </w:tcBorders>
            <w:shd w:val="clear" w:color="auto" w:fill="2AD2C9"/>
          </w:tcPr>
          <w:p>
            <w:pPr>
              <w:jc w:val="right"/>
              <w:ind w:right="555"/>
              <w:spacing w:after="0"/>
              <w:rPr>
                <w:sz w:val="20"/>
                <w:szCs w:val="20"/>
                <w:color w:val="auto"/>
              </w:rPr>
            </w:pPr>
            <w:r>
              <w:rPr>
                <w:rFonts w:ascii="Arial" w:cs="Arial" w:eastAsia="Arial" w:hAnsi="Arial"/>
                <w:sz w:val="13"/>
                <w:szCs w:val="13"/>
                <w:b w:val="1"/>
                <w:bCs w:val="1"/>
                <w:color w:val="FFFFFF"/>
              </w:rPr>
              <w:t>3Q23</w:t>
            </w:r>
          </w:p>
        </w:tc>
        <w:tc>
          <w:tcPr>
            <w:tcW w:w="840" w:type="dxa"/>
            <w:vAlign w:val="bottom"/>
            <w:tcBorders>
              <w:bottom w:val="single" w:sz="8" w:color="2AD2C9"/>
            </w:tcBorders>
            <w:shd w:val="clear" w:color="auto" w:fill="2AD2C9"/>
          </w:tcPr>
          <w:p>
            <w:pPr>
              <w:jc w:val="right"/>
              <w:ind w:right="375"/>
              <w:spacing w:after="0"/>
              <w:rPr>
                <w:sz w:val="20"/>
                <w:szCs w:val="20"/>
                <w:color w:val="auto"/>
              </w:rPr>
            </w:pPr>
            <w:r>
              <w:rPr>
                <w:rFonts w:ascii="Arial" w:cs="Arial" w:eastAsia="Arial" w:hAnsi="Arial"/>
                <w:sz w:val="13"/>
                <w:szCs w:val="13"/>
                <w:b w:val="1"/>
                <w:bCs w:val="1"/>
                <w:color w:val="FFFFFF"/>
              </w:rPr>
              <w:t>4Q23</w:t>
            </w:r>
          </w:p>
        </w:tc>
        <w:tc>
          <w:tcPr>
            <w:tcW w:w="1220" w:type="dxa"/>
            <w:vAlign w:val="bottom"/>
            <w:tcBorders>
              <w:bottom w:val="single" w:sz="8" w:color="2AD2C9"/>
            </w:tcBorders>
            <w:shd w:val="clear" w:color="auto" w:fill="2AD2C9"/>
          </w:tcPr>
          <w:p>
            <w:pPr>
              <w:ind w:left="280"/>
              <w:spacing w:after="0"/>
              <w:rPr>
                <w:sz w:val="20"/>
                <w:szCs w:val="20"/>
                <w:color w:val="auto"/>
              </w:rPr>
            </w:pPr>
            <w:r>
              <w:rPr>
                <w:rFonts w:ascii="Arial" w:cs="Arial" w:eastAsia="Arial" w:hAnsi="Arial"/>
                <w:sz w:val="13"/>
                <w:szCs w:val="13"/>
                <w:b w:val="1"/>
                <w:bCs w:val="1"/>
                <w:color w:val="FFFFFF"/>
              </w:rPr>
              <w:t>QoQ</w:t>
            </w:r>
          </w:p>
        </w:tc>
        <w:tc>
          <w:tcPr>
            <w:tcW w:w="720" w:type="dxa"/>
            <w:vAlign w:val="bottom"/>
            <w:tcBorders>
              <w:bottom w:val="single" w:sz="8" w:color="2AD2C9"/>
            </w:tcBorders>
            <w:shd w:val="clear" w:color="auto" w:fill="2AD2C9"/>
          </w:tcPr>
          <w:p>
            <w:pPr>
              <w:ind w:left="80"/>
              <w:spacing w:after="0"/>
              <w:rPr>
                <w:sz w:val="20"/>
                <w:szCs w:val="20"/>
                <w:color w:val="auto"/>
              </w:rPr>
            </w:pPr>
            <w:r>
              <w:rPr>
                <w:rFonts w:ascii="Arial" w:cs="Arial" w:eastAsia="Arial" w:hAnsi="Arial"/>
                <w:sz w:val="13"/>
                <w:szCs w:val="13"/>
                <w:b w:val="1"/>
                <w:bCs w:val="1"/>
                <w:color w:val="FFFFFF"/>
              </w:rPr>
              <w:t>YoY</w:t>
            </w:r>
          </w:p>
        </w:tc>
        <w:tc>
          <w:tcPr>
            <w:tcW w:w="1260" w:type="dxa"/>
            <w:vAlign w:val="bottom"/>
            <w:tcBorders>
              <w:bottom w:val="single" w:sz="8" w:color="2AD2C9"/>
            </w:tcBorders>
            <w:shd w:val="clear" w:color="auto" w:fill="2AD2C9"/>
          </w:tcPr>
          <w:p>
            <w:pPr>
              <w:jc w:val="right"/>
              <w:ind w:right="555"/>
              <w:spacing w:after="0"/>
              <w:rPr>
                <w:sz w:val="20"/>
                <w:szCs w:val="20"/>
                <w:color w:val="auto"/>
              </w:rPr>
            </w:pPr>
            <w:r>
              <w:rPr>
                <w:rFonts w:ascii="Arial" w:cs="Arial" w:eastAsia="Arial" w:hAnsi="Arial"/>
                <w:sz w:val="13"/>
                <w:szCs w:val="13"/>
                <w:b w:val="1"/>
                <w:bCs w:val="1"/>
                <w:color w:val="FFFFFF"/>
              </w:rPr>
              <w:t>2022</w:t>
            </w:r>
          </w:p>
        </w:tc>
        <w:tc>
          <w:tcPr>
            <w:tcW w:w="860" w:type="dxa"/>
            <w:vAlign w:val="bottom"/>
            <w:tcBorders>
              <w:bottom w:val="single" w:sz="8" w:color="2AD2C9"/>
            </w:tcBorders>
            <w:shd w:val="clear" w:color="auto" w:fill="2AD2C9"/>
          </w:tcPr>
          <w:p>
            <w:pPr>
              <w:jc w:val="right"/>
              <w:ind w:right="415"/>
              <w:spacing w:after="0"/>
              <w:rPr>
                <w:sz w:val="20"/>
                <w:szCs w:val="20"/>
                <w:color w:val="auto"/>
              </w:rPr>
            </w:pPr>
            <w:r>
              <w:rPr>
                <w:rFonts w:ascii="Arial" w:cs="Arial" w:eastAsia="Arial" w:hAnsi="Arial"/>
                <w:sz w:val="13"/>
                <w:szCs w:val="13"/>
                <w:b w:val="1"/>
                <w:bCs w:val="1"/>
                <w:color w:val="FFFFFF"/>
              </w:rPr>
              <w:t>2023</w:t>
            </w:r>
          </w:p>
        </w:tc>
        <w:tc>
          <w:tcPr>
            <w:tcW w:w="1120" w:type="dxa"/>
            <w:vAlign w:val="bottom"/>
            <w:tcBorders>
              <w:bottom w:val="single" w:sz="8" w:color="2AD2C9"/>
            </w:tcBorders>
            <w:shd w:val="clear" w:color="auto" w:fill="2AD2C9"/>
          </w:tcPr>
          <w:p>
            <w:pPr>
              <w:jc w:val="center"/>
              <w:ind w:right="35"/>
              <w:spacing w:after="0"/>
              <w:rPr>
                <w:sz w:val="20"/>
                <w:szCs w:val="20"/>
                <w:color w:val="auto"/>
              </w:rPr>
            </w:pPr>
            <w:r>
              <w:rPr>
                <w:rFonts w:ascii="Arial" w:cs="Arial" w:eastAsia="Arial" w:hAnsi="Arial"/>
                <w:sz w:val="13"/>
                <w:szCs w:val="13"/>
                <w:b w:val="1"/>
                <w:bCs w:val="1"/>
                <w:color w:val="FFFFFF"/>
              </w:rPr>
              <w:t>2022/2023</w:t>
            </w:r>
          </w:p>
        </w:tc>
        <w:tc>
          <w:tcPr>
            <w:tcW w:w="20" w:type="dxa"/>
            <w:vAlign w:val="bottom"/>
          </w:tcPr>
          <w:p>
            <w:pPr>
              <w:spacing w:after="0"/>
              <w:rPr>
                <w:sz w:val="19"/>
                <w:szCs w:val="19"/>
                <w:color w:val="auto"/>
              </w:rPr>
            </w:pPr>
          </w:p>
        </w:tc>
      </w:tr>
      <w:tr>
        <w:trPr>
          <w:trHeight w:val="131"/>
        </w:trPr>
        <w:tc>
          <w:tcPr>
            <w:tcW w:w="24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color w:val="auto"/>
              </w:rPr>
              <w:t>Core Business BCP</w:t>
            </w:r>
          </w:p>
        </w:tc>
        <w:tc>
          <w:tcPr>
            <w:tcW w:w="1640" w:type="dxa"/>
            <w:vAlign w:val="bottom"/>
            <w:tcBorders>
              <w:top w:val="single" w:sz="8" w:color="auto"/>
            </w:tcBorders>
          </w:tcPr>
          <w:p>
            <w:pPr>
              <w:jc w:val="right"/>
              <w:ind w:right="132"/>
              <w:spacing w:after="0" w:line="131" w:lineRule="exact"/>
              <w:rPr>
                <w:sz w:val="20"/>
                <w:szCs w:val="20"/>
                <w:color w:val="auto"/>
              </w:rPr>
            </w:pPr>
            <w:r>
              <w:rPr>
                <w:rFonts w:ascii="Arial" w:cs="Arial" w:eastAsia="Arial" w:hAnsi="Arial"/>
                <w:sz w:val="13"/>
                <w:szCs w:val="13"/>
                <w:color w:val="auto"/>
              </w:rPr>
              <w:t>1,332,331</w:t>
            </w:r>
          </w:p>
        </w:tc>
        <w:tc>
          <w:tcPr>
            <w:tcW w:w="1180" w:type="dxa"/>
            <w:vAlign w:val="bottom"/>
            <w:tcBorders>
              <w:top w:val="single" w:sz="8" w:color="auto"/>
            </w:tcBorders>
          </w:tcPr>
          <w:p>
            <w:pPr>
              <w:jc w:val="right"/>
              <w:ind w:right="295"/>
              <w:spacing w:after="0" w:line="131" w:lineRule="exact"/>
              <w:rPr>
                <w:sz w:val="20"/>
                <w:szCs w:val="20"/>
                <w:color w:val="auto"/>
              </w:rPr>
            </w:pPr>
            <w:r>
              <w:rPr>
                <w:rFonts w:ascii="Arial" w:cs="Arial" w:eastAsia="Arial" w:hAnsi="Arial"/>
                <w:sz w:val="13"/>
                <w:szCs w:val="13"/>
                <w:color w:val="auto"/>
              </w:rPr>
              <w:t>1,245,767</w:t>
            </w:r>
          </w:p>
        </w:tc>
        <w:tc>
          <w:tcPr>
            <w:tcW w:w="840" w:type="dxa"/>
            <w:vAlign w:val="bottom"/>
            <w:tcBorders>
              <w:top w:val="single" w:sz="8" w:color="auto"/>
            </w:tcBorders>
          </w:tcPr>
          <w:p>
            <w:pPr>
              <w:jc w:val="right"/>
              <w:ind w:right="115"/>
              <w:spacing w:after="0" w:line="131" w:lineRule="exact"/>
              <w:rPr>
                <w:sz w:val="20"/>
                <w:szCs w:val="20"/>
                <w:color w:val="auto"/>
              </w:rPr>
            </w:pPr>
            <w:r>
              <w:rPr>
                <w:rFonts w:ascii="Arial" w:cs="Arial" w:eastAsia="Arial" w:hAnsi="Arial"/>
                <w:sz w:val="13"/>
                <w:szCs w:val="13"/>
                <w:color w:val="auto"/>
              </w:rPr>
              <w:t>1,356,334</w:t>
            </w:r>
          </w:p>
        </w:tc>
        <w:tc>
          <w:tcPr>
            <w:tcW w:w="1220" w:type="dxa"/>
            <w:vAlign w:val="bottom"/>
            <w:tcBorders>
              <w:top w:val="single" w:sz="8" w:color="auto"/>
            </w:tcBorders>
          </w:tcPr>
          <w:p>
            <w:pPr>
              <w:jc w:val="center"/>
              <w:ind w:right="335"/>
              <w:spacing w:after="0" w:line="131" w:lineRule="exact"/>
              <w:rPr>
                <w:sz w:val="20"/>
                <w:szCs w:val="20"/>
                <w:color w:val="auto"/>
              </w:rPr>
            </w:pPr>
            <w:r>
              <w:rPr>
                <w:rFonts w:ascii="Arial" w:cs="Arial" w:eastAsia="Arial" w:hAnsi="Arial"/>
                <w:sz w:val="13"/>
                <w:szCs w:val="13"/>
                <w:color w:val="auto"/>
              </w:rPr>
              <w:t>8.9%</w:t>
            </w:r>
          </w:p>
        </w:tc>
        <w:tc>
          <w:tcPr>
            <w:tcW w:w="720" w:type="dxa"/>
            <w:vAlign w:val="bottom"/>
            <w:tcBorders>
              <w:top w:val="single" w:sz="8" w:color="auto"/>
            </w:tcBorders>
          </w:tcPr>
          <w:p>
            <w:pPr>
              <w:jc w:val="center"/>
              <w:ind w:right="272"/>
              <w:spacing w:after="0" w:line="131" w:lineRule="exact"/>
              <w:rPr>
                <w:sz w:val="20"/>
                <w:szCs w:val="20"/>
                <w:color w:val="auto"/>
              </w:rPr>
            </w:pPr>
            <w:r>
              <w:rPr>
                <w:rFonts w:ascii="Arial" w:cs="Arial" w:eastAsia="Arial" w:hAnsi="Arial"/>
                <w:sz w:val="13"/>
                <w:szCs w:val="13"/>
                <w:color w:val="auto"/>
              </w:rPr>
              <w:t>1.8%</w:t>
            </w:r>
          </w:p>
        </w:tc>
        <w:tc>
          <w:tcPr>
            <w:tcW w:w="1260" w:type="dxa"/>
            <w:vAlign w:val="bottom"/>
            <w:tcBorders>
              <w:top w:val="single" w:sz="8" w:color="auto"/>
            </w:tcBorders>
          </w:tcPr>
          <w:p>
            <w:pPr>
              <w:jc w:val="right"/>
              <w:ind w:right="295"/>
              <w:spacing w:after="0" w:line="131" w:lineRule="exact"/>
              <w:rPr>
                <w:sz w:val="20"/>
                <w:szCs w:val="20"/>
                <w:color w:val="auto"/>
              </w:rPr>
            </w:pPr>
            <w:r>
              <w:rPr>
                <w:rFonts w:ascii="Arial" w:cs="Arial" w:eastAsia="Arial" w:hAnsi="Arial"/>
                <w:sz w:val="13"/>
                <w:szCs w:val="13"/>
                <w:color w:val="auto"/>
              </w:rPr>
              <w:t>4,669,486</w:t>
            </w:r>
          </w:p>
        </w:tc>
        <w:tc>
          <w:tcPr>
            <w:tcW w:w="860" w:type="dxa"/>
            <w:vAlign w:val="bottom"/>
            <w:tcBorders>
              <w:top w:val="single" w:sz="8" w:color="auto"/>
            </w:tcBorders>
          </w:tcPr>
          <w:p>
            <w:pPr>
              <w:jc w:val="right"/>
              <w:ind w:right="135"/>
              <w:spacing w:after="0" w:line="131" w:lineRule="exact"/>
              <w:rPr>
                <w:sz w:val="20"/>
                <w:szCs w:val="20"/>
                <w:color w:val="auto"/>
              </w:rPr>
            </w:pPr>
            <w:r>
              <w:rPr>
                <w:rFonts w:ascii="Arial" w:cs="Arial" w:eastAsia="Arial" w:hAnsi="Arial"/>
                <w:sz w:val="13"/>
                <w:szCs w:val="13"/>
                <w:color w:val="auto"/>
              </w:rPr>
              <w:t>4,948,125</w:t>
            </w:r>
          </w:p>
        </w:tc>
        <w:tc>
          <w:tcPr>
            <w:tcW w:w="1120" w:type="dxa"/>
            <w:vAlign w:val="bottom"/>
            <w:tcBorders>
              <w:top w:val="single" w:sz="8" w:color="auto"/>
            </w:tcBorders>
          </w:tcPr>
          <w:p>
            <w:pPr>
              <w:jc w:val="center"/>
              <w:ind w:right="35"/>
              <w:spacing w:after="0" w:line="131" w:lineRule="exact"/>
              <w:rPr>
                <w:sz w:val="20"/>
                <w:szCs w:val="20"/>
                <w:color w:val="auto"/>
              </w:rPr>
            </w:pPr>
            <w:r>
              <w:rPr>
                <w:rFonts w:ascii="Arial" w:cs="Arial" w:eastAsia="Arial" w:hAnsi="Arial"/>
                <w:sz w:val="13"/>
                <w:szCs w:val="13"/>
                <w:color w:val="auto"/>
              </w:rPr>
              <w:t>6.0%</w:t>
            </w:r>
          </w:p>
        </w:tc>
        <w:tc>
          <w:tcPr>
            <w:tcW w:w="20" w:type="dxa"/>
            <w:vAlign w:val="bottom"/>
            <w:tcBorders>
              <w:top w:val="single" w:sz="8" w:color="auto"/>
            </w:tcBorders>
          </w:tcPr>
          <w:p>
            <w:pPr>
              <w:spacing w:after="0"/>
              <w:rPr>
                <w:sz w:val="11"/>
                <w:szCs w:val="11"/>
                <w:color w:val="auto"/>
              </w:rPr>
            </w:pPr>
          </w:p>
        </w:tc>
      </w:tr>
      <w:tr>
        <w:trPr>
          <w:trHeight w:val="146"/>
        </w:trPr>
        <w:tc>
          <w:tcPr>
            <w:tcW w:w="2400" w:type="dxa"/>
            <w:vAlign w:val="bottom"/>
          </w:tcPr>
          <w:p>
            <w:pPr>
              <w:ind w:left="100"/>
              <w:spacing w:after="0" w:line="146" w:lineRule="exact"/>
              <w:rPr>
                <w:sz w:val="20"/>
                <w:szCs w:val="20"/>
                <w:color w:val="auto"/>
              </w:rPr>
            </w:pPr>
            <w:r>
              <w:rPr>
                <w:rFonts w:ascii="Arial" w:cs="Arial" w:eastAsia="Arial" w:hAnsi="Arial"/>
                <w:sz w:val="13"/>
                <w:szCs w:val="13"/>
                <w:color w:val="auto"/>
              </w:rPr>
              <w:t>Core Business Mibanco</w:t>
            </w:r>
          </w:p>
        </w:tc>
        <w:tc>
          <w:tcPr>
            <w:tcW w:w="1640" w:type="dxa"/>
            <w:vAlign w:val="bottom"/>
          </w:tcPr>
          <w:p>
            <w:pPr>
              <w:jc w:val="right"/>
              <w:ind w:right="132"/>
              <w:spacing w:after="0" w:line="146" w:lineRule="exact"/>
              <w:rPr>
                <w:sz w:val="20"/>
                <w:szCs w:val="20"/>
                <w:color w:val="auto"/>
              </w:rPr>
            </w:pPr>
            <w:r>
              <w:rPr>
                <w:rFonts w:ascii="Arial" w:cs="Arial" w:eastAsia="Arial" w:hAnsi="Arial"/>
                <w:sz w:val="13"/>
                <w:szCs w:val="13"/>
                <w:color w:val="auto"/>
              </w:rPr>
              <w:t>300,155</w:t>
            </w:r>
          </w:p>
        </w:tc>
        <w:tc>
          <w:tcPr>
            <w:tcW w:w="1180" w:type="dxa"/>
            <w:vAlign w:val="bottom"/>
          </w:tcPr>
          <w:p>
            <w:pPr>
              <w:jc w:val="right"/>
              <w:ind w:right="295"/>
              <w:spacing w:after="0" w:line="146" w:lineRule="exact"/>
              <w:rPr>
                <w:sz w:val="20"/>
                <w:szCs w:val="20"/>
                <w:color w:val="auto"/>
              </w:rPr>
            </w:pPr>
            <w:r>
              <w:rPr>
                <w:rFonts w:ascii="Arial" w:cs="Arial" w:eastAsia="Arial" w:hAnsi="Arial"/>
                <w:sz w:val="13"/>
                <w:szCs w:val="13"/>
                <w:color w:val="auto"/>
              </w:rPr>
              <w:t>302,729</w:t>
            </w:r>
          </w:p>
        </w:tc>
        <w:tc>
          <w:tcPr>
            <w:tcW w:w="84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299,717</w:t>
            </w:r>
          </w:p>
        </w:tc>
        <w:tc>
          <w:tcPr>
            <w:tcW w:w="1220" w:type="dxa"/>
            <w:vAlign w:val="bottom"/>
          </w:tcPr>
          <w:p>
            <w:pPr>
              <w:jc w:val="center"/>
              <w:ind w:right="335"/>
              <w:spacing w:after="0" w:line="146" w:lineRule="exact"/>
              <w:rPr>
                <w:sz w:val="20"/>
                <w:szCs w:val="20"/>
                <w:color w:val="auto"/>
              </w:rPr>
            </w:pPr>
            <w:r>
              <w:rPr>
                <w:rFonts w:ascii="Arial" w:cs="Arial" w:eastAsia="Arial" w:hAnsi="Arial"/>
                <w:sz w:val="13"/>
                <w:szCs w:val="13"/>
                <w:color w:val="auto"/>
                <w:w w:val="99"/>
              </w:rPr>
              <w:t>-1.0%</w:t>
            </w:r>
          </w:p>
        </w:tc>
        <w:tc>
          <w:tcPr>
            <w:tcW w:w="720" w:type="dxa"/>
            <w:vAlign w:val="bottom"/>
          </w:tcPr>
          <w:p>
            <w:pPr>
              <w:jc w:val="center"/>
              <w:ind w:right="272"/>
              <w:spacing w:after="0" w:line="146" w:lineRule="exact"/>
              <w:rPr>
                <w:sz w:val="20"/>
                <w:szCs w:val="20"/>
                <w:color w:val="auto"/>
              </w:rPr>
            </w:pPr>
            <w:r>
              <w:rPr>
                <w:rFonts w:ascii="Arial" w:cs="Arial" w:eastAsia="Arial" w:hAnsi="Arial"/>
                <w:sz w:val="13"/>
                <w:szCs w:val="13"/>
                <w:color w:val="auto"/>
                <w:w w:val="99"/>
              </w:rPr>
              <w:t>-0.1%</w:t>
            </w:r>
          </w:p>
        </w:tc>
        <w:tc>
          <w:tcPr>
            <w:tcW w:w="1260" w:type="dxa"/>
            <w:vAlign w:val="bottom"/>
          </w:tcPr>
          <w:p>
            <w:pPr>
              <w:jc w:val="right"/>
              <w:ind w:right="295"/>
              <w:spacing w:after="0" w:line="146" w:lineRule="exact"/>
              <w:rPr>
                <w:sz w:val="20"/>
                <w:szCs w:val="20"/>
                <w:color w:val="auto"/>
              </w:rPr>
            </w:pPr>
            <w:r>
              <w:rPr>
                <w:rFonts w:ascii="Arial" w:cs="Arial" w:eastAsia="Arial" w:hAnsi="Arial"/>
                <w:sz w:val="13"/>
                <w:szCs w:val="13"/>
                <w:color w:val="auto"/>
              </w:rPr>
              <w:t>1,154,270</w:t>
            </w:r>
          </w:p>
        </w:tc>
        <w:tc>
          <w:tcPr>
            <w:tcW w:w="860" w:type="dxa"/>
            <w:vAlign w:val="bottom"/>
          </w:tcPr>
          <w:p>
            <w:pPr>
              <w:jc w:val="right"/>
              <w:ind w:right="135"/>
              <w:spacing w:after="0" w:line="146" w:lineRule="exact"/>
              <w:rPr>
                <w:sz w:val="20"/>
                <w:szCs w:val="20"/>
                <w:color w:val="auto"/>
              </w:rPr>
            </w:pPr>
            <w:r>
              <w:rPr>
                <w:rFonts w:ascii="Arial" w:cs="Arial" w:eastAsia="Arial" w:hAnsi="Arial"/>
                <w:sz w:val="13"/>
                <w:szCs w:val="13"/>
                <w:color w:val="auto"/>
              </w:rPr>
              <w:t>1,200,445</w:t>
            </w:r>
          </w:p>
        </w:tc>
        <w:tc>
          <w:tcPr>
            <w:tcW w:w="1120" w:type="dxa"/>
            <w:vAlign w:val="bottom"/>
          </w:tcPr>
          <w:p>
            <w:pPr>
              <w:jc w:val="center"/>
              <w:ind w:right="35"/>
              <w:spacing w:after="0" w:line="146" w:lineRule="exact"/>
              <w:rPr>
                <w:sz w:val="20"/>
                <w:szCs w:val="20"/>
                <w:color w:val="auto"/>
              </w:rPr>
            </w:pPr>
            <w:r>
              <w:rPr>
                <w:rFonts w:ascii="Arial" w:cs="Arial" w:eastAsia="Arial" w:hAnsi="Arial"/>
                <w:sz w:val="13"/>
                <w:szCs w:val="13"/>
                <w:color w:val="auto"/>
              </w:rPr>
              <w:t>4.0%</w:t>
            </w:r>
          </w:p>
        </w:tc>
        <w:tc>
          <w:tcPr>
            <w:tcW w:w="20" w:type="dxa"/>
            <w:vAlign w:val="bottom"/>
          </w:tcPr>
          <w:p>
            <w:pPr>
              <w:spacing w:after="0"/>
              <w:rPr>
                <w:sz w:val="12"/>
                <w:szCs w:val="12"/>
                <w:color w:val="auto"/>
              </w:rPr>
            </w:pPr>
          </w:p>
        </w:tc>
      </w:tr>
      <w:tr>
        <w:trPr>
          <w:trHeight w:val="146"/>
        </w:trPr>
        <w:tc>
          <w:tcPr>
            <w:tcW w:w="2400" w:type="dxa"/>
            <w:vAlign w:val="bottom"/>
          </w:tcPr>
          <w:p>
            <w:pPr>
              <w:ind w:left="100"/>
              <w:spacing w:after="0" w:line="146" w:lineRule="exact"/>
              <w:rPr>
                <w:sz w:val="20"/>
                <w:szCs w:val="20"/>
                <w:color w:val="auto"/>
              </w:rPr>
            </w:pPr>
            <w:r>
              <w:rPr>
                <w:rFonts w:ascii="Arial" w:cs="Arial" w:eastAsia="Arial" w:hAnsi="Arial"/>
                <w:sz w:val="13"/>
                <w:szCs w:val="13"/>
                <w:color w:val="auto"/>
              </w:rPr>
              <w:t>Core Business Pacifico</w:t>
            </w:r>
          </w:p>
        </w:tc>
        <w:tc>
          <w:tcPr>
            <w:tcW w:w="1640" w:type="dxa"/>
            <w:vAlign w:val="bottom"/>
          </w:tcPr>
          <w:p>
            <w:pPr>
              <w:jc w:val="right"/>
              <w:ind w:right="132"/>
              <w:spacing w:after="0" w:line="146" w:lineRule="exact"/>
              <w:rPr>
                <w:sz w:val="20"/>
                <w:szCs w:val="20"/>
                <w:color w:val="auto"/>
              </w:rPr>
            </w:pPr>
            <w:r>
              <w:rPr>
                <w:rFonts w:ascii="Arial" w:cs="Arial" w:eastAsia="Arial" w:hAnsi="Arial"/>
                <w:sz w:val="13"/>
                <w:szCs w:val="13"/>
                <w:color w:val="auto"/>
              </w:rPr>
              <w:t>82,114</w:t>
            </w:r>
          </w:p>
        </w:tc>
        <w:tc>
          <w:tcPr>
            <w:tcW w:w="1180" w:type="dxa"/>
            <w:vAlign w:val="bottom"/>
          </w:tcPr>
          <w:p>
            <w:pPr>
              <w:jc w:val="right"/>
              <w:ind w:right="295"/>
              <w:spacing w:after="0" w:line="146" w:lineRule="exact"/>
              <w:rPr>
                <w:sz w:val="20"/>
                <w:szCs w:val="20"/>
                <w:color w:val="auto"/>
              </w:rPr>
            </w:pPr>
            <w:r>
              <w:rPr>
                <w:rFonts w:ascii="Arial" w:cs="Arial" w:eastAsia="Arial" w:hAnsi="Arial"/>
                <w:sz w:val="13"/>
                <w:szCs w:val="13"/>
                <w:color w:val="auto"/>
              </w:rPr>
              <w:t>79,355</w:t>
            </w:r>
          </w:p>
        </w:tc>
        <w:tc>
          <w:tcPr>
            <w:tcW w:w="84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85,485</w:t>
            </w:r>
          </w:p>
        </w:tc>
        <w:tc>
          <w:tcPr>
            <w:tcW w:w="1220" w:type="dxa"/>
            <w:vAlign w:val="bottom"/>
          </w:tcPr>
          <w:p>
            <w:pPr>
              <w:jc w:val="center"/>
              <w:ind w:right="335"/>
              <w:spacing w:after="0" w:line="146" w:lineRule="exact"/>
              <w:rPr>
                <w:sz w:val="20"/>
                <w:szCs w:val="20"/>
                <w:color w:val="auto"/>
              </w:rPr>
            </w:pPr>
            <w:r>
              <w:rPr>
                <w:rFonts w:ascii="Arial" w:cs="Arial" w:eastAsia="Arial" w:hAnsi="Arial"/>
                <w:sz w:val="13"/>
                <w:szCs w:val="13"/>
                <w:color w:val="auto"/>
              </w:rPr>
              <w:t>7.7%</w:t>
            </w:r>
          </w:p>
        </w:tc>
        <w:tc>
          <w:tcPr>
            <w:tcW w:w="720" w:type="dxa"/>
            <w:vAlign w:val="bottom"/>
          </w:tcPr>
          <w:p>
            <w:pPr>
              <w:jc w:val="center"/>
              <w:ind w:right="272"/>
              <w:spacing w:after="0" w:line="146" w:lineRule="exact"/>
              <w:rPr>
                <w:sz w:val="20"/>
                <w:szCs w:val="20"/>
                <w:color w:val="auto"/>
              </w:rPr>
            </w:pPr>
            <w:r>
              <w:rPr>
                <w:rFonts w:ascii="Arial" w:cs="Arial" w:eastAsia="Arial" w:hAnsi="Arial"/>
                <w:sz w:val="13"/>
                <w:szCs w:val="13"/>
                <w:color w:val="auto"/>
              </w:rPr>
              <w:t>4.1%</w:t>
            </w:r>
          </w:p>
        </w:tc>
        <w:tc>
          <w:tcPr>
            <w:tcW w:w="1260" w:type="dxa"/>
            <w:vAlign w:val="bottom"/>
          </w:tcPr>
          <w:p>
            <w:pPr>
              <w:jc w:val="right"/>
              <w:ind w:right="295"/>
              <w:spacing w:after="0" w:line="146" w:lineRule="exact"/>
              <w:rPr>
                <w:sz w:val="20"/>
                <w:szCs w:val="20"/>
                <w:color w:val="auto"/>
              </w:rPr>
            </w:pPr>
            <w:r>
              <w:rPr>
                <w:rFonts w:ascii="Arial" w:cs="Arial" w:eastAsia="Arial" w:hAnsi="Arial"/>
                <w:sz w:val="13"/>
                <w:szCs w:val="13"/>
                <w:color w:val="auto"/>
              </w:rPr>
              <w:t>262,796</w:t>
            </w:r>
          </w:p>
        </w:tc>
        <w:tc>
          <w:tcPr>
            <w:tcW w:w="860" w:type="dxa"/>
            <w:vAlign w:val="bottom"/>
          </w:tcPr>
          <w:p>
            <w:pPr>
              <w:jc w:val="right"/>
              <w:ind w:right="135"/>
              <w:spacing w:after="0" w:line="146" w:lineRule="exact"/>
              <w:rPr>
                <w:sz w:val="20"/>
                <w:szCs w:val="20"/>
                <w:color w:val="auto"/>
              </w:rPr>
            </w:pPr>
            <w:r>
              <w:rPr>
                <w:rFonts w:ascii="Arial" w:cs="Arial" w:eastAsia="Arial" w:hAnsi="Arial"/>
                <w:sz w:val="13"/>
                <w:szCs w:val="13"/>
                <w:color w:val="auto"/>
              </w:rPr>
              <w:t>301,816</w:t>
            </w:r>
          </w:p>
        </w:tc>
        <w:tc>
          <w:tcPr>
            <w:tcW w:w="1120" w:type="dxa"/>
            <w:vAlign w:val="bottom"/>
          </w:tcPr>
          <w:p>
            <w:pPr>
              <w:jc w:val="center"/>
              <w:ind w:right="35"/>
              <w:spacing w:after="0" w:line="146" w:lineRule="exact"/>
              <w:rPr>
                <w:sz w:val="20"/>
                <w:szCs w:val="20"/>
                <w:color w:val="auto"/>
              </w:rPr>
            </w:pPr>
            <w:r>
              <w:rPr>
                <w:rFonts w:ascii="Arial" w:cs="Arial" w:eastAsia="Arial" w:hAnsi="Arial"/>
                <w:sz w:val="13"/>
                <w:szCs w:val="13"/>
                <w:color w:val="auto"/>
              </w:rPr>
              <w:t>14.8%</w:t>
            </w:r>
          </w:p>
        </w:tc>
        <w:tc>
          <w:tcPr>
            <w:tcW w:w="20" w:type="dxa"/>
            <w:vAlign w:val="bottom"/>
          </w:tcPr>
          <w:p>
            <w:pPr>
              <w:spacing w:after="0"/>
              <w:rPr>
                <w:sz w:val="12"/>
                <w:szCs w:val="12"/>
                <w:color w:val="auto"/>
              </w:rPr>
            </w:pPr>
          </w:p>
        </w:tc>
      </w:tr>
      <w:tr>
        <w:trPr>
          <w:trHeight w:val="146"/>
        </w:trPr>
        <w:tc>
          <w:tcPr>
            <w:tcW w:w="2400" w:type="dxa"/>
            <w:vAlign w:val="bottom"/>
          </w:tcPr>
          <w:p>
            <w:pPr>
              <w:ind w:left="100"/>
              <w:spacing w:after="0" w:line="146" w:lineRule="exact"/>
              <w:rPr>
                <w:sz w:val="20"/>
                <w:szCs w:val="20"/>
                <w:color w:val="auto"/>
              </w:rPr>
            </w:pPr>
            <w:r>
              <w:rPr>
                <w:rFonts w:ascii="Arial" w:cs="Arial" w:eastAsia="Arial" w:hAnsi="Arial"/>
                <w:sz w:val="13"/>
                <w:szCs w:val="13"/>
                <w:color w:val="auto"/>
              </w:rPr>
              <w:t>Disruption (2)</w:t>
            </w:r>
          </w:p>
        </w:tc>
        <w:tc>
          <w:tcPr>
            <w:tcW w:w="1640" w:type="dxa"/>
            <w:vAlign w:val="bottom"/>
          </w:tcPr>
          <w:p>
            <w:pPr>
              <w:jc w:val="right"/>
              <w:ind w:right="132"/>
              <w:spacing w:after="0" w:line="146" w:lineRule="exact"/>
              <w:rPr>
                <w:sz w:val="20"/>
                <w:szCs w:val="20"/>
                <w:color w:val="auto"/>
              </w:rPr>
            </w:pPr>
            <w:r>
              <w:rPr>
                <w:rFonts w:ascii="Arial" w:cs="Arial" w:eastAsia="Arial" w:hAnsi="Arial"/>
                <w:sz w:val="13"/>
                <w:szCs w:val="13"/>
                <w:color w:val="auto"/>
              </w:rPr>
              <w:t>196,125</w:t>
            </w:r>
          </w:p>
        </w:tc>
        <w:tc>
          <w:tcPr>
            <w:tcW w:w="1180" w:type="dxa"/>
            <w:vAlign w:val="bottom"/>
          </w:tcPr>
          <w:p>
            <w:pPr>
              <w:jc w:val="right"/>
              <w:ind w:right="295"/>
              <w:spacing w:after="0" w:line="146" w:lineRule="exact"/>
              <w:rPr>
                <w:sz w:val="20"/>
                <w:szCs w:val="20"/>
                <w:color w:val="auto"/>
              </w:rPr>
            </w:pPr>
            <w:r>
              <w:rPr>
                <w:rFonts w:ascii="Arial" w:cs="Arial" w:eastAsia="Arial" w:hAnsi="Arial"/>
                <w:sz w:val="13"/>
                <w:szCs w:val="13"/>
                <w:color w:val="auto"/>
              </w:rPr>
              <w:t>222,207</w:t>
            </w:r>
          </w:p>
        </w:tc>
        <w:tc>
          <w:tcPr>
            <w:tcW w:w="84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335,077</w:t>
            </w:r>
          </w:p>
        </w:tc>
        <w:tc>
          <w:tcPr>
            <w:tcW w:w="1220" w:type="dxa"/>
            <w:vAlign w:val="bottom"/>
          </w:tcPr>
          <w:p>
            <w:pPr>
              <w:jc w:val="center"/>
              <w:ind w:right="335"/>
              <w:spacing w:after="0" w:line="146" w:lineRule="exact"/>
              <w:rPr>
                <w:sz w:val="20"/>
                <w:szCs w:val="20"/>
                <w:color w:val="auto"/>
              </w:rPr>
            </w:pPr>
            <w:r>
              <w:rPr>
                <w:rFonts w:ascii="Arial" w:cs="Arial" w:eastAsia="Arial" w:hAnsi="Arial"/>
                <w:sz w:val="13"/>
                <w:szCs w:val="13"/>
                <w:color w:val="auto"/>
              </w:rPr>
              <w:t>50.8%</w:t>
            </w:r>
          </w:p>
        </w:tc>
        <w:tc>
          <w:tcPr>
            <w:tcW w:w="720" w:type="dxa"/>
            <w:vAlign w:val="bottom"/>
          </w:tcPr>
          <w:p>
            <w:pPr>
              <w:jc w:val="center"/>
              <w:ind w:right="252"/>
              <w:spacing w:after="0" w:line="146" w:lineRule="exact"/>
              <w:rPr>
                <w:sz w:val="20"/>
                <w:szCs w:val="20"/>
                <w:color w:val="auto"/>
              </w:rPr>
            </w:pPr>
            <w:r>
              <w:rPr>
                <w:rFonts w:ascii="Arial" w:cs="Arial" w:eastAsia="Arial" w:hAnsi="Arial"/>
                <w:sz w:val="13"/>
                <w:szCs w:val="13"/>
                <w:color w:val="auto"/>
                <w:w w:val="97"/>
              </w:rPr>
              <w:t>70.8%</w:t>
            </w:r>
          </w:p>
        </w:tc>
        <w:tc>
          <w:tcPr>
            <w:tcW w:w="1260" w:type="dxa"/>
            <w:vAlign w:val="bottom"/>
          </w:tcPr>
          <w:p>
            <w:pPr>
              <w:jc w:val="right"/>
              <w:ind w:right="295"/>
              <w:spacing w:after="0" w:line="146" w:lineRule="exact"/>
              <w:rPr>
                <w:sz w:val="20"/>
                <w:szCs w:val="20"/>
                <w:color w:val="auto"/>
              </w:rPr>
            </w:pPr>
            <w:r>
              <w:rPr>
                <w:rFonts w:ascii="Arial" w:cs="Arial" w:eastAsia="Arial" w:hAnsi="Arial"/>
                <w:sz w:val="13"/>
                <w:szCs w:val="13"/>
                <w:color w:val="auto"/>
              </w:rPr>
              <w:t>557,938</w:t>
            </w:r>
          </w:p>
        </w:tc>
        <w:tc>
          <w:tcPr>
            <w:tcW w:w="860" w:type="dxa"/>
            <w:vAlign w:val="bottom"/>
          </w:tcPr>
          <w:p>
            <w:pPr>
              <w:jc w:val="right"/>
              <w:ind w:right="135"/>
              <w:spacing w:after="0" w:line="146" w:lineRule="exact"/>
              <w:rPr>
                <w:sz w:val="20"/>
                <w:szCs w:val="20"/>
                <w:color w:val="auto"/>
              </w:rPr>
            </w:pPr>
            <w:r>
              <w:rPr>
                <w:rFonts w:ascii="Arial" w:cs="Arial" w:eastAsia="Arial" w:hAnsi="Arial"/>
                <w:sz w:val="13"/>
                <w:szCs w:val="13"/>
                <w:color w:val="auto"/>
              </w:rPr>
              <w:t>929,473</w:t>
            </w:r>
          </w:p>
        </w:tc>
        <w:tc>
          <w:tcPr>
            <w:tcW w:w="1120" w:type="dxa"/>
            <w:vAlign w:val="bottom"/>
          </w:tcPr>
          <w:p>
            <w:pPr>
              <w:jc w:val="center"/>
              <w:ind w:right="35"/>
              <w:spacing w:after="0" w:line="146" w:lineRule="exact"/>
              <w:rPr>
                <w:sz w:val="20"/>
                <w:szCs w:val="20"/>
                <w:color w:val="auto"/>
              </w:rPr>
            </w:pPr>
            <w:r>
              <w:rPr>
                <w:rFonts w:ascii="Arial" w:cs="Arial" w:eastAsia="Arial" w:hAnsi="Arial"/>
                <w:sz w:val="13"/>
                <w:szCs w:val="13"/>
                <w:color w:val="auto"/>
              </w:rPr>
              <w:t>66.6%</w:t>
            </w:r>
          </w:p>
        </w:tc>
        <w:tc>
          <w:tcPr>
            <w:tcW w:w="20" w:type="dxa"/>
            <w:vAlign w:val="bottom"/>
          </w:tcPr>
          <w:p>
            <w:pPr>
              <w:spacing w:after="0"/>
              <w:rPr>
                <w:sz w:val="12"/>
                <w:szCs w:val="12"/>
                <w:color w:val="auto"/>
              </w:rPr>
            </w:pPr>
          </w:p>
        </w:tc>
      </w:tr>
      <w:tr>
        <w:trPr>
          <w:trHeight w:val="154"/>
        </w:trPr>
        <w:tc>
          <w:tcPr>
            <w:tcW w:w="24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Others (3)</w:t>
            </w: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color w:val="auto"/>
              </w:rPr>
              <w:t>333,081</w:t>
            </w:r>
          </w:p>
        </w:tc>
        <w:tc>
          <w:tcPr>
            <w:tcW w:w="11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393,633</w:t>
            </w: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319,075</w:t>
            </w:r>
          </w:p>
        </w:tc>
        <w:tc>
          <w:tcPr>
            <w:tcW w:w="1220" w:type="dxa"/>
            <w:vAlign w:val="bottom"/>
            <w:tcBorders>
              <w:bottom w:val="single" w:sz="8" w:color="auto"/>
            </w:tcBorders>
          </w:tcPr>
          <w:p>
            <w:pPr>
              <w:jc w:val="center"/>
              <w:ind w:right="335"/>
              <w:spacing w:after="0"/>
              <w:rPr>
                <w:sz w:val="20"/>
                <w:szCs w:val="20"/>
                <w:color w:val="auto"/>
              </w:rPr>
            </w:pPr>
            <w:r>
              <w:rPr>
                <w:rFonts w:ascii="Arial" w:cs="Arial" w:eastAsia="Arial" w:hAnsi="Arial"/>
                <w:sz w:val="13"/>
                <w:szCs w:val="13"/>
                <w:color w:val="auto"/>
              </w:rPr>
              <w:t>-18.9%</w:t>
            </w:r>
          </w:p>
        </w:tc>
        <w:tc>
          <w:tcPr>
            <w:tcW w:w="72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color w:val="auto"/>
                <w:w w:val="99"/>
              </w:rPr>
              <w:t>-4.2%</w:t>
            </w:r>
          </w:p>
        </w:tc>
        <w:tc>
          <w:tcPr>
            <w:tcW w:w="126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1,349,180</w:t>
            </w: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1,400,900</w:t>
            </w: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color w:val="auto"/>
              </w:rPr>
              <w:t>3.8%</w:t>
            </w:r>
          </w:p>
        </w:tc>
        <w:tc>
          <w:tcPr>
            <w:tcW w:w="20" w:type="dxa"/>
            <w:vAlign w:val="bottom"/>
            <w:tcBorders>
              <w:bottom w:val="single" w:sz="8" w:color="auto"/>
            </w:tcBorders>
          </w:tcPr>
          <w:p>
            <w:pPr>
              <w:spacing w:after="0"/>
              <w:rPr>
                <w:sz w:val="13"/>
                <w:szCs w:val="13"/>
                <w:color w:val="auto"/>
              </w:rPr>
            </w:pPr>
          </w:p>
        </w:tc>
      </w:tr>
      <w:tr>
        <w:trPr>
          <w:trHeight w:val="145"/>
        </w:trPr>
        <w:tc>
          <w:tcPr>
            <w:tcW w:w="2400" w:type="dxa"/>
            <w:vAlign w:val="bottom"/>
          </w:tcPr>
          <w:p>
            <w:pPr>
              <w:ind w:left="100"/>
              <w:spacing w:after="0" w:line="146" w:lineRule="exact"/>
              <w:rPr>
                <w:sz w:val="20"/>
                <w:szCs w:val="20"/>
                <w:color w:val="auto"/>
              </w:rPr>
            </w:pPr>
            <w:r>
              <w:rPr>
                <w:rFonts w:ascii="Arial" w:cs="Arial" w:eastAsia="Arial" w:hAnsi="Arial"/>
                <w:sz w:val="13"/>
                <w:szCs w:val="13"/>
                <w:b w:val="1"/>
                <w:bCs w:val="1"/>
                <w:color w:val="auto"/>
              </w:rPr>
              <w:t>Total</w:t>
            </w:r>
          </w:p>
        </w:tc>
        <w:tc>
          <w:tcPr>
            <w:tcW w:w="1640" w:type="dxa"/>
            <w:vAlign w:val="bottom"/>
          </w:tcPr>
          <w:p>
            <w:pPr>
              <w:jc w:val="right"/>
              <w:ind w:right="132"/>
              <w:spacing w:after="0" w:line="146" w:lineRule="exact"/>
              <w:rPr>
                <w:sz w:val="20"/>
                <w:szCs w:val="20"/>
                <w:color w:val="auto"/>
              </w:rPr>
            </w:pPr>
            <w:r>
              <w:rPr>
                <w:rFonts w:ascii="Arial" w:cs="Arial" w:eastAsia="Arial" w:hAnsi="Arial"/>
                <w:sz w:val="13"/>
                <w:szCs w:val="13"/>
                <w:b w:val="1"/>
                <w:bCs w:val="1"/>
                <w:color w:val="auto"/>
              </w:rPr>
              <w:t>2,243,805</w:t>
            </w:r>
          </w:p>
        </w:tc>
        <w:tc>
          <w:tcPr>
            <w:tcW w:w="1180" w:type="dxa"/>
            <w:vAlign w:val="bottom"/>
          </w:tcPr>
          <w:p>
            <w:pPr>
              <w:jc w:val="right"/>
              <w:ind w:right="295"/>
              <w:spacing w:after="0" w:line="146" w:lineRule="exact"/>
              <w:rPr>
                <w:sz w:val="20"/>
                <w:szCs w:val="20"/>
                <w:color w:val="auto"/>
              </w:rPr>
            </w:pPr>
            <w:r>
              <w:rPr>
                <w:rFonts w:ascii="Arial" w:cs="Arial" w:eastAsia="Arial" w:hAnsi="Arial"/>
                <w:sz w:val="13"/>
                <w:szCs w:val="13"/>
                <w:b w:val="1"/>
                <w:bCs w:val="1"/>
                <w:color w:val="auto"/>
              </w:rPr>
              <w:t>2,243,691</w:t>
            </w:r>
          </w:p>
        </w:tc>
        <w:tc>
          <w:tcPr>
            <w:tcW w:w="84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2,395,688</w:t>
            </w:r>
          </w:p>
        </w:tc>
        <w:tc>
          <w:tcPr>
            <w:tcW w:w="1220" w:type="dxa"/>
            <w:vAlign w:val="bottom"/>
          </w:tcPr>
          <w:p>
            <w:pPr>
              <w:jc w:val="center"/>
              <w:ind w:right="335"/>
              <w:spacing w:after="0" w:line="146" w:lineRule="exact"/>
              <w:rPr>
                <w:sz w:val="20"/>
                <w:szCs w:val="20"/>
                <w:color w:val="auto"/>
              </w:rPr>
            </w:pPr>
            <w:r>
              <w:rPr>
                <w:rFonts w:ascii="Arial" w:cs="Arial" w:eastAsia="Arial" w:hAnsi="Arial"/>
                <w:sz w:val="13"/>
                <w:szCs w:val="13"/>
                <w:b w:val="1"/>
                <w:bCs w:val="1"/>
                <w:color w:val="auto"/>
              </w:rPr>
              <w:t>6.8%</w:t>
            </w:r>
          </w:p>
        </w:tc>
        <w:tc>
          <w:tcPr>
            <w:tcW w:w="720" w:type="dxa"/>
            <w:vAlign w:val="bottom"/>
          </w:tcPr>
          <w:p>
            <w:pPr>
              <w:jc w:val="center"/>
              <w:ind w:right="272"/>
              <w:spacing w:after="0" w:line="146" w:lineRule="exact"/>
              <w:rPr>
                <w:sz w:val="20"/>
                <w:szCs w:val="20"/>
                <w:color w:val="auto"/>
              </w:rPr>
            </w:pPr>
            <w:r>
              <w:rPr>
                <w:rFonts w:ascii="Arial" w:cs="Arial" w:eastAsia="Arial" w:hAnsi="Arial"/>
                <w:sz w:val="13"/>
                <w:szCs w:val="13"/>
                <w:b w:val="1"/>
                <w:bCs w:val="1"/>
                <w:color w:val="auto"/>
              </w:rPr>
              <w:t>6.8%</w:t>
            </w:r>
          </w:p>
        </w:tc>
        <w:tc>
          <w:tcPr>
            <w:tcW w:w="1260" w:type="dxa"/>
            <w:vAlign w:val="bottom"/>
          </w:tcPr>
          <w:p>
            <w:pPr>
              <w:jc w:val="right"/>
              <w:ind w:right="295"/>
              <w:spacing w:after="0" w:line="146" w:lineRule="exact"/>
              <w:rPr>
                <w:sz w:val="20"/>
                <w:szCs w:val="20"/>
                <w:color w:val="auto"/>
              </w:rPr>
            </w:pPr>
            <w:r>
              <w:rPr>
                <w:rFonts w:ascii="Arial" w:cs="Arial" w:eastAsia="Arial" w:hAnsi="Arial"/>
                <w:sz w:val="13"/>
                <w:szCs w:val="13"/>
                <w:b w:val="1"/>
                <w:bCs w:val="1"/>
                <w:color w:val="auto"/>
              </w:rPr>
              <w:t>7,993,670</w:t>
            </w:r>
          </w:p>
        </w:tc>
        <w:tc>
          <w:tcPr>
            <w:tcW w:w="860" w:type="dxa"/>
            <w:vAlign w:val="bottom"/>
          </w:tcPr>
          <w:p>
            <w:pPr>
              <w:jc w:val="right"/>
              <w:ind w:right="135"/>
              <w:spacing w:after="0" w:line="146" w:lineRule="exact"/>
              <w:rPr>
                <w:sz w:val="20"/>
                <w:szCs w:val="20"/>
                <w:color w:val="auto"/>
              </w:rPr>
            </w:pPr>
            <w:r>
              <w:rPr>
                <w:rFonts w:ascii="Arial" w:cs="Arial" w:eastAsia="Arial" w:hAnsi="Arial"/>
                <w:sz w:val="13"/>
                <w:szCs w:val="13"/>
                <w:b w:val="1"/>
                <w:bCs w:val="1"/>
                <w:color w:val="auto"/>
              </w:rPr>
              <w:t>8,780,760</w:t>
            </w:r>
          </w:p>
        </w:tc>
        <w:tc>
          <w:tcPr>
            <w:tcW w:w="1120" w:type="dxa"/>
            <w:vAlign w:val="bottom"/>
          </w:tcPr>
          <w:p>
            <w:pPr>
              <w:jc w:val="center"/>
              <w:ind w:right="35"/>
              <w:spacing w:after="0" w:line="146" w:lineRule="exact"/>
              <w:rPr>
                <w:sz w:val="20"/>
                <w:szCs w:val="20"/>
                <w:color w:val="auto"/>
              </w:rPr>
            </w:pPr>
            <w:r>
              <w:rPr>
                <w:rFonts w:ascii="Arial" w:cs="Arial" w:eastAsia="Arial" w:hAnsi="Arial"/>
                <w:sz w:val="13"/>
                <w:szCs w:val="13"/>
                <w:b w:val="1"/>
                <w:bCs w:val="1"/>
                <w:color w:val="auto"/>
              </w:rPr>
              <w:t>9.8%</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-831850</wp:posOffset>
            </wp:positionV>
            <wp:extent cx="7145655" cy="836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5655" cy="83629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-1652905</wp:posOffset>
            </wp:positionV>
            <wp:extent cx="1161415" cy="139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ind w:left="202" w:hanging="202"/>
        <w:spacing w:after="0" w:line="231" w:lineRule="auto"/>
        <w:tabs>
          <w:tab w:leader="none" w:pos="202" w:val="left"/>
        </w:tabs>
        <w:numPr>
          <w:ilvl w:val="0"/>
          <w:numId w:val="40"/>
        </w:numPr>
        <w:rPr>
          <w:rFonts w:ascii="Arial" w:cs="Arial" w:eastAsia="Arial" w:hAnsi="Arial"/>
          <w:sz w:val="11"/>
          <w:szCs w:val="11"/>
          <w:color w:val="auto"/>
        </w:rPr>
      </w:pPr>
      <w:r>
        <w:rPr>
          <w:rFonts w:ascii="Arial" w:cs="Arial" w:eastAsia="Arial" w:hAnsi="Arial"/>
          <w:sz w:val="11"/>
          <w:szCs w:val="11"/>
          <w:color w:val="auto"/>
        </w:rPr>
        <w:t>Management figures.</w:t>
      </w:r>
    </w:p>
    <w:p>
      <w:pPr>
        <w:ind w:left="202" w:hanging="202"/>
        <w:spacing w:after="0" w:line="231" w:lineRule="auto"/>
        <w:tabs>
          <w:tab w:leader="none" w:pos="202" w:val="left"/>
        </w:tabs>
        <w:numPr>
          <w:ilvl w:val="0"/>
          <w:numId w:val="40"/>
        </w:numPr>
        <w:rPr>
          <w:rFonts w:ascii="Arial" w:cs="Arial" w:eastAsia="Arial" w:hAnsi="Arial"/>
          <w:sz w:val="11"/>
          <w:szCs w:val="11"/>
          <w:color w:val="auto"/>
        </w:rPr>
      </w:pPr>
      <w:r>
        <w:rPr>
          <w:rFonts w:ascii="Arial" w:cs="Arial" w:eastAsia="Arial" w:hAnsi="Arial"/>
          <w:sz w:val="11"/>
          <w:szCs w:val="11"/>
          <w:color w:val="auto"/>
        </w:rPr>
        <w:t>Includes disruptive initiatives at the subsidiaries and Krealo.</w:t>
      </w:r>
    </w:p>
    <w:p>
      <w:pPr>
        <w:ind w:left="202" w:hanging="202"/>
        <w:spacing w:after="0"/>
        <w:tabs>
          <w:tab w:leader="none" w:pos="202" w:val="left"/>
        </w:tabs>
        <w:numPr>
          <w:ilvl w:val="0"/>
          <w:numId w:val="40"/>
        </w:numPr>
        <w:rPr>
          <w:rFonts w:ascii="Arial" w:cs="Arial" w:eastAsia="Arial" w:hAnsi="Arial"/>
          <w:sz w:val="11"/>
          <w:szCs w:val="11"/>
          <w:color w:val="auto"/>
        </w:rPr>
      </w:pPr>
      <w:r>
        <w:rPr>
          <w:rFonts w:ascii="Arial" w:cs="Arial" w:eastAsia="Arial" w:hAnsi="Arial"/>
          <w:sz w:val="11"/>
          <w:szCs w:val="11"/>
          <w:color w:val="auto"/>
        </w:rPr>
        <w:t>Includes Credicorp Capital, ASB, Prima, BCP Bolivia, Mibanco Colombia, and other entities within the Group.</w:t>
      </w:r>
    </w:p>
    <w:p>
      <w:pPr>
        <w:spacing w:after="0" w:line="167" w:lineRule="exact"/>
        <w:rPr>
          <w:sz w:val="20"/>
          <w:szCs w:val="20"/>
          <w:color w:val="auto"/>
        </w:rPr>
      </w:pPr>
    </w:p>
    <w:p>
      <w:pPr>
        <w:jc w:val="both"/>
        <w:ind w:left="2" w:right="20"/>
        <w:spacing w:after="0" w:line="279" w:lineRule="auto"/>
        <w:rPr>
          <w:sz w:val="20"/>
          <w:szCs w:val="20"/>
          <w:color w:val="auto"/>
        </w:rPr>
      </w:pPr>
      <w:r>
        <w:rPr>
          <w:rFonts w:ascii="Arial" w:cs="Arial" w:eastAsia="Arial" w:hAnsi="Arial"/>
          <w:sz w:val="16"/>
          <w:szCs w:val="16"/>
          <w:color w:val="auto"/>
        </w:rPr>
        <w:t>YTD, growth of 9.8% in operating expenses at Credicorp was driven by disruptive initiatives at the Credicorp level, which were responsible for 47.2% of total growth, and by our core business at BCP, which accounted for 35.4%.</w:t>
      </w:r>
    </w:p>
    <w:p>
      <w:pPr>
        <w:spacing w:after="0" w:line="121"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color w:val="auto"/>
        </w:rPr>
        <w:t>Growth in disruption expenses reached 66.6% YTD and represented 10.6% of total expenses in 2023. These expenses were attributable to investments in personnel and in developing functionalities through initiatives such as Yape, Tenpo, Culqi, Tyba, among others. These investments aim to strengthen our leadership in the long term.</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the case of BCP’s core business, YTD growth of 6.0% was driven by both IT expenses and core business expenses excluding technology:</w:t>
      </w:r>
    </w:p>
    <w:p>
      <w:pPr>
        <w:spacing w:after="0" w:line="182" w:lineRule="exact"/>
        <w:rPr>
          <w:sz w:val="20"/>
          <w:szCs w:val="20"/>
          <w:color w:val="auto"/>
        </w:rPr>
      </w:pPr>
    </w:p>
    <w:p>
      <w:pPr>
        <w:ind w:left="582" w:hanging="290"/>
        <w:spacing w:after="0"/>
        <w:tabs>
          <w:tab w:leader="none" w:pos="582"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Technology Expenses (IT)</w:t>
      </w:r>
    </w:p>
    <w:p>
      <w:pPr>
        <w:spacing w:after="0" w:line="14" w:lineRule="exact"/>
        <w:rPr>
          <w:rFonts w:ascii="Arial" w:cs="Arial" w:eastAsia="Arial" w:hAnsi="Arial"/>
          <w:sz w:val="16"/>
          <w:szCs w:val="16"/>
          <w:b w:val="1"/>
          <w:bCs w:val="1"/>
          <w:color w:val="auto"/>
        </w:rPr>
      </w:pPr>
    </w:p>
    <w:p>
      <w:pPr>
        <w:ind w:left="1462" w:right="20" w:hanging="292"/>
        <w:spacing w:after="0" w:line="238" w:lineRule="auto"/>
        <w:tabs>
          <w:tab w:leader="none" w:pos="14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line with an increase in the transactional volume of increasingly digitalized clients, expenses for the use of the bank’s servers rose. The monetary and non-monetary transactions through digital channels rose 116.5% and 87.8% respectively.</w:t>
      </w:r>
    </w:p>
    <w:p>
      <w:pPr>
        <w:ind w:left="1462" w:hanging="292"/>
        <w:spacing w:after="0" w:line="238" w:lineRule="auto"/>
        <w:tabs>
          <w:tab w:leader="none" w:pos="14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Additionally, strategic IT projects were carried out to develop new capabilities.</w:t>
      </w:r>
    </w:p>
    <w:p>
      <w:pPr>
        <w:ind w:left="1462" w:hanging="292"/>
        <w:spacing w:after="0"/>
        <w:tabs>
          <w:tab w:leader="none" w:pos="14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More personnel with specialized digital capacities were hired; the average salary paid to this personnel also rose.</w:t>
      </w:r>
    </w:p>
    <w:p>
      <w:pPr>
        <w:spacing w:after="0" w:line="165" w:lineRule="exact"/>
        <w:rPr>
          <w:rFonts w:ascii="Arial" w:cs="Arial" w:eastAsia="Arial" w:hAnsi="Arial"/>
          <w:sz w:val="16"/>
          <w:szCs w:val="16"/>
          <w:color w:val="auto"/>
        </w:rPr>
      </w:pPr>
    </w:p>
    <w:p>
      <w:pPr>
        <w:ind w:left="582" w:hanging="290"/>
        <w:spacing w:after="0"/>
        <w:tabs>
          <w:tab w:leader="none" w:pos="582"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Expenses in the core business excluding IT</w:t>
      </w:r>
    </w:p>
    <w:p>
      <w:pPr>
        <w:spacing w:after="0" w:line="14" w:lineRule="exact"/>
        <w:rPr>
          <w:rFonts w:ascii="Arial" w:cs="Arial" w:eastAsia="Arial" w:hAnsi="Arial"/>
          <w:sz w:val="16"/>
          <w:szCs w:val="16"/>
          <w:b w:val="1"/>
          <w:bCs w:val="1"/>
          <w:color w:val="auto"/>
        </w:rPr>
      </w:pPr>
    </w:p>
    <w:p>
      <w:pPr>
        <w:ind w:left="1462" w:hanging="292"/>
        <w:spacing w:after="0" w:line="238" w:lineRule="auto"/>
        <w:tabs>
          <w:tab w:leader="none" w:pos="14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Expenses for marketing and advertising rose to attract more deposits and drive sales of digital products.</w:t>
      </w:r>
    </w:p>
    <w:p>
      <w:pPr>
        <w:ind w:left="1462" w:hanging="292"/>
        <w:spacing w:after="0" w:line="238" w:lineRule="auto"/>
        <w:tabs>
          <w:tab w:leader="none" w:pos="14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Expenses for supplies increased due to the increase in the number of debit and credit cards, as well as physical and digital tokens.</w:t>
      </w:r>
    </w:p>
    <w:p>
      <w:pPr>
        <w:ind w:left="1462" w:hanging="292"/>
        <w:spacing w:after="0"/>
        <w:tabs>
          <w:tab w:leader="none" w:pos="14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 uptick in expenses for Fidelity programs, in line with growth in the use of credit cards (+15.8%) this year.</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140" w:right="319" w:bottom="1440" w:gutter="0" w:footer="0" w:header="0"/>
        </w:sectPr>
      </w:pPr>
    </w:p>
    <w:bookmarkStart w:id="43" w:name="page44"/>
    <w:bookmarkEnd w:id="43"/>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400" w:lineRule="exact"/>
        <w:rPr>
          <w:sz w:val="20"/>
          <w:szCs w:val="20"/>
          <w:color w:val="auto"/>
        </w:rPr>
      </w:pPr>
    </w:p>
    <w:p>
      <w:pPr>
        <w:ind w:left="2"/>
        <w:spacing w:after="0"/>
        <w:rPr>
          <w:sz w:val="20"/>
          <w:szCs w:val="20"/>
          <w:color w:val="auto"/>
        </w:rPr>
      </w:pPr>
      <w:r>
        <w:rPr>
          <w:rFonts w:ascii="Arial" w:cs="Arial" w:eastAsia="Arial" w:hAnsi="Arial"/>
          <w:sz w:val="47"/>
          <w:szCs w:val="47"/>
          <w:b w:val="1"/>
          <w:bCs w:val="1"/>
          <w:color w:val="E93CAC"/>
        </w:rPr>
        <w:t xml:space="preserve">09  </w:t>
      </w:r>
      <w:r>
        <w:rPr>
          <w:rFonts w:ascii="Arial" w:cs="Arial" w:eastAsia="Arial" w:hAnsi="Arial"/>
          <w:sz w:val="29"/>
          <w:szCs w:val="29"/>
          <w:color w:val="E93C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145655" cy="5187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518795"/>
                    </a:xfrm>
                    <a:prstGeom prst="rect">
                      <a:avLst/>
                    </a:prstGeom>
                    <a:noFill/>
                  </pic:spPr>
                </pic:pic>
              </a:graphicData>
            </a:graphic>
          </wp:anchor>
        </w:drawing>
      </w:r>
    </w:p>
    <w:p>
      <w:pPr>
        <w:spacing w:after="0" w:line="361" w:lineRule="exact"/>
        <w:rPr>
          <w:sz w:val="20"/>
          <w:szCs w:val="20"/>
          <w:color w:val="auto"/>
        </w:rPr>
      </w:pPr>
    </w:p>
    <w:p>
      <w:pPr>
        <w:jc w:val="both"/>
        <w:ind w:left="242" w:right="260"/>
        <w:spacing w:after="0" w:line="258" w:lineRule="auto"/>
        <w:rPr>
          <w:sz w:val="20"/>
          <w:szCs w:val="20"/>
          <w:color w:val="auto"/>
        </w:rPr>
      </w:pPr>
      <w:r>
        <w:rPr>
          <w:rFonts w:ascii="Arial" w:cs="Arial" w:eastAsia="Arial" w:hAnsi="Arial"/>
          <w:sz w:val="16"/>
          <w:szCs w:val="16"/>
          <w:color w:val="FFFFFF"/>
        </w:rPr>
        <w:t>The efficiency ratio registered an improvement of 142 bps YTD as income growth was higher than expenses growth. This evolution was in line with an uptick in core income, which was driven by growth in net interest income at BCP. NII was up over the period due to the loan book growth and an improvement in the loan mix, which reflected growth in retail loans.</w:t>
      </w:r>
    </w:p>
    <w:p>
      <w:pPr>
        <w:spacing w:after="0" w:line="23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Efficiency Ratio reported by subsidiary</w:t>
      </w:r>
    </w:p>
    <w:p>
      <w:pPr>
        <w:spacing w:after="0" w:line="16" w:lineRule="exact"/>
        <w:rPr>
          <w:sz w:val="20"/>
          <w:szCs w:val="20"/>
          <w:color w:val="auto"/>
        </w:rPr>
      </w:pPr>
    </w:p>
    <w:tbl>
      <w:tblPr>
        <w:tblLayout w:type="fixed"/>
        <w:tblInd w:w="12" w:type="dxa"/>
        <w:tblCellMar>
          <w:top w:w="0" w:type="dxa"/>
          <w:left w:w="0" w:type="dxa"/>
          <w:bottom w:w="0" w:type="dxa"/>
          <w:right w:w="0" w:type="dxa"/>
        </w:tblCellMar>
      </w:tblPr>
      <w:tr>
        <w:trPr>
          <w:trHeight w:val="205"/>
        </w:trPr>
        <w:tc>
          <w:tcPr>
            <w:tcW w:w="1320" w:type="dxa"/>
            <w:vAlign w:val="bottom"/>
            <w:tcBorders>
              <w:top w:val="single" w:sz="8" w:color="auto"/>
              <w:left w:val="single" w:sz="8" w:color="auto"/>
            </w:tcBorders>
            <w:shd w:val="clear" w:color="auto" w:fill="2AD2C9"/>
          </w:tcPr>
          <w:p>
            <w:pPr>
              <w:spacing w:after="0"/>
              <w:rPr>
                <w:sz w:val="17"/>
                <w:szCs w:val="17"/>
                <w:color w:val="auto"/>
              </w:rPr>
            </w:pPr>
          </w:p>
        </w:tc>
        <w:tc>
          <w:tcPr>
            <w:tcW w:w="2080" w:type="dxa"/>
            <w:vAlign w:val="bottom"/>
            <w:tcBorders>
              <w:top w:val="single" w:sz="8" w:color="auto"/>
              <w:right w:val="single" w:sz="8" w:color="auto"/>
            </w:tcBorders>
            <w:vMerge w:val="restart"/>
            <w:shd w:val="clear" w:color="auto" w:fill="2AD2C9"/>
          </w:tcPr>
          <w:p>
            <w:pPr>
              <w:spacing w:after="0"/>
              <w:rPr>
                <w:sz w:val="20"/>
                <w:szCs w:val="20"/>
                <w:color w:val="auto"/>
              </w:rPr>
            </w:pPr>
            <w:r>
              <w:rPr>
                <w:rFonts w:ascii="Arial" w:cs="Arial" w:eastAsia="Arial" w:hAnsi="Arial"/>
                <w:sz w:val="15"/>
                <w:szCs w:val="15"/>
                <w:b w:val="1"/>
                <w:bCs w:val="1"/>
                <w:color w:val="FFFFFF"/>
              </w:rPr>
              <w:t>Subsidiary</w:t>
            </w:r>
          </w:p>
        </w:tc>
        <w:tc>
          <w:tcPr>
            <w:tcW w:w="900" w:type="dxa"/>
            <w:vAlign w:val="bottom"/>
            <w:tcBorders>
              <w:top w:val="single" w:sz="8" w:color="auto"/>
            </w:tcBorders>
            <w:shd w:val="clear" w:color="auto" w:fill="2AD2C9"/>
          </w:tcPr>
          <w:p>
            <w:pPr>
              <w:spacing w:after="0"/>
              <w:rPr>
                <w:sz w:val="17"/>
                <w:szCs w:val="17"/>
                <w:color w:val="auto"/>
              </w:rPr>
            </w:pPr>
          </w:p>
        </w:tc>
        <w:tc>
          <w:tcPr>
            <w:tcW w:w="1000" w:type="dxa"/>
            <w:vAlign w:val="bottom"/>
            <w:tcBorders>
              <w:top w:val="single" w:sz="8" w:color="auto"/>
            </w:tcBorders>
            <w:shd w:val="clear" w:color="auto" w:fill="2AD2C9"/>
          </w:tcPr>
          <w:p>
            <w:pPr>
              <w:ind w:left="220"/>
              <w:spacing w:after="0"/>
              <w:rPr>
                <w:sz w:val="20"/>
                <w:szCs w:val="20"/>
                <w:color w:val="auto"/>
              </w:rPr>
            </w:pPr>
            <w:r>
              <w:rPr>
                <w:rFonts w:ascii="Arial" w:cs="Arial" w:eastAsia="Arial" w:hAnsi="Arial"/>
                <w:sz w:val="15"/>
                <w:szCs w:val="15"/>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7"/>
                <w:szCs w:val="17"/>
                <w:color w:val="auto"/>
              </w:rPr>
            </w:pPr>
          </w:p>
        </w:tc>
        <w:tc>
          <w:tcPr>
            <w:tcW w:w="2260" w:type="dxa"/>
            <w:vAlign w:val="bottom"/>
            <w:tcBorders>
              <w:top w:val="single" w:sz="8" w:color="auto"/>
              <w:right w:val="single" w:sz="8" w:color="auto"/>
            </w:tcBorders>
            <w:gridSpan w:val="2"/>
            <w:shd w:val="clear" w:color="auto" w:fill="2AD2C9"/>
          </w:tcPr>
          <w:p>
            <w:pPr>
              <w:ind w:left="760"/>
              <w:spacing w:after="0"/>
              <w:rPr>
                <w:sz w:val="20"/>
                <w:szCs w:val="20"/>
                <w:color w:val="auto"/>
              </w:rPr>
            </w:pPr>
            <w:r>
              <w:rPr>
                <w:rFonts w:ascii="Arial" w:cs="Arial" w:eastAsia="Arial" w:hAnsi="Arial"/>
                <w:sz w:val="15"/>
                <w:szCs w:val="15"/>
                <w:b w:val="1"/>
                <w:bCs w:val="1"/>
                <w:color w:val="FFFFFF"/>
              </w:rPr>
              <w:t>% change</w:t>
            </w:r>
          </w:p>
        </w:tc>
        <w:tc>
          <w:tcPr>
            <w:tcW w:w="660" w:type="dxa"/>
            <w:vAlign w:val="bottom"/>
            <w:tcBorders>
              <w:top w:val="single" w:sz="8" w:color="auto"/>
            </w:tcBorders>
            <w:shd w:val="clear" w:color="auto" w:fill="2AD2C9"/>
          </w:tcPr>
          <w:p>
            <w:pPr>
              <w:spacing w:after="0"/>
              <w:rPr>
                <w:sz w:val="17"/>
                <w:szCs w:val="17"/>
                <w:color w:val="auto"/>
              </w:rPr>
            </w:pPr>
          </w:p>
        </w:tc>
        <w:tc>
          <w:tcPr>
            <w:tcW w:w="112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5"/>
                <w:szCs w:val="15"/>
                <w:b w:val="1"/>
                <w:bCs w:val="1"/>
                <w:color w:val="FFFFFF"/>
              </w:rPr>
              <w:t>As of</w:t>
            </w:r>
          </w:p>
        </w:tc>
        <w:tc>
          <w:tcPr>
            <w:tcW w:w="10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5"/>
                <w:szCs w:val="15"/>
                <w:b w:val="1"/>
                <w:bCs w:val="1"/>
                <w:color w:val="FFFFFF"/>
                <w:w w:val="97"/>
              </w:rPr>
              <w:t>% change</w:t>
            </w:r>
          </w:p>
        </w:tc>
        <w:tc>
          <w:tcPr>
            <w:tcW w:w="0" w:type="dxa"/>
            <w:vAlign w:val="bottom"/>
          </w:tcPr>
          <w:p>
            <w:pPr>
              <w:spacing w:after="0"/>
              <w:rPr>
                <w:sz w:val="1"/>
                <w:szCs w:val="1"/>
                <w:color w:val="auto"/>
              </w:rPr>
            </w:pPr>
          </w:p>
        </w:tc>
      </w:tr>
      <w:tr>
        <w:trPr>
          <w:trHeight w:val="110"/>
        </w:trPr>
        <w:tc>
          <w:tcPr>
            <w:tcW w:w="1320" w:type="dxa"/>
            <w:vAlign w:val="bottom"/>
            <w:tcBorders>
              <w:left w:val="single" w:sz="8" w:color="auto"/>
            </w:tcBorders>
            <w:shd w:val="clear" w:color="auto" w:fill="2AD2C9"/>
          </w:tcPr>
          <w:p>
            <w:pPr>
              <w:spacing w:after="0"/>
              <w:rPr>
                <w:sz w:val="9"/>
                <w:szCs w:val="9"/>
                <w:color w:val="auto"/>
              </w:rPr>
            </w:pPr>
          </w:p>
        </w:tc>
        <w:tc>
          <w:tcPr>
            <w:tcW w:w="2080" w:type="dxa"/>
            <w:vAlign w:val="bottom"/>
            <w:tcBorders>
              <w:right w:val="single" w:sz="8" w:color="auto"/>
            </w:tcBorders>
            <w:vMerge w:val="continue"/>
            <w:shd w:val="clear" w:color="auto" w:fill="2AD2C9"/>
          </w:tcPr>
          <w:p>
            <w:pPr>
              <w:spacing w:after="0"/>
              <w:rPr>
                <w:sz w:val="9"/>
                <w:szCs w:val="9"/>
                <w:color w:val="auto"/>
              </w:rPr>
            </w:pPr>
          </w:p>
        </w:tc>
        <w:tc>
          <w:tcPr>
            <w:tcW w:w="900" w:type="dxa"/>
            <w:vAlign w:val="bottom"/>
            <w:vMerge w:val="restart"/>
            <w:shd w:val="clear" w:color="auto" w:fill="2AD2C9"/>
          </w:tcPr>
          <w:p>
            <w:pPr>
              <w:jc w:val="center"/>
              <w:spacing w:after="0"/>
              <w:rPr>
                <w:sz w:val="20"/>
                <w:szCs w:val="20"/>
                <w:color w:val="auto"/>
              </w:rPr>
            </w:pPr>
            <w:r>
              <w:rPr>
                <w:rFonts w:ascii="Arial" w:cs="Arial" w:eastAsia="Arial" w:hAnsi="Arial"/>
                <w:sz w:val="15"/>
                <w:szCs w:val="15"/>
                <w:b w:val="1"/>
                <w:bCs w:val="1"/>
                <w:color w:val="FFFFFF"/>
                <w:w w:val="97"/>
              </w:rPr>
              <w:t>4Q22</w:t>
            </w:r>
          </w:p>
        </w:tc>
        <w:tc>
          <w:tcPr>
            <w:tcW w:w="1000" w:type="dxa"/>
            <w:vAlign w:val="bottom"/>
            <w:vMerge w:val="restart"/>
            <w:shd w:val="clear" w:color="auto" w:fill="2AD2C9"/>
          </w:tcPr>
          <w:p>
            <w:pPr>
              <w:jc w:val="center"/>
              <w:ind w:left="7"/>
              <w:spacing w:after="0"/>
              <w:rPr>
                <w:sz w:val="20"/>
                <w:szCs w:val="20"/>
                <w:color w:val="auto"/>
              </w:rPr>
            </w:pPr>
            <w:r>
              <w:rPr>
                <w:rFonts w:ascii="Arial" w:cs="Arial" w:eastAsia="Arial" w:hAnsi="Arial"/>
                <w:sz w:val="15"/>
                <w:szCs w:val="15"/>
                <w:b w:val="1"/>
                <w:bCs w:val="1"/>
                <w:color w:val="FFFFFF"/>
                <w:w w:val="97"/>
              </w:rPr>
              <w:t>3Q23</w:t>
            </w:r>
          </w:p>
        </w:tc>
        <w:tc>
          <w:tcPr>
            <w:tcW w:w="92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5"/>
                <w:szCs w:val="15"/>
                <w:b w:val="1"/>
                <w:bCs w:val="1"/>
                <w:color w:val="FFFFFF"/>
                <w:w w:val="97"/>
              </w:rPr>
              <w:t>4Q23</w:t>
            </w:r>
          </w:p>
        </w:tc>
        <w:tc>
          <w:tcPr>
            <w:tcW w:w="1120" w:type="dxa"/>
            <w:vAlign w:val="bottom"/>
            <w:vMerge w:val="restart"/>
            <w:shd w:val="clear" w:color="auto" w:fill="2AD2C9"/>
          </w:tcPr>
          <w:p>
            <w:pPr>
              <w:jc w:val="center"/>
              <w:spacing w:after="0"/>
              <w:rPr>
                <w:sz w:val="20"/>
                <w:szCs w:val="20"/>
                <w:color w:val="auto"/>
              </w:rPr>
            </w:pPr>
            <w:r>
              <w:rPr>
                <w:rFonts w:ascii="Arial" w:cs="Arial" w:eastAsia="Arial" w:hAnsi="Arial"/>
                <w:sz w:val="15"/>
                <w:szCs w:val="15"/>
                <w:b w:val="1"/>
                <w:bCs w:val="1"/>
                <w:color w:val="FFFFFF"/>
                <w:w w:val="98"/>
              </w:rPr>
              <w:t>QoQ</w:t>
            </w:r>
          </w:p>
        </w:tc>
        <w:tc>
          <w:tcPr>
            <w:tcW w:w="114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5"/>
                <w:szCs w:val="15"/>
                <w:b w:val="1"/>
                <w:bCs w:val="1"/>
                <w:color w:val="FFFFFF"/>
                <w:w w:val="88"/>
              </w:rPr>
              <w:t>YoY</w:t>
            </w:r>
          </w:p>
        </w:tc>
        <w:tc>
          <w:tcPr>
            <w:tcW w:w="660" w:type="dxa"/>
            <w:vAlign w:val="bottom"/>
            <w:vMerge w:val="restart"/>
            <w:shd w:val="clear" w:color="auto" w:fill="2AD2C9"/>
          </w:tcPr>
          <w:p>
            <w:pPr>
              <w:jc w:val="center"/>
              <w:ind w:left="127"/>
              <w:spacing w:after="0"/>
              <w:rPr>
                <w:sz w:val="20"/>
                <w:szCs w:val="20"/>
                <w:color w:val="auto"/>
              </w:rPr>
            </w:pPr>
            <w:r>
              <w:rPr>
                <w:rFonts w:ascii="Arial" w:cs="Arial" w:eastAsia="Arial" w:hAnsi="Arial"/>
                <w:sz w:val="15"/>
                <w:szCs w:val="15"/>
                <w:b w:val="1"/>
                <w:bCs w:val="1"/>
                <w:color w:val="FFFFFF"/>
              </w:rPr>
              <w:t>2022</w:t>
            </w:r>
          </w:p>
        </w:tc>
        <w:tc>
          <w:tcPr>
            <w:tcW w:w="1120" w:type="dxa"/>
            <w:vAlign w:val="bottom"/>
            <w:tcBorders>
              <w:right w:val="single" w:sz="8" w:color="auto"/>
            </w:tcBorders>
            <w:vMerge w:val="restart"/>
            <w:shd w:val="clear" w:color="auto" w:fill="2AD2C9"/>
          </w:tcPr>
          <w:p>
            <w:pPr>
              <w:jc w:val="center"/>
              <w:ind w:left="127"/>
              <w:spacing w:after="0"/>
              <w:rPr>
                <w:sz w:val="20"/>
                <w:szCs w:val="20"/>
                <w:color w:val="auto"/>
              </w:rPr>
            </w:pPr>
            <w:r>
              <w:rPr>
                <w:rFonts w:ascii="Arial" w:cs="Arial" w:eastAsia="Arial" w:hAnsi="Arial"/>
                <w:sz w:val="15"/>
                <w:szCs w:val="15"/>
                <w:b w:val="1"/>
                <w:bCs w:val="1"/>
                <w:color w:val="FFFFFF"/>
                <w:w w:val="95"/>
              </w:rPr>
              <w:t>2023</w:t>
            </w:r>
          </w:p>
        </w:tc>
        <w:tc>
          <w:tcPr>
            <w:tcW w:w="100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5"/>
                <w:szCs w:val="15"/>
                <w:b w:val="1"/>
                <w:bCs w:val="1"/>
                <w:color w:val="FFFFFF"/>
                <w:w w:val="98"/>
              </w:rPr>
              <w:t>2022/2023</w:t>
            </w:r>
          </w:p>
        </w:tc>
        <w:tc>
          <w:tcPr>
            <w:tcW w:w="0" w:type="dxa"/>
            <w:vAlign w:val="bottom"/>
          </w:tcPr>
          <w:p>
            <w:pPr>
              <w:spacing w:after="0"/>
              <w:rPr>
                <w:sz w:val="1"/>
                <w:szCs w:val="1"/>
                <w:color w:val="auto"/>
              </w:rPr>
            </w:pPr>
          </w:p>
        </w:tc>
      </w:tr>
      <w:tr>
        <w:trPr>
          <w:trHeight w:val="113"/>
        </w:trPr>
        <w:tc>
          <w:tcPr>
            <w:tcW w:w="1320" w:type="dxa"/>
            <w:vAlign w:val="bottom"/>
            <w:tcBorders>
              <w:left w:val="single" w:sz="8" w:color="auto"/>
              <w:bottom w:val="single" w:sz="8" w:color="auto"/>
            </w:tcBorders>
            <w:shd w:val="clear" w:color="auto" w:fill="2AD2C9"/>
          </w:tcPr>
          <w:p>
            <w:pPr>
              <w:spacing w:after="0"/>
              <w:rPr>
                <w:sz w:val="9"/>
                <w:szCs w:val="9"/>
                <w:color w:val="auto"/>
              </w:rPr>
            </w:pPr>
          </w:p>
        </w:tc>
        <w:tc>
          <w:tcPr>
            <w:tcW w:w="2080" w:type="dxa"/>
            <w:vAlign w:val="bottom"/>
            <w:tcBorders>
              <w:bottom w:val="single" w:sz="8" w:color="auto"/>
              <w:right w:val="single" w:sz="8" w:color="auto"/>
            </w:tcBorders>
            <w:shd w:val="clear" w:color="auto" w:fill="2AD2C9"/>
          </w:tcPr>
          <w:p>
            <w:pPr>
              <w:spacing w:after="0"/>
              <w:rPr>
                <w:sz w:val="9"/>
                <w:szCs w:val="9"/>
                <w:color w:val="auto"/>
              </w:rPr>
            </w:pPr>
          </w:p>
        </w:tc>
        <w:tc>
          <w:tcPr>
            <w:tcW w:w="900" w:type="dxa"/>
            <w:vAlign w:val="bottom"/>
            <w:tcBorders>
              <w:bottom w:val="single" w:sz="8" w:color="auto"/>
            </w:tcBorders>
            <w:vMerge w:val="continue"/>
            <w:shd w:val="clear" w:color="auto" w:fill="2AD2C9"/>
          </w:tcPr>
          <w:p>
            <w:pPr>
              <w:spacing w:after="0"/>
              <w:rPr>
                <w:sz w:val="9"/>
                <w:szCs w:val="9"/>
                <w:color w:val="auto"/>
              </w:rPr>
            </w:pPr>
          </w:p>
        </w:tc>
        <w:tc>
          <w:tcPr>
            <w:tcW w:w="1000" w:type="dxa"/>
            <w:vAlign w:val="bottom"/>
            <w:tcBorders>
              <w:bottom w:val="single" w:sz="8" w:color="auto"/>
            </w:tcBorders>
            <w:vMerge w:val="continue"/>
            <w:shd w:val="clear" w:color="auto" w:fill="2AD2C9"/>
          </w:tcPr>
          <w:p>
            <w:pPr>
              <w:spacing w:after="0"/>
              <w:rPr>
                <w:sz w:val="9"/>
                <w:szCs w:val="9"/>
                <w:color w:val="auto"/>
              </w:rPr>
            </w:pPr>
          </w:p>
        </w:tc>
        <w:tc>
          <w:tcPr>
            <w:tcW w:w="920" w:type="dxa"/>
            <w:vAlign w:val="bottom"/>
            <w:tcBorders>
              <w:bottom w:val="single" w:sz="8" w:color="auto"/>
              <w:right w:val="single" w:sz="8" w:color="auto"/>
            </w:tcBorders>
            <w:vMerge w:val="continue"/>
            <w:shd w:val="clear" w:color="auto" w:fill="2AD2C9"/>
          </w:tcPr>
          <w:p>
            <w:pPr>
              <w:spacing w:after="0"/>
              <w:rPr>
                <w:sz w:val="9"/>
                <w:szCs w:val="9"/>
                <w:color w:val="auto"/>
              </w:rPr>
            </w:pPr>
          </w:p>
        </w:tc>
        <w:tc>
          <w:tcPr>
            <w:tcW w:w="1120" w:type="dxa"/>
            <w:vAlign w:val="bottom"/>
            <w:tcBorders>
              <w:bottom w:val="single" w:sz="8" w:color="auto"/>
            </w:tcBorders>
            <w:vMerge w:val="continue"/>
            <w:shd w:val="clear" w:color="auto" w:fill="2AD2C9"/>
          </w:tcPr>
          <w:p>
            <w:pPr>
              <w:spacing w:after="0"/>
              <w:rPr>
                <w:sz w:val="9"/>
                <w:szCs w:val="9"/>
                <w:color w:val="auto"/>
              </w:rPr>
            </w:pPr>
          </w:p>
        </w:tc>
        <w:tc>
          <w:tcPr>
            <w:tcW w:w="1140" w:type="dxa"/>
            <w:vAlign w:val="bottom"/>
            <w:tcBorders>
              <w:bottom w:val="single" w:sz="8" w:color="auto"/>
              <w:right w:val="single" w:sz="8" w:color="auto"/>
            </w:tcBorders>
            <w:vMerge w:val="continue"/>
            <w:shd w:val="clear" w:color="auto" w:fill="2AD2C9"/>
          </w:tcPr>
          <w:p>
            <w:pPr>
              <w:spacing w:after="0"/>
              <w:rPr>
                <w:sz w:val="9"/>
                <w:szCs w:val="9"/>
                <w:color w:val="auto"/>
              </w:rPr>
            </w:pPr>
          </w:p>
        </w:tc>
        <w:tc>
          <w:tcPr>
            <w:tcW w:w="660" w:type="dxa"/>
            <w:vAlign w:val="bottom"/>
            <w:tcBorders>
              <w:bottom w:val="single" w:sz="8" w:color="auto"/>
            </w:tcBorders>
            <w:vMerge w:val="continue"/>
            <w:shd w:val="clear" w:color="auto" w:fill="2AD2C9"/>
          </w:tcPr>
          <w:p>
            <w:pPr>
              <w:spacing w:after="0"/>
              <w:rPr>
                <w:sz w:val="9"/>
                <w:szCs w:val="9"/>
                <w:color w:val="auto"/>
              </w:rPr>
            </w:pPr>
          </w:p>
        </w:tc>
        <w:tc>
          <w:tcPr>
            <w:tcW w:w="1120" w:type="dxa"/>
            <w:vAlign w:val="bottom"/>
            <w:tcBorders>
              <w:bottom w:val="single" w:sz="8" w:color="auto"/>
              <w:right w:val="single" w:sz="8" w:color="auto"/>
            </w:tcBorders>
            <w:vMerge w:val="continue"/>
            <w:shd w:val="clear" w:color="auto" w:fill="2AD2C9"/>
          </w:tcPr>
          <w:p>
            <w:pPr>
              <w:spacing w:after="0"/>
              <w:rPr>
                <w:sz w:val="9"/>
                <w:szCs w:val="9"/>
                <w:color w:val="auto"/>
              </w:rPr>
            </w:pPr>
          </w:p>
        </w:tc>
        <w:tc>
          <w:tcPr>
            <w:tcW w:w="1000" w:type="dxa"/>
            <w:vAlign w:val="bottom"/>
            <w:tcBorders>
              <w:bottom w:val="single" w:sz="8" w:color="auto"/>
              <w:right w:val="single" w:sz="8" w:color="auto"/>
            </w:tcBorders>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320" w:type="dxa"/>
            <w:vAlign w:val="bottom"/>
            <w:tcBorders>
              <w:left w:val="single" w:sz="8" w:color="auto"/>
            </w:tcBorders>
          </w:tcPr>
          <w:p>
            <w:pPr>
              <w:ind w:left="100"/>
              <w:spacing w:after="0" w:line="154" w:lineRule="exact"/>
              <w:rPr>
                <w:sz w:val="20"/>
                <w:szCs w:val="20"/>
                <w:color w:val="auto"/>
              </w:rPr>
            </w:pPr>
            <w:r>
              <w:rPr>
                <w:rFonts w:ascii="Arial" w:cs="Arial" w:eastAsia="Arial" w:hAnsi="Arial"/>
                <w:sz w:val="15"/>
                <w:szCs w:val="15"/>
                <w:color w:val="auto"/>
              </w:rPr>
              <w:t>BCP</w:t>
            </w:r>
          </w:p>
        </w:tc>
        <w:tc>
          <w:tcPr>
            <w:tcW w:w="2080" w:type="dxa"/>
            <w:vAlign w:val="bottom"/>
            <w:tcBorders>
              <w:right w:val="single" w:sz="8" w:color="auto"/>
            </w:tcBorders>
          </w:tcPr>
          <w:p>
            <w:pPr>
              <w:spacing w:after="0"/>
              <w:rPr>
                <w:sz w:val="13"/>
                <w:szCs w:val="13"/>
                <w:color w:val="auto"/>
              </w:rPr>
            </w:pPr>
          </w:p>
        </w:tc>
        <w:tc>
          <w:tcPr>
            <w:tcW w:w="900" w:type="dxa"/>
            <w:vAlign w:val="bottom"/>
          </w:tcPr>
          <w:p>
            <w:pPr>
              <w:jc w:val="center"/>
              <w:ind w:left="7"/>
              <w:spacing w:after="0" w:line="154" w:lineRule="exact"/>
              <w:rPr>
                <w:sz w:val="20"/>
                <w:szCs w:val="20"/>
                <w:color w:val="auto"/>
              </w:rPr>
            </w:pPr>
            <w:r>
              <w:rPr>
                <w:rFonts w:ascii="Arial" w:cs="Arial" w:eastAsia="Arial" w:hAnsi="Arial"/>
                <w:sz w:val="15"/>
                <w:szCs w:val="15"/>
                <w:color w:val="auto"/>
                <w:w w:val="98"/>
              </w:rPr>
              <w:t>41.9%</w:t>
            </w:r>
          </w:p>
        </w:tc>
        <w:tc>
          <w:tcPr>
            <w:tcW w:w="1000" w:type="dxa"/>
            <w:vAlign w:val="bottom"/>
          </w:tcPr>
          <w:p>
            <w:pPr>
              <w:jc w:val="center"/>
              <w:ind w:left="7"/>
              <w:spacing w:after="0" w:line="154" w:lineRule="exact"/>
              <w:rPr>
                <w:sz w:val="20"/>
                <w:szCs w:val="20"/>
                <w:color w:val="auto"/>
              </w:rPr>
            </w:pPr>
            <w:r>
              <w:rPr>
                <w:rFonts w:ascii="Arial" w:cs="Arial" w:eastAsia="Arial" w:hAnsi="Arial"/>
                <w:sz w:val="15"/>
                <w:szCs w:val="15"/>
                <w:color w:val="auto"/>
                <w:w w:val="93"/>
              </w:rPr>
              <w:t>39.2%</w:t>
            </w:r>
          </w:p>
        </w:tc>
        <w:tc>
          <w:tcPr>
            <w:tcW w:w="9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3"/>
              </w:rPr>
              <w:t>41.8%</w:t>
            </w:r>
          </w:p>
        </w:tc>
        <w:tc>
          <w:tcPr>
            <w:tcW w:w="1120" w:type="dxa"/>
            <w:vAlign w:val="bottom"/>
          </w:tcPr>
          <w:p>
            <w:pPr>
              <w:jc w:val="center"/>
              <w:spacing w:after="0" w:line="154" w:lineRule="exact"/>
              <w:rPr>
                <w:sz w:val="20"/>
                <w:szCs w:val="20"/>
                <w:color w:val="auto"/>
              </w:rPr>
            </w:pPr>
            <w:r>
              <w:rPr>
                <w:rFonts w:ascii="Arial" w:cs="Arial" w:eastAsia="Arial" w:hAnsi="Arial"/>
                <w:sz w:val="15"/>
                <w:szCs w:val="15"/>
                <w:color w:val="auto"/>
                <w:w w:val="97"/>
              </w:rPr>
              <w:t>260 bps</w:t>
            </w:r>
          </w:p>
        </w:tc>
        <w:tc>
          <w:tcPr>
            <w:tcW w:w="11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9"/>
              </w:rPr>
              <w:t>-10 bps</w:t>
            </w:r>
          </w:p>
        </w:tc>
        <w:tc>
          <w:tcPr>
            <w:tcW w:w="660" w:type="dxa"/>
            <w:vAlign w:val="bottom"/>
          </w:tcPr>
          <w:p>
            <w:pPr>
              <w:jc w:val="center"/>
              <w:ind w:left="127"/>
              <w:spacing w:after="0" w:line="154" w:lineRule="exact"/>
              <w:rPr>
                <w:sz w:val="20"/>
                <w:szCs w:val="20"/>
                <w:color w:val="auto"/>
              </w:rPr>
            </w:pPr>
            <w:r>
              <w:rPr>
                <w:rFonts w:ascii="Arial" w:cs="Arial" w:eastAsia="Arial" w:hAnsi="Arial"/>
                <w:sz w:val="15"/>
                <w:szCs w:val="15"/>
                <w:color w:val="auto"/>
                <w:w w:val="98"/>
              </w:rPr>
              <w:t>40.7%</w:t>
            </w:r>
          </w:p>
        </w:tc>
        <w:tc>
          <w:tcPr>
            <w:tcW w:w="1120" w:type="dxa"/>
            <w:vAlign w:val="bottom"/>
            <w:tcBorders>
              <w:right w:val="single" w:sz="8" w:color="auto"/>
            </w:tcBorders>
          </w:tcPr>
          <w:p>
            <w:pPr>
              <w:jc w:val="center"/>
              <w:ind w:left="107"/>
              <w:spacing w:after="0" w:line="154" w:lineRule="exact"/>
              <w:rPr>
                <w:sz w:val="20"/>
                <w:szCs w:val="20"/>
                <w:color w:val="auto"/>
              </w:rPr>
            </w:pPr>
            <w:r>
              <w:rPr>
                <w:rFonts w:ascii="Arial" w:cs="Arial" w:eastAsia="Arial" w:hAnsi="Arial"/>
                <w:sz w:val="15"/>
                <w:szCs w:val="15"/>
                <w:color w:val="auto"/>
                <w:w w:val="98"/>
              </w:rPr>
              <w:t>38.8%</w:t>
            </w:r>
          </w:p>
        </w:tc>
        <w:tc>
          <w:tcPr>
            <w:tcW w:w="10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5"/>
              </w:rPr>
              <w:t>-190 bps</w:t>
            </w:r>
          </w:p>
        </w:tc>
        <w:tc>
          <w:tcPr>
            <w:tcW w:w="0" w:type="dxa"/>
            <w:vAlign w:val="bottom"/>
          </w:tcPr>
          <w:p>
            <w:pPr>
              <w:spacing w:after="0"/>
              <w:rPr>
                <w:sz w:val="1"/>
                <w:szCs w:val="1"/>
                <w:color w:val="auto"/>
              </w:rPr>
            </w:pPr>
          </w:p>
        </w:tc>
      </w:tr>
      <w:tr>
        <w:trPr>
          <w:trHeight w:val="171"/>
        </w:trPr>
        <w:tc>
          <w:tcPr>
            <w:tcW w:w="1320" w:type="dxa"/>
            <w:vAlign w:val="bottom"/>
            <w:tcBorders>
              <w:left w:val="single" w:sz="8" w:color="auto"/>
            </w:tcBorders>
          </w:tcPr>
          <w:p>
            <w:pPr>
              <w:ind w:left="100"/>
              <w:spacing w:after="0" w:line="171" w:lineRule="exact"/>
              <w:rPr>
                <w:sz w:val="20"/>
                <w:szCs w:val="20"/>
                <w:color w:val="auto"/>
              </w:rPr>
            </w:pPr>
            <w:r>
              <w:rPr>
                <w:rFonts w:ascii="Arial" w:cs="Arial" w:eastAsia="Arial" w:hAnsi="Arial"/>
                <w:sz w:val="15"/>
                <w:szCs w:val="15"/>
                <w:color w:val="auto"/>
              </w:rPr>
              <w:t>BCP Bolivia</w:t>
            </w:r>
          </w:p>
        </w:tc>
        <w:tc>
          <w:tcPr>
            <w:tcW w:w="2080" w:type="dxa"/>
            <w:vAlign w:val="bottom"/>
            <w:tcBorders>
              <w:right w:val="single" w:sz="8" w:color="auto"/>
            </w:tcBorders>
          </w:tcPr>
          <w:p>
            <w:pPr>
              <w:spacing w:after="0"/>
              <w:rPr>
                <w:sz w:val="14"/>
                <w:szCs w:val="14"/>
                <w:color w:val="auto"/>
              </w:rPr>
            </w:pPr>
          </w:p>
        </w:tc>
        <w:tc>
          <w:tcPr>
            <w:tcW w:w="900" w:type="dxa"/>
            <w:vAlign w:val="bottom"/>
          </w:tcPr>
          <w:p>
            <w:pPr>
              <w:jc w:val="center"/>
              <w:ind w:left="7"/>
              <w:spacing w:after="0" w:line="171" w:lineRule="exact"/>
              <w:rPr>
                <w:sz w:val="20"/>
                <w:szCs w:val="20"/>
                <w:color w:val="auto"/>
              </w:rPr>
            </w:pPr>
            <w:r>
              <w:rPr>
                <w:rFonts w:ascii="Arial" w:cs="Arial" w:eastAsia="Arial" w:hAnsi="Arial"/>
                <w:sz w:val="15"/>
                <w:szCs w:val="15"/>
                <w:color w:val="auto"/>
                <w:w w:val="98"/>
              </w:rPr>
              <w:t>64.5%</w:t>
            </w:r>
          </w:p>
        </w:tc>
        <w:tc>
          <w:tcPr>
            <w:tcW w:w="1000" w:type="dxa"/>
            <w:vAlign w:val="bottom"/>
          </w:tcPr>
          <w:p>
            <w:pPr>
              <w:jc w:val="center"/>
              <w:ind w:left="7"/>
              <w:spacing w:after="0" w:line="171" w:lineRule="exact"/>
              <w:rPr>
                <w:sz w:val="20"/>
                <w:szCs w:val="20"/>
                <w:color w:val="auto"/>
              </w:rPr>
            </w:pPr>
            <w:r>
              <w:rPr>
                <w:rFonts w:ascii="Arial" w:cs="Arial" w:eastAsia="Arial" w:hAnsi="Arial"/>
                <w:sz w:val="15"/>
                <w:szCs w:val="15"/>
                <w:color w:val="auto"/>
                <w:w w:val="93"/>
              </w:rPr>
              <w:t>65.3%</w:t>
            </w:r>
          </w:p>
        </w:tc>
        <w:tc>
          <w:tcPr>
            <w:tcW w:w="9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3"/>
              </w:rPr>
              <w:t>59.0%</w:t>
            </w:r>
          </w:p>
        </w:tc>
        <w:tc>
          <w:tcPr>
            <w:tcW w:w="1120" w:type="dxa"/>
            <w:vAlign w:val="bottom"/>
          </w:tcPr>
          <w:p>
            <w:pPr>
              <w:jc w:val="center"/>
              <w:spacing w:after="0" w:line="171" w:lineRule="exact"/>
              <w:rPr>
                <w:sz w:val="20"/>
                <w:szCs w:val="20"/>
                <w:color w:val="auto"/>
              </w:rPr>
            </w:pPr>
            <w:r>
              <w:rPr>
                <w:rFonts w:ascii="Arial" w:cs="Arial" w:eastAsia="Arial" w:hAnsi="Arial"/>
                <w:sz w:val="15"/>
                <w:szCs w:val="15"/>
                <w:color w:val="auto"/>
                <w:w w:val="95"/>
              </w:rPr>
              <w:t>-630 bps</w:t>
            </w:r>
          </w:p>
        </w:tc>
        <w:tc>
          <w:tcPr>
            <w:tcW w:w="11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9"/>
              </w:rPr>
              <w:t>-550 bps</w:t>
            </w:r>
          </w:p>
        </w:tc>
        <w:tc>
          <w:tcPr>
            <w:tcW w:w="660" w:type="dxa"/>
            <w:vAlign w:val="bottom"/>
          </w:tcPr>
          <w:p>
            <w:pPr>
              <w:jc w:val="center"/>
              <w:ind w:left="127"/>
              <w:spacing w:after="0" w:line="171" w:lineRule="exact"/>
              <w:rPr>
                <w:sz w:val="20"/>
                <w:szCs w:val="20"/>
                <w:color w:val="auto"/>
              </w:rPr>
            </w:pPr>
            <w:r>
              <w:rPr>
                <w:rFonts w:ascii="Arial" w:cs="Arial" w:eastAsia="Arial" w:hAnsi="Arial"/>
                <w:sz w:val="15"/>
                <w:szCs w:val="15"/>
                <w:color w:val="auto"/>
                <w:w w:val="98"/>
              </w:rPr>
              <w:t>60.9%</w:t>
            </w:r>
          </w:p>
        </w:tc>
        <w:tc>
          <w:tcPr>
            <w:tcW w:w="1120" w:type="dxa"/>
            <w:vAlign w:val="bottom"/>
            <w:tcBorders>
              <w:right w:val="single" w:sz="8" w:color="auto"/>
            </w:tcBorders>
          </w:tcPr>
          <w:p>
            <w:pPr>
              <w:jc w:val="center"/>
              <w:ind w:left="107"/>
              <w:spacing w:after="0" w:line="171" w:lineRule="exact"/>
              <w:rPr>
                <w:sz w:val="20"/>
                <w:szCs w:val="20"/>
                <w:color w:val="auto"/>
              </w:rPr>
            </w:pPr>
            <w:r>
              <w:rPr>
                <w:rFonts w:ascii="Arial" w:cs="Arial" w:eastAsia="Arial" w:hAnsi="Arial"/>
                <w:sz w:val="15"/>
                <w:szCs w:val="15"/>
                <w:color w:val="auto"/>
                <w:w w:val="98"/>
              </w:rPr>
              <w:t>61.3%</w:t>
            </w:r>
          </w:p>
        </w:tc>
        <w:tc>
          <w:tcPr>
            <w:tcW w:w="100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7"/>
              </w:rPr>
              <w:t>40 bps</w:t>
            </w:r>
          </w:p>
        </w:tc>
        <w:tc>
          <w:tcPr>
            <w:tcW w:w="0" w:type="dxa"/>
            <w:vAlign w:val="bottom"/>
          </w:tcPr>
          <w:p>
            <w:pPr>
              <w:spacing w:after="0"/>
              <w:rPr>
                <w:sz w:val="1"/>
                <w:szCs w:val="1"/>
                <w:color w:val="auto"/>
              </w:rPr>
            </w:pPr>
          </w:p>
        </w:tc>
      </w:tr>
      <w:tr>
        <w:trPr>
          <w:trHeight w:val="171"/>
        </w:trPr>
        <w:tc>
          <w:tcPr>
            <w:tcW w:w="1320" w:type="dxa"/>
            <w:vAlign w:val="bottom"/>
            <w:tcBorders>
              <w:left w:val="single" w:sz="8" w:color="auto"/>
            </w:tcBorders>
          </w:tcPr>
          <w:p>
            <w:pPr>
              <w:ind w:left="100"/>
              <w:spacing w:after="0" w:line="171" w:lineRule="exact"/>
              <w:rPr>
                <w:sz w:val="20"/>
                <w:szCs w:val="20"/>
                <w:color w:val="auto"/>
              </w:rPr>
            </w:pPr>
            <w:r>
              <w:rPr>
                <w:rFonts w:ascii="Arial" w:cs="Arial" w:eastAsia="Arial" w:hAnsi="Arial"/>
                <w:sz w:val="15"/>
                <w:szCs w:val="15"/>
                <w:color w:val="auto"/>
              </w:rPr>
              <w:t>Mibanco Perú</w:t>
            </w:r>
          </w:p>
        </w:tc>
        <w:tc>
          <w:tcPr>
            <w:tcW w:w="2080" w:type="dxa"/>
            <w:vAlign w:val="bottom"/>
            <w:tcBorders>
              <w:right w:val="single" w:sz="8" w:color="auto"/>
            </w:tcBorders>
          </w:tcPr>
          <w:p>
            <w:pPr>
              <w:spacing w:after="0"/>
              <w:rPr>
                <w:sz w:val="14"/>
                <w:szCs w:val="14"/>
                <w:color w:val="auto"/>
              </w:rPr>
            </w:pPr>
          </w:p>
        </w:tc>
        <w:tc>
          <w:tcPr>
            <w:tcW w:w="900" w:type="dxa"/>
            <w:vAlign w:val="bottom"/>
          </w:tcPr>
          <w:p>
            <w:pPr>
              <w:jc w:val="center"/>
              <w:ind w:left="7"/>
              <w:spacing w:after="0" w:line="171" w:lineRule="exact"/>
              <w:rPr>
                <w:sz w:val="20"/>
                <w:szCs w:val="20"/>
                <w:color w:val="auto"/>
              </w:rPr>
            </w:pPr>
            <w:r>
              <w:rPr>
                <w:rFonts w:ascii="Arial" w:cs="Arial" w:eastAsia="Arial" w:hAnsi="Arial"/>
                <w:sz w:val="15"/>
                <w:szCs w:val="15"/>
                <w:color w:val="auto"/>
                <w:w w:val="98"/>
              </w:rPr>
              <w:t>52.3%</w:t>
            </w:r>
          </w:p>
        </w:tc>
        <w:tc>
          <w:tcPr>
            <w:tcW w:w="1000" w:type="dxa"/>
            <w:vAlign w:val="bottom"/>
          </w:tcPr>
          <w:p>
            <w:pPr>
              <w:jc w:val="center"/>
              <w:ind w:left="7"/>
              <w:spacing w:after="0" w:line="171" w:lineRule="exact"/>
              <w:rPr>
                <w:sz w:val="20"/>
                <w:szCs w:val="20"/>
                <w:color w:val="auto"/>
              </w:rPr>
            </w:pPr>
            <w:r>
              <w:rPr>
                <w:rFonts w:ascii="Arial" w:cs="Arial" w:eastAsia="Arial" w:hAnsi="Arial"/>
                <w:sz w:val="15"/>
                <w:szCs w:val="15"/>
                <w:color w:val="auto"/>
                <w:w w:val="93"/>
              </w:rPr>
              <w:t>51.4%</w:t>
            </w:r>
          </w:p>
        </w:tc>
        <w:tc>
          <w:tcPr>
            <w:tcW w:w="9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3"/>
              </w:rPr>
              <w:t>52.9%</w:t>
            </w:r>
          </w:p>
        </w:tc>
        <w:tc>
          <w:tcPr>
            <w:tcW w:w="1120" w:type="dxa"/>
            <w:vAlign w:val="bottom"/>
          </w:tcPr>
          <w:p>
            <w:pPr>
              <w:jc w:val="center"/>
              <w:spacing w:after="0" w:line="171" w:lineRule="exact"/>
              <w:rPr>
                <w:sz w:val="20"/>
                <w:szCs w:val="20"/>
                <w:color w:val="auto"/>
              </w:rPr>
            </w:pPr>
            <w:r>
              <w:rPr>
                <w:rFonts w:ascii="Arial" w:cs="Arial" w:eastAsia="Arial" w:hAnsi="Arial"/>
                <w:sz w:val="15"/>
                <w:szCs w:val="15"/>
                <w:color w:val="auto"/>
                <w:w w:val="97"/>
              </w:rPr>
              <w:t>150 bps</w:t>
            </w:r>
          </w:p>
        </w:tc>
        <w:tc>
          <w:tcPr>
            <w:tcW w:w="11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7"/>
              </w:rPr>
              <w:t>60 bps</w:t>
            </w:r>
          </w:p>
        </w:tc>
        <w:tc>
          <w:tcPr>
            <w:tcW w:w="660" w:type="dxa"/>
            <w:vAlign w:val="bottom"/>
          </w:tcPr>
          <w:p>
            <w:pPr>
              <w:jc w:val="center"/>
              <w:ind w:left="127"/>
              <w:spacing w:after="0" w:line="171" w:lineRule="exact"/>
              <w:rPr>
                <w:sz w:val="20"/>
                <w:szCs w:val="20"/>
                <w:color w:val="auto"/>
              </w:rPr>
            </w:pPr>
            <w:r>
              <w:rPr>
                <w:rFonts w:ascii="Arial" w:cs="Arial" w:eastAsia="Arial" w:hAnsi="Arial"/>
                <w:sz w:val="15"/>
                <w:szCs w:val="15"/>
                <w:color w:val="auto"/>
                <w:w w:val="98"/>
              </w:rPr>
              <w:t>51.3%</w:t>
            </w:r>
          </w:p>
        </w:tc>
        <w:tc>
          <w:tcPr>
            <w:tcW w:w="1120" w:type="dxa"/>
            <w:vAlign w:val="bottom"/>
            <w:tcBorders>
              <w:right w:val="single" w:sz="8" w:color="auto"/>
            </w:tcBorders>
          </w:tcPr>
          <w:p>
            <w:pPr>
              <w:jc w:val="center"/>
              <w:ind w:left="107"/>
              <w:spacing w:after="0" w:line="171" w:lineRule="exact"/>
              <w:rPr>
                <w:sz w:val="20"/>
                <w:szCs w:val="20"/>
                <w:color w:val="auto"/>
              </w:rPr>
            </w:pPr>
            <w:r>
              <w:rPr>
                <w:rFonts w:ascii="Arial" w:cs="Arial" w:eastAsia="Arial" w:hAnsi="Arial"/>
                <w:sz w:val="15"/>
                <w:szCs w:val="15"/>
                <w:color w:val="auto"/>
                <w:w w:val="98"/>
              </w:rPr>
              <w:t>52.7%</w:t>
            </w:r>
          </w:p>
        </w:tc>
        <w:tc>
          <w:tcPr>
            <w:tcW w:w="100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7"/>
              </w:rPr>
              <w:t>140 bps</w:t>
            </w:r>
          </w:p>
        </w:tc>
        <w:tc>
          <w:tcPr>
            <w:tcW w:w="0" w:type="dxa"/>
            <w:vAlign w:val="bottom"/>
          </w:tcPr>
          <w:p>
            <w:pPr>
              <w:spacing w:after="0"/>
              <w:rPr>
                <w:sz w:val="1"/>
                <w:szCs w:val="1"/>
                <w:color w:val="auto"/>
              </w:rPr>
            </w:pPr>
          </w:p>
        </w:tc>
      </w:tr>
      <w:tr>
        <w:trPr>
          <w:trHeight w:val="171"/>
        </w:trPr>
        <w:tc>
          <w:tcPr>
            <w:tcW w:w="1320" w:type="dxa"/>
            <w:vAlign w:val="bottom"/>
            <w:tcBorders>
              <w:left w:val="single" w:sz="8" w:color="auto"/>
            </w:tcBorders>
          </w:tcPr>
          <w:p>
            <w:pPr>
              <w:ind w:left="100"/>
              <w:spacing w:after="0" w:line="171" w:lineRule="exact"/>
              <w:rPr>
                <w:sz w:val="20"/>
                <w:szCs w:val="20"/>
                <w:color w:val="auto"/>
              </w:rPr>
            </w:pPr>
            <w:r>
              <w:rPr>
                <w:rFonts w:ascii="Arial" w:cs="Arial" w:eastAsia="Arial" w:hAnsi="Arial"/>
                <w:sz w:val="15"/>
                <w:szCs w:val="15"/>
                <w:color w:val="auto"/>
                <w:w w:val="96"/>
              </w:rPr>
              <w:t>Mibanco Colombia</w:t>
            </w:r>
          </w:p>
        </w:tc>
        <w:tc>
          <w:tcPr>
            <w:tcW w:w="2080" w:type="dxa"/>
            <w:vAlign w:val="bottom"/>
            <w:tcBorders>
              <w:right w:val="single" w:sz="8" w:color="auto"/>
            </w:tcBorders>
          </w:tcPr>
          <w:p>
            <w:pPr>
              <w:spacing w:after="0"/>
              <w:rPr>
                <w:sz w:val="14"/>
                <w:szCs w:val="14"/>
                <w:color w:val="auto"/>
              </w:rPr>
            </w:pPr>
          </w:p>
        </w:tc>
        <w:tc>
          <w:tcPr>
            <w:tcW w:w="900" w:type="dxa"/>
            <w:vAlign w:val="bottom"/>
          </w:tcPr>
          <w:p>
            <w:pPr>
              <w:jc w:val="center"/>
              <w:ind w:left="7"/>
              <w:spacing w:after="0" w:line="171" w:lineRule="exact"/>
              <w:rPr>
                <w:sz w:val="20"/>
                <w:szCs w:val="20"/>
                <w:color w:val="auto"/>
              </w:rPr>
            </w:pPr>
            <w:r>
              <w:rPr>
                <w:rFonts w:ascii="Arial" w:cs="Arial" w:eastAsia="Arial" w:hAnsi="Arial"/>
                <w:sz w:val="15"/>
                <w:szCs w:val="15"/>
                <w:color w:val="auto"/>
                <w:w w:val="98"/>
              </w:rPr>
              <w:t>93.3%</w:t>
            </w:r>
          </w:p>
        </w:tc>
        <w:tc>
          <w:tcPr>
            <w:tcW w:w="1000" w:type="dxa"/>
            <w:vAlign w:val="bottom"/>
          </w:tcPr>
          <w:p>
            <w:pPr>
              <w:jc w:val="center"/>
              <w:ind w:left="7"/>
              <w:spacing w:after="0" w:line="171" w:lineRule="exact"/>
              <w:rPr>
                <w:sz w:val="20"/>
                <w:szCs w:val="20"/>
                <w:color w:val="auto"/>
              </w:rPr>
            </w:pPr>
            <w:r>
              <w:rPr>
                <w:rFonts w:ascii="Arial" w:cs="Arial" w:eastAsia="Arial" w:hAnsi="Arial"/>
                <w:sz w:val="15"/>
                <w:szCs w:val="15"/>
                <w:color w:val="auto"/>
                <w:w w:val="93"/>
              </w:rPr>
              <w:t>86.0%</w:t>
            </w:r>
          </w:p>
        </w:tc>
        <w:tc>
          <w:tcPr>
            <w:tcW w:w="9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3"/>
              </w:rPr>
              <w:t>98.2%</w:t>
            </w:r>
          </w:p>
        </w:tc>
        <w:tc>
          <w:tcPr>
            <w:tcW w:w="1120" w:type="dxa"/>
            <w:vAlign w:val="bottom"/>
          </w:tcPr>
          <w:p>
            <w:pPr>
              <w:jc w:val="center"/>
              <w:spacing w:after="0" w:line="171" w:lineRule="exact"/>
              <w:rPr>
                <w:sz w:val="20"/>
                <w:szCs w:val="20"/>
                <w:color w:val="auto"/>
              </w:rPr>
            </w:pPr>
            <w:r>
              <w:rPr>
                <w:rFonts w:ascii="Arial" w:cs="Arial" w:eastAsia="Arial" w:hAnsi="Arial"/>
                <w:sz w:val="15"/>
                <w:szCs w:val="15"/>
                <w:color w:val="auto"/>
                <w:w w:val="97"/>
              </w:rPr>
              <w:t>1220 bps</w:t>
            </w:r>
          </w:p>
        </w:tc>
        <w:tc>
          <w:tcPr>
            <w:tcW w:w="11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7"/>
              </w:rPr>
              <w:t>490 bps</w:t>
            </w:r>
          </w:p>
        </w:tc>
        <w:tc>
          <w:tcPr>
            <w:tcW w:w="660" w:type="dxa"/>
            <w:vAlign w:val="bottom"/>
          </w:tcPr>
          <w:p>
            <w:pPr>
              <w:jc w:val="center"/>
              <w:ind w:left="127"/>
              <w:spacing w:after="0" w:line="171" w:lineRule="exact"/>
              <w:rPr>
                <w:sz w:val="20"/>
                <w:szCs w:val="20"/>
                <w:color w:val="auto"/>
              </w:rPr>
            </w:pPr>
            <w:r>
              <w:rPr>
                <w:rFonts w:ascii="Arial" w:cs="Arial" w:eastAsia="Arial" w:hAnsi="Arial"/>
                <w:sz w:val="15"/>
                <w:szCs w:val="15"/>
                <w:color w:val="auto"/>
                <w:w w:val="98"/>
              </w:rPr>
              <w:t>81.8%</w:t>
            </w:r>
          </w:p>
        </w:tc>
        <w:tc>
          <w:tcPr>
            <w:tcW w:w="1120" w:type="dxa"/>
            <w:vAlign w:val="bottom"/>
            <w:tcBorders>
              <w:right w:val="single" w:sz="8" w:color="auto"/>
            </w:tcBorders>
          </w:tcPr>
          <w:p>
            <w:pPr>
              <w:jc w:val="center"/>
              <w:ind w:left="107"/>
              <w:spacing w:after="0" w:line="171" w:lineRule="exact"/>
              <w:rPr>
                <w:sz w:val="20"/>
                <w:szCs w:val="20"/>
                <w:color w:val="auto"/>
              </w:rPr>
            </w:pPr>
            <w:r>
              <w:rPr>
                <w:rFonts w:ascii="Arial" w:cs="Arial" w:eastAsia="Arial" w:hAnsi="Arial"/>
                <w:sz w:val="15"/>
                <w:szCs w:val="15"/>
                <w:color w:val="auto"/>
                <w:w w:val="98"/>
              </w:rPr>
              <w:t>91.6%</w:t>
            </w:r>
          </w:p>
        </w:tc>
        <w:tc>
          <w:tcPr>
            <w:tcW w:w="100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7"/>
              </w:rPr>
              <w:t>980 bps</w:t>
            </w:r>
          </w:p>
        </w:tc>
        <w:tc>
          <w:tcPr>
            <w:tcW w:w="0" w:type="dxa"/>
            <w:vAlign w:val="bottom"/>
          </w:tcPr>
          <w:p>
            <w:pPr>
              <w:spacing w:after="0"/>
              <w:rPr>
                <w:sz w:val="1"/>
                <w:szCs w:val="1"/>
                <w:color w:val="auto"/>
              </w:rPr>
            </w:pPr>
          </w:p>
        </w:tc>
      </w:tr>
      <w:tr>
        <w:trPr>
          <w:trHeight w:val="171"/>
        </w:trPr>
        <w:tc>
          <w:tcPr>
            <w:tcW w:w="1320" w:type="dxa"/>
            <w:vAlign w:val="bottom"/>
            <w:tcBorders>
              <w:left w:val="single" w:sz="8" w:color="auto"/>
            </w:tcBorders>
          </w:tcPr>
          <w:p>
            <w:pPr>
              <w:ind w:left="100"/>
              <w:spacing w:after="0" w:line="171" w:lineRule="exact"/>
              <w:rPr>
                <w:sz w:val="20"/>
                <w:szCs w:val="20"/>
                <w:color w:val="auto"/>
              </w:rPr>
            </w:pPr>
            <w:r>
              <w:rPr>
                <w:rFonts w:ascii="Arial" w:cs="Arial" w:eastAsia="Arial" w:hAnsi="Arial"/>
                <w:sz w:val="15"/>
                <w:szCs w:val="15"/>
                <w:color w:val="auto"/>
              </w:rPr>
              <w:t>Pacífico</w:t>
            </w:r>
          </w:p>
        </w:tc>
        <w:tc>
          <w:tcPr>
            <w:tcW w:w="2080" w:type="dxa"/>
            <w:vAlign w:val="bottom"/>
            <w:tcBorders>
              <w:right w:val="single" w:sz="8" w:color="auto"/>
            </w:tcBorders>
          </w:tcPr>
          <w:p>
            <w:pPr>
              <w:spacing w:after="0"/>
              <w:rPr>
                <w:sz w:val="14"/>
                <w:szCs w:val="14"/>
                <w:color w:val="auto"/>
              </w:rPr>
            </w:pPr>
          </w:p>
        </w:tc>
        <w:tc>
          <w:tcPr>
            <w:tcW w:w="900" w:type="dxa"/>
            <w:vAlign w:val="bottom"/>
          </w:tcPr>
          <w:p>
            <w:pPr>
              <w:jc w:val="center"/>
              <w:ind w:left="7"/>
              <w:spacing w:after="0" w:line="171" w:lineRule="exact"/>
              <w:rPr>
                <w:sz w:val="20"/>
                <w:szCs w:val="20"/>
                <w:color w:val="auto"/>
              </w:rPr>
            </w:pPr>
            <w:r>
              <w:rPr>
                <w:rFonts w:ascii="Arial" w:cs="Arial" w:eastAsia="Arial" w:hAnsi="Arial"/>
                <w:sz w:val="15"/>
                <w:szCs w:val="15"/>
                <w:color w:val="auto"/>
                <w:w w:val="98"/>
              </w:rPr>
              <w:t>53.7%</w:t>
            </w:r>
          </w:p>
        </w:tc>
        <w:tc>
          <w:tcPr>
            <w:tcW w:w="1000" w:type="dxa"/>
            <w:vAlign w:val="bottom"/>
          </w:tcPr>
          <w:p>
            <w:pPr>
              <w:jc w:val="center"/>
              <w:ind w:left="7"/>
              <w:spacing w:after="0" w:line="171" w:lineRule="exact"/>
              <w:rPr>
                <w:sz w:val="20"/>
                <w:szCs w:val="20"/>
                <w:color w:val="auto"/>
              </w:rPr>
            </w:pPr>
            <w:r>
              <w:rPr>
                <w:rFonts w:ascii="Arial" w:cs="Arial" w:eastAsia="Arial" w:hAnsi="Arial"/>
                <w:sz w:val="15"/>
                <w:szCs w:val="15"/>
                <w:color w:val="auto"/>
                <w:w w:val="93"/>
              </w:rPr>
              <w:t>24.7%</w:t>
            </w:r>
          </w:p>
        </w:tc>
        <w:tc>
          <w:tcPr>
            <w:tcW w:w="9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3"/>
              </w:rPr>
              <w:t>34.9%</w:t>
            </w:r>
          </w:p>
        </w:tc>
        <w:tc>
          <w:tcPr>
            <w:tcW w:w="1120" w:type="dxa"/>
            <w:vAlign w:val="bottom"/>
          </w:tcPr>
          <w:p>
            <w:pPr>
              <w:jc w:val="center"/>
              <w:spacing w:after="0" w:line="171" w:lineRule="exact"/>
              <w:rPr>
                <w:sz w:val="20"/>
                <w:szCs w:val="20"/>
                <w:color w:val="auto"/>
              </w:rPr>
            </w:pPr>
            <w:r>
              <w:rPr>
                <w:rFonts w:ascii="Arial" w:cs="Arial" w:eastAsia="Arial" w:hAnsi="Arial"/>
                <w:sz w:val="15"/>
                <w:szCs w:val="15"/>
                <w:color w:val="auto"/>
                <w:w w:val="97"/>
              </w:rPr>
              <w:t>1020 bps</w:t>
            </w:r>
          </w:p>
        </w:tc>
        <w:tc>
          <w:tcPr>
            <w:tcW w:w="11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8"/>
              </w:rPr>
              <w:t>-1880 bps</w:t>
            </w:r>
          </w:p>
        </w:tc>
        <w:tc>
          <w:tcPr>
            <w:tcW w:w="660" w:type="dxa"/>
            <w:vAlign w:val="bottom"/>
          </w:tcPr>
          <w:p>
            <w:pPr>
              <w:jc w:val="center"/>
              <w:ind w:left="127"/>
              <w:spacing w:after="0" w:line="171" w:lineRule="exact"/>
              <w:rPr>
                <w:sz w:val="20"/>
                <w:szCs w:val="20"/>
                <w:color w:val="auto"/>
              </w:rPr>
            </w:pPr>
            <w:r>
              <w:rPr>
                <w:rFonts w:ascii="Arial" w:cs="Arial" w:eastAsia="Arial" w:hAnsi="Arial"/>
                <w:sz w:val="15"/>
                <w:szCs w:val="15"/>
                <w:color w:val="auto"/>
                <w:w w:val="98"/>
              </w:rPr>
              <w:t>34.3%</w:t>
            </w:r>
          </w:p>
        </w:tc>
        <w:tc>
          <w:tcPr>
            <w:tcW w:w="1120" w:type="dxa"/>
            <w:vAlign w:val="bottom"/>
            <w:tcBorders>
              <w:right w:val="single" w:sz="8" w:color="auto"/>
            </w:tcBorders>
          </w:tcPr>
          <w:p>
            <w:pPr>
              <w:jc w:val="center"/>
              <w:ind w:left="107"/>
              <w:spacing w:after="0" w:line="171" w:lineRule="exact"/>
              <w:rPr>
                <w:sz w:val="20"/>
                <w:szCs w:val="20"/>
                <w:color w:val="auto"/>
              </w:rPr>
            </w:pPr>
            <w:r>
              <w:rPr>
                <w:rFonts w:ascii="Arial" w:cs="Arial" w:eastAsia="Arial" w:hAnsi="Arial"/>
                <w:sz w:val="15"/>
                <w:szCs w:val="15"/>
                <w:color w:val="auto"/>
                <w:w w:val="98"/>
              </w:rPr>
              <w:t>26.5%</w:t>
            </w:r>
          </w:p>
        </w:tc>
        <w:tc>
          <w:tcPr>
            <w:tcW w:w="100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5"/>
              </w:rPr>
              <w:t>-780 bps</w:t>
            </w:r>
          </w:p>
        </w:tc>
        <w:tc>
          <w:tcPr>
            <w:tcW w:w="0" w:type="dxa"/>
            <w:vAlign w:val="bottom"/>
          </w:tcPr>
          <w:p>
            <w:pPr>
              <w:spacing w:after="0"/>
              <w:rPr>
                <w:sz w:val="1"/>
                <w:szCs w:val="1"/>
                <w:color w:val="auto"/>
              </w:rPr>
            </w:pPr>
          </w:p>
        </w:tc>
      </w:tr>
      <w:tr>
        <w:trPr>
          <w:trHeight w:val="183"/>
        </w:trPr>
        <w:tc>
          <w:tcPr>
            <w:tcW w:w="13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Prima AFP</w:t>
            </w:r>
          </w:p>
        </w:tc>
        <w:tc>
          <w:tcPr>
            <w:tcW w:w="20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color w:val="auto"/>
                <w:w w:val="98"/>
              </w:rPr>
              <w:t>46.1%</w:t>
            </w:r>
          </w:p>
        </w:tc>
        <w:tc>
          <w:tcPr>
            <w:tcW w:w="10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color w:val="auto"/>
                <w:w w:val="93"/>
              </w:rPr>
              <w:t>51.6%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54.2%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260 bps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810 bps</w:t>
            </w:r>
          </w:p>
        </w:tc>
        <w:tc>
          <w:tcPr>
            <w:tcW w:w="66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color w:val="auto"/>
                <w:w w:val="98"/>
              </w:rPr>
              <w:t>51.0%</w:t>
            </w:r>
          </w:p>
        </w:tc>
        <w:tc>
          <w:tcPr>
            <w:tcW w:w="1120" w:type="dxa"/>
            <w:vAlign w:val="bottom"/>
            <w:tcBorders>
              <w:bottom w:val="single" w:sz="8" w:color="auto"/>
              <w:right w:val="single" w:sz="8" w:color="auto"/>
            </w:tcBorders>
          </w:tcPr>
          <w:p>
            <w:pPr>
              <w:jc w:val="center"/>
              <w:ind w:left="107"/>
              <w:spacing w:after="0"/>
              <w:rPr>
                <w:sz w:val="20"/>
                <w:szCs w:val="20"/>
                <w:color w:val="auto"/>
              </w:rPr>
            </w:pPr>
            <w:r>
              <w:rPr>
                <w:rFonts w:ascii="Arial" w:cs="Arial" w:eastAsia="Arial" w:hAnsi="Arial"/>
                <w:sz w:val="15"/>
                <w:szCs w:val="15"/>
                <w:color w:val="auto"/>
                <w:w w:val="98"/>
              </w:rPr>
              <w:t>51.3%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30 bps</w:t>
            </w:r>
          </w:p>
        </w:tc>
        <w:tc>
          <w:tcPr>
            <w:tcW w:w="0" w:type="dxa"/>
            <w:vAlign w:val="bottom"/>
          </w:tcPr>
          <w:p>
            <w:pPr>
              <w:spacing w:after="0"/>
              <w:rPr>
                <w:sz w:val="1"/>
                <w:szCs w:val="1"/>
                <w:color w:val="auto"/>
              </w:rPr>
            </w:pPr>
          </w:p>
        </w:tc>
      </w:tr>
      <w:tr>
        <w:trPr>
          <w:trHeight w:val="163"/>
        </w:trPr>
        <w:tc>
          <w:tcPr>
            <w:tcW w:w="1320" w:type="dxa"/>
            <w:vAlign w:val="bottom"/>
            <w:tcBorders>
              <w:left w:val="single" w:sz="8" w:color="auto"/>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Credicorp</w:t>
            </w:r>
          </w:p>
        </w:tc>
        <w:tc>
          <w:tcPr>
            <w:tcW w:w="20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jc w:val="center"/>
              <w:ind w:left="7"/>
              <w:spacing w:after="0" w:line="163" w:lineRule="exact"/>
              <w:rPr>
                <w:sz w:val="20"/>
                <w:szCs w:val="20"/>
                <w:color w:val="auto"/>
              </w:rPr>
            </w:pPr>
            <w:r>
              <w:rPr>
                <w:rFonts w:ascii="Arial" w:cs="Arial" w:eastAsia="Arial" w:hAnsi="Arial"/>
                <w:sz w:val="15"/>
                <w:szCs w:val="15"/>
                <w:b w:val="1"/>
                <w:bCs w:val="1"/>
                <w:color w:val="auto"/>
                <w:w w:val="98"/>
              </w:rPr>
              <w:t>49.5%</w:t>
            </w:r>
          </w:p>
        </w:tc>
        <w:tc>
          <w:tcPr>
            <w:tcW w:w="1000" w:type="dxa"/>
            <w:vAlign w:val="bottom"/>
            <w:tcBorders>
              <w:bottom w:val="single" w:sz="8" w:color="auto"/>
            </w:tcBorders>
          </w:tcPr>
          <w:p>
            <w:pPr>
              <w:jc w:val="center"/>
              <w:ind w:left="7"/>
              <w:spacing w:after="0" w:line="163" w:lineRule="exact"/>
              <w:rPr>
                <w:sz w:val="20"/>
                <w:szCs w:val="20"/>
                <w:color w:val="auto"/>
              </w:rPr>
            </w:pPr>
            <w:r>
              <w:rPr>
                <w:rFonts w:ascii="Arial" w:cs="Arial" w:eastAsia="Arial" w:hAnsi="Arial"/>
                <w:sz w:val="15"/>
                <w:szCs w:val="15"/>
                <w:b w:val="1"/>
                <w:bCs w:val="1"/>
                <w:color w:val="auto"/>
                <w:w w:val="93"/>
              </w:rPr>
              <w:t>46.3%</w:t>
            </w:r>
          </w:p>
        </w:tc>
        <w:tc>
          <w:tcPr>
            <w:tcW w:w="920" w:type="dxa"/>
            <w:vAlign w:val="bottom"/>
            <w:tcBorders>
              <w:bottom w:val="single" w:sz="8" w:color="auto"/>
              <w:right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3"/>
              </w:rPr>
              <w:t>49.0%</w:t>
            </w:r>
          </w:p>
        </w:tc>
        <w:tc>
          <w:tcPr>
            <w:tcW w:w="112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6"/>
              </w:rPr>
              <w:t>265 bps</w:t>
            </w:r>
          </w:p>
        </w:tc>
        <w:tc>
          <w:tcPr>
            <w:tcW w:w="1140" w:type="dxa"/>
            <w:vAlign w:val="bottom"/>
            <w:tcBorders>
              <w:bottom w:val="single" w:sz="8" w:color="auto"/>
              <w:right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5"/>
              </w:rPr>
              <w:t>-57 bps</w:t>
            </w:r>
          </w:p>
        </w:tc>
        <w:tc>
          <w:tcPr>
            <w:tcW w:w="660" w:type="dxa"/>
            <w:vAlign w:val="bottom"/>
            <w:tcBorders>
              <w:bottom w:val="single" w:sz="8" w:color="auto"/>
            </w:tcBorders>
          </w:tcPr>
          <w:p>
            <w:pPr>
              <w:jc w:val="center"/>
              <w:ind w:left="127"/>
              <w:spacing w:after="0" w:line="163" w:lineRule="exact"/>
              <w:rPr>
                <w:sz w:val="20"/>
                <w:szCs w:val="20"/>
                <w:color w:val="auto"/>
              </w:rPr>
            </w:pPr>
            <w:r>
              <w:rPr>
                <w:rFonts w:ascii="Arial" w:cs="Arial" w:eastAsia="Arial" w:hAnsi="Arial"/>
                <w:sz w:val="15"/>
                <w:szCs w:val="15"/>
                <w:b w:val="1"/>
                <w:bCs w:val="1"/>
                <w:color w:val="auto"/>
                <w:w w:val="98"/>
              </w:rPr>
              <w:t>47.5%</w:t>
            </w:r>
          </w:p>
        </w:tc>
        <w:tc>
          <w:tcPr>
            <w:tcW w:w="1120" w:type="dxa"/>
            <w:vAlign w:val="bottom"/>
            <w:tcBorders>
              <w:bottom w:val="single" w:sz="8" w:color="auto"/>
              <w:right w:val="single" w:sz="8" w:color="auto"/>
            </w:tcBorders>
          </w:tcPr>
          <w:p>
            <w:pPr>
              <w:jc w:val="center"/>
              <w:ind w:left="107"/>
              <w:spacing w:after="0" w:line="163" w:lineRule="exact"/>
              <w:rPr>
                <w:sz w:val="20"/>
                <w:szCs w:val="20"/>
                <w:color w:val="auto"/>
              </w:rPr>
            </w:pPr>
            <w:r>
              <w:rPr>
                <w:rFonts w:ascii="Arial" w:cs="Arial" w:eastAsia="Arial" w:hAnsi="Arial"/>
                <w:sz w:val="15"/>
                <w:szCs w:val="15"/>
                <w:b w:val="1"/>
                <w:bCs w:val="1"/>
                <w:color w:val="auto"/>
                <w:w w:val="98"/>
              </w:rPr>
              <w:t>46.1%</w:t>
            </w:r>
          </w:p>
        </w:tc>
        <w:tc>
          <w:tcPr>
            <w:tcW w:w="1000" w:type="dxa"/>
            <w:vAlign w:val="bottom"/>
            <w:tcBorders>
              <w:bottom w:val="single" w:sz="8" w:color="auto"/>
              <w:right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8"/>
              </w:rPr>
              <w:t>-142 bps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
        <w:spacing w:after="0"/>
        <w:rPr>
          <w:sz w:val="20"/>
          <w:szCs w:val="20"/>
          <w:color w:val="auto"/>
        </w:rPr>
      </w:pPr>
      <w:r>
        <w:rPr>
          <w:rFonts w:ascii="Arial" w:cs="Arial" w:eastAsia="Arial" w:hAnsi="Arial"/>
          <w:sz w:val="11"/>
          <w:szCs w:val="11"/>
          <w:color w:val="auto"/>
        </w:rPr>
        <w:t>Operating income has been re-expressed with regard to previous reports to reflect the application of IFRS 17. This standard applies solely to the Insurance Business. For more details, review annex 12.1.8.</w:t>
      </w:r>
    </w:p>
    <w:p>
      <w:pPr>
        <w:spacing w:after="0" w:line="1" w:lineRule="exact"/>
        <w:rPr>
          <w:sz w:val="20"/>
          <w:szCs w:val="20"/>
          <w:color w:val="auto"/>
        </w:rPr>
      </w:pPr>
    </w:p>
    <w:p>
      <w:pPr>
        <w:ind w:left="162" w:hanging="162"/>
        <w:spacing w:after="0"/>
        <w:tabs>
          <w:tab w:leader="none" w:pos="162" w:val="left"/>
        </w:tabs>
        <w:numPr>
          <w:ilvl w:val="0"/>
          <w:numId w:val="42"/>
        </w:numPr>
        <w:rPr>
          <w:rFonts w:ascii="Arial" w:cs="Arial" w:eastAsia="Arial" w:hAnsi="Arial"/>
          <w:sz w:val="11"/>
          <w:szCs w:val="11"/>
          <w:color w:val="auto"/>
        </w:rPr>
      </w:pPr>
      <w:r>
        <w:rPr>
          <w:rFonts w:ascii="Arial" w:cs="Arial" w:eastAsia="Arial" w:hAnsi="Arial"/>
          <w:sz w:val="11"/>
          <w:szCs w:val="11"/>
          <w:color w:val="auto"/>
        </w:rPr>
        <w:t>Operating expenses = Salaries and employees benefits + Administrative expenses + Depreciation and amortization + Association in participation + Acquisition cost.</w:t>
      </w:r>
    </w:p>
    <w:p>
      <w:pPr>
        <w:ind w:left="2" w:right="20" w:hanging="2"/>
        <w:spacing w:after="0" w:line="231" w:lineRule="auto"/>
        <w:tabs>
          <w:tab w:leader="none" w:pos="176" w:val="left"/>
        </w:tabs>
        <w:numPr>
          <w:ilvl w:val="0"/>
          <w:numId w:val="42"/>
        </w:numPr>
        <w:rPr>
          <w:rFonts w:ascii="Arial" w:cs="Arial" w:eastAsia="Arial" w:hAnsi="Arial"/>
          <w:sz w:val="11"/>
          <w:szCs w:val="11"/>
          <w:color w:val="auto"/>
        </w:rPr>
      </w:pPr>
      <w:r>
        <w:rPr>
          <w:rFonts w:ascii="Arial" w:cs="Arial" w:eastAsia="Arial" w:hAnsi="Arial"/>
          <w:sz w:val="11"/>
          <w:szCs w:val="11"/>
          <w:color w:val="auto"/>
        </w:rPr>
        <w:t>Operating income = Net interest, similar income, and expenses + Fee income + Net gain on foreign exchange transactions + Net gain from associates + Net gain on derivatives held for trading + Net gain from exchange differences + Net Insurance Underwriting Results.</w:t>
      </w:r>
    </w:p>
    <w:p>
      <w:pPr>
        <w:ind w:left="162" w:hanging="162"/>
        <w:spacing w:after="0"/>
        <w:tabs>
          <w:tab w:leader="none" w:pos="162" w:val="left"/>
        </w:tabs>
        <w:numPr>
          <w:ilvl w:val="0"/>
          <w:numId w:val="42"/>
        </w:numPr>
        <w:rPr>
          <w:rFonts w:ascii="Arial" w:cs="Arial" w:eastAsia="Arial" w:hAnsi="Arial"/>
          <w:sz w:val="11"/>
          <w:szCs w:val="11"/>
          <w:color w:val="auto"/>
        </w:rPr>
      </w:pPr>
      <w:r>
        <w:rPr>
          <w:rFonts w:ascii="Arial" w:cs="Arial" w:eastAsia="Arial" w:hAnsi="Arial"/>
          <w:sz w:val="11"/>
          <w:szCs w:val="11"/>
          <w:color w:val="auto"/>
        </w:rPr>
        <w:t>Operating expenses / Operating income (under IFRS 17).</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This analysis considers movements at the YTD level to eliminate the impact of seasonality between quarters.</w:t>
      </w:r>
    </w:p>
    <w:p>
      <w:pPr>
        <w:spacing w:after="0" w:line="182"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color w:val="auto"/>
        </w:rPr>
        <w:t>The efficiency ratio improved, primarily due to an uptick in core income at BCP due to the loan book growth and an improvement in the structural mix. This evolution was driven by growth in retail banking loans, which was fueled mainly by SME-Pyme, and to a lesser extent, by growth in the Insurance Underwriting Result at Pacifico.</w:t>
      </w:r>
    </w:p>
    <w:p>
      <w:pPr>
        <w:spacing w:after="0" w:line="134"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496" w:right="319" w:bottom="1440" w:gutter="0" w:footer="0" w:header="0"/>
        </w:sectPr>
      </w:pPr>
    </w:p>
    <w:bookmarkStart w:id="44" w:name="page45"/>
    <w:bookmarkEnd w:id="44"/>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400"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10 </w:t>
      </w:r>
      <w:r>
        <w:rPr>
          <w:rFonts w:ascii="Arial" w:cs="Arial" w:eastAsia="Arial" w:hAnsi="Arial"/>
          <w:sz w:val="29"/>
          <w:szCs w:val="29"/>
          <w:color w:val="E93B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7145655" cy="1161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5655" cy="1161415"/>
                    </a:xfrm>
                    <a:prstGeom prst="rect">
                      <a:avLst/>
                    </a:prstGeom>
                    <a:noFill/>
                  </pic:spPr>
                </pic:pic>
              </a:graphicData>
            </a:graphic>
          </wp:anchor>
        </w:drawing>
      </w:r>
    </w:p>
    <w:p>
      <w:pPr>
        <w:spacing w:after="0" w:line="361" w:lineRule="exact"/>
        <w:rPr>
          <w:sz w:val="20"/>
          <w:szCs w:val="20"/>
          <w:color w:val="auto"/>
        </w:rPr>
      </w:pPr>
    </w:p>
    <w:p>
      <w:pPr>
        <w:ind w:left="120" w:right="120"/>
        <w:spacing w:after="0" w:line="279" w:lineRule="auto"/>
        <w:rPr>
          <w:sz w:val="20"/>
          <w:szCs w:val="20"/>
          <w:color w:val="auto"/>
        </w:rPr>
      </w:pPr>
      <w:r>
        <w:rPr>
          <w:rFonts w:ascii="Arial" w:cs="Arial" w:eastAsia="Arial" w:hAnsi="Arial"/>
          <w:sz w:val="16"/>
          <w:szCs w:val="16"/>
          <w:color w:val="FFFFFF"/>
        </w:rPr>
        <w:t>Credicorp’s Regulatory Capital fell to 1.3 times the minimum requirement for Regulatory Capital, which reflects a gradual increase in the buffers for capital conservation and market concentration at BCP Stand-alone and Mibanco.</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6"/>
          <w:szCs w:val="16"/>
          <w:color w:val="FFFFFF"/>
        </w:rPr>
        <w:t>IFRS CET1 at BCP Stand-alone rose 61 bps YoY to stand at 13.2%, which reflects an uptick in Retained Earnings (+15.4%) as well as growth in the balance for Capital and Reserves (+3.4%).</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6"/>
          <w:szCs w:val="16"/>
          <w:color w:val="FFFFFF"/>
        </w:rPr>
        <w:t>The IFRS CET1 at Mibanco rose 191 bps YoY to stand at 18.37%. A decline in RWAs (-1.6%), and an uptick in Retained Earnings (+99.1%), impacted this dynamic.</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 Regulatory Capital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2926080" cy="2345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26080" cy="2345690"/>
                    </a:xfrm>
                    <a:prstGeom prst="rect">
                      <a:avLst/>
                    </a:prstGeom>
                    <a:noFill/>
                  </pic:spPr>
                </pic:pic>
              </a:graphicData>
            </a:graphic>
          </wp:anchor>
        </w:drawing>
      </w:r>
    </w:p>
    <w:p>
      <w:pPr>
        <w:spacing w:after="0" w:line="162" w:lineRule="exact"/>
        <w:rPr>
          <w:sz w:val="20"/>
          <w:szCs w:val="20"/>
          <w:color w:val="auto"/>
        </w:rPr>
      </w:pPr>
    </w:p>
    <w:p>
      <w:pPr>
        <w:jc w:val="both"/>
        <w:ind w:right="5860"/>
        <w:spacing w:after="0" w:line="245" w:lineRule="auto"/>
        <w:rPr>
          <w:sz w:val="20"/>
          <w:szCs w:val="20"/>
          <w:color w:val="auto"/>
        </w:rPr>
      </w:pPr>
      <w:r>
        <w:rPr>
          <w:rFonts w:ascii="Arial" w:cs="Arial" w:eastAsia="Arial" w:hAnsi="Arial"/>
          <w:sz w:val="16"/>
          <w:szCs w:val="16"/>
          <w:color w:val="auto"/>
        </w:rPr>
        <w:t>Credicorp’s Regulatory Capital Ratio stood at 1.30 at the end of 4Q23. In the QoQ analysis, the ratio dropped 14 bps due to an uptick in the regulatory capital requirement, which reflects a gradual increase in the buffers for capital conservation and market concentration at BCP Stand-alone and Mibanco. Our prudent solvency management has, nonetheless, allowed us to maintain a very comfortable position with regard to the minimums required by the regulator for BCP and Mibanco.</w:t>
      </w:r>
    </w:p>
    <w:p>
      <w:pPr>
        <w:spacing w:after="0" w:line="148" w:lineRule="exact"/>
        <w:rPr>
          <w:sz w:val="20"/>
          <w:szCs w:val="20"/>
          <w:color w:val="auto"/>
        </w:rPr>
      </w:pPr>
    </w:p>
    <w:p>
      <w:pPr>
        <w:jc w:val="both"/>
        <w:ind w:right="5860"/>
        <w:spacing w:after="0" w:line="252" w:lineRule="auto"/>
        <w:rPr>
          <w:sz w:val="20"/>
          <w:szCs w:val="20"/>
          <w:color w:val="auto"/>
        </w:rPr>
      </w:pPr>
      <w:r>
        <w:rPr>
          <w:rFonts w:ascii="Arial" w:cs="Arial" w:eastAsia="Arial" w:hAnsi="Arial"/>
          <w:sz w:val="16"/>
          <w:szCs w:val="16"/>
          <w:color w:val="auto"/>
        </w:rPr>
        <w:t>In the YoY analysis, the Regulatory Capital Ratio fell 5 bps due to an uptick in the volume of regulatory capital required, which was driven by the same dynamics seen above. This evolution was partially offset by growth in the balance of Facultative and Restricted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Capital at the Subsidiaries</w:t>
      </w:r>
    </w:p>
    <w:p>
      <w:pPr>
        <w:spacing w:after="0" w:line="18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Under the current local regulation, which has been in effect since January 2023, three regulatory ratios exist: Common Equity Tier 1 (CET 1), Tier 1 Capital and Global Capital. For all effective purposes, Tier 1 Capital is equal to CET 1 Ratio in Credicorp’s case given that we possess no subordinated Tier 1 debt. Additionally, as has been our practice over the last few years, we use the IFRS CET 1 ratio, which differs slightly from CET 1 (calculated under local accounting); these differences primarily impact the Provisions and Unrealized Loss accounts.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10.2 Analysis of Capital at BCP</w:t>
      </w:r>
    </w:p>
    <w:p>
      <w:pPr>
        <w:spacing w:after="0" w:line="182" w:lineRule="exact"/>
        <w:rPr>
          <w:sz w:val="20"/>
          <w:szCs w:val="20"/>
          <w:color w:val="auto"/>
        </w:rPr>
      </w:pPr>
    </w:p>
    <w:p>
      <w:pPr>
        <w:ind w:left="5840"/>
        <w:spacing w:after="0" w:line="244" w:lineRule="auto"/>
        <w:rPr>
          <w:sz w:val="20"/>
          <w:szCs w:val="20"/>
          <w:color w:val="auto"/>
        </w:rPr>
      </w:pPr>
      <w:r>
        <w:rPr>
          <w:rFonts w:ascii="Arial" w:cs="Arial" w:eastAsia="Arial" w:hAnsi="Arial"/>
          <w:sz w:val="16"/>
          <w:szCs w:val="16"/>
          <w:color w:val="auto"/>
        </w:rPr>
        <w:t>IFRS CET 1 at BCP Stand-alone rose 16 bps QoQ to stand at 13.20% at the end of 4Q23, while our internal appetite stood at 11.%. This evolution was attributable to an uptick in Retained Earnings, which was partially offset by a drop in the balance for Capital and Reserves after an extraordinary dividend was announced in the month of October. The RWA levels rose 1.6%, which reflected growth in retail loans. YoY, the IFRS CET 1 ratio increased 61 bps, driven by (i) an uptick in YTD and Period Results, and (ii) growth in the balance for Capital and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-939165</wp:posOffset>
            </wp:positionV>
            <wp:extent cx="2748280" cy="20053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48280" cy="2005330"/>
                    </a:xfrm>
                    <a:prstGeom prst="rect">
                      <a:avLst/>
                    </a:prstGeom>
                    <a:noFill/>
                  </pic:spPr>
                </pic:pic>
              </a:graphicData>
            </a:graphic>
          </wp:anchor>
        </w:drawing>
      </w:r>
    </w:p>
    <w:p>
      <w:pPr>
        <w:spacing w:after="0" w:line="129" w:lineRule="exact"/>
        <w:rPr>
          <w:sz w:val="20"/>
          <w:szCs w:val="20"/>
          <w:color w:val="auto"/>
        </w:rPr>
      </w:pPr>
    </w:p>
    <w:p>
      <w:pPr>
        <w:jc w:val="both"/>
        <w:ind w:left="5840"/>
        <w:spacing w:after="0" w:line="243" w:lineRule="auto"/>
        <w:rPr>
          <w:sz w:val="20"/>
          <w:szCs w:val="20"/>
          <w:color w:val="auto"/>
        </w:rPr>
      </w:pPr>
      <w:r>
        <w:rPr>
          <w:rFonts w:ascii="Arial" w:cs="Arial" w:eastAsia="Arial" w:hAnsi="Arial"/>
          <w:sz w:val="16"/>
          <w:szCs w:val="16"/>
          <w:color w:val="auto"/>
        </w:rPr>
        <w:t>Finally, the Global Capital ratio at BCP Stand-alone stood at 17.46% (- 5 bps QoQ). This compares favorably with the minimum ratio set by the regulator at the end of December 2023 of 12.59%, and stands as proof of our prudent approach to solvency management. In QoQ terms, the drop reported in this ratio was driven by growth in RWAs for credit risk, which was in turn fueled by an uptick in retail loans, and was partially offset by (i) an increase in YTD and Period results, and (ii) growth in the balance for Capital and Reserves. The local CET 1 ratio stood at 13.09% versus the 6.68% required at the end of December 2023.</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6"/>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45" w:name="page46"/>
    <w:bookmarkEnd w:id="45"/>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10. Regulatory Capital</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10.3 Analysis of Capital at Mibanco</w:t>
      </w:r>
    </w:p>
    <w:p>
      <w:pPr>
        <w:spacing w:after="0" w:line="15" w:lineRule="exact"/>
        <w:rPr>
          <w:sz w:val="20"/>
          <w:szCs w:val="20"/>
          <w:color w:val="auto"/>
        </w:rPr>
      </w:pPr>
    </w:p>
    <w:p>
      <w:pPr>
        <w:jc w:val="both"/>
        <w:ind w:left="5840" w:right="20"/>
        <w:spacing w:after="0" w:line="241" w:lineRule="auto"/>
        <w:rPr>
          <w:sz w:val="20"/>
          <w:szCs w:val="20"/>
          <w:color w:val="auto"/>
        </w:rPr>
      </w:pPr>
      <w:r>
        <w:rPr>
          <w:rFonts w:ascii="Arial" w:cs="Arial" w:eastAsia="Arial" w:hAnsi="Arial"/>
          <w:sz w:val="16"/>
          <w:szCs w:val="16"/>
          <w:color w:val="auto"/>
        </w:rPr>
        <w:t>At the end of 4Q23, the IFRS CET 1 ratio at Mibanco stood at 18.37% (+80 bps QoQ), while our internal appetite sets this ratio at 15%. This increase was primarily attributable to a reduction in the loan portfolio. The uptick registered in the YTD and Period Results also contributed, albeit to a lesser extent, to an increase in IFRS CET 1. Growth in this ratio QoQ was partially offset by a drop in the balance for Goodwill and Intangibles. YoY, this ratio rose 191 bps due to a drop in RWAs; an uptick in the YTD and Period results; and growth in the balance for Capital and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-821055</wp:posOffset>
            </wp:positionV>
            <wp:extent cx="2539365" cy="18580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39365" cy="1858010"/>
                    </a:xfrm>
                    <a:prstGeom prst="rect">
                      <a:avLst/>
                    </a:prstGeom>
                    <a:noFill/>
                  </pic:spPr>
                </pic:pic>
              </a:graphicData>
            </a:graphic>
          </wp:anchor>
        </w:drawing>
      </w:r>
    </w:p>
    <w:p>
      <w:pPr>
        <w:spacing w:after="0" w:line="132" w:lineRule="exact"/>
        <w:rPr>
          <w:sz w:val="20"/>
          <w:szCs w:val="20"/>
          <w:color w:val="auto"/>
        </w:rPr>
      </w:pPr>
    </w:p>
    <w:p>
      <w:pPr>
        <w:jc w:val="both"/>
        <w:ind w:left="5840" w:right="20"/>
        <w:spacing w:after="0" w:line="246" w:lineRule="auto"/>
        <w:rPr>
          <w:sz w:val="20"/>
          <w:szCs w:val="20"/>
          <w:color w:val="auto"/>
        </w:rPr>
      </w:pPr>
      <w:r>
        <w:rPr>
          <w:rFonts w:ascii="Arial" w:cs="Arial" w:eastAsia="Arial" w:hAnsi="Arial"/>
          <w:sz w:val="16"/>
          <w:szCs w:val="16"/>
          <w:color w:val="auto"/>
        </w:rPr>
        <w:t>The Global Capital Ratio at Mibanco stood at 20.56% (+81 bps QoQ), while the minimum required by the regulator stood at 12.81%. As such, our level remains very comfortable. This variation was driven by the same dynamics as those seen in the evolution of the IFRS CET 1 ratio. The local CET 1 ratio stood at 18.22% in 4Q23, whereas the minimum requirement at the end of December 2023 was 6.68%.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6"/>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46" w:name="page47"/>
    <w:bookmarkEnd w:id="46"/>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400" w:lineRule="exact"/>
        <w:rPr>
          <w:sz w:val="20"/>
          <w:szCs w:val="20"/>
          <w:color w:val="auto"/>
        </w:rPr>
      </w:pPr>
    </w:p>
    <w:p>
      <w:pPr>
        <w:spacing w:after="0"/>
        <w:rPr>
          <w:sz w:val="20"/>
          <w:szCs w:val="20"/>
          <w:color w:val="auto"/>
        </w:rPr>
      </w:pPr>
      <w:r>
        <w:rPr>
          <w:rFonts w:ascii="Arial" w:cs="Arial" w:eastAsia="Arial" w:hAnsi="Arial"/>
          <w:sz w:val="47"/>
          <w:szCs w:val="47"/>
          <w:b w:val="1"/>
          <w:bCs w:val="1"/>
          <w:color w:val="E93BAC"/>
        </w:rPr>
        <w:t xml:space="preserve">11 </w:t>
      </w:r>
      <w:r>
        <w:rPr>
          <w:rFonts w:ascii="Arial" w:cs="Arial" w:eastAsia="Arial" w:hAnsi="Arial"/>
          <w:sz w:val="29"/>
          <w:szCs w:val="29"/>
          <w:color w:val="E93B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45655" cy="13938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5655" cy="1393825"/>
                    </a:xfrm>
                    <a:prstGeom prst="rect">
                      <a:avLst/>
                    </a:prstGeom>
                    <a:noFill/>
                  </pic:spPr>
                </pic:pic>
              </a:graphicData>
            </a:graphic>
          </wp:anchor>
        </w:drawing>
      </w:r>
    </w:p>
    <w:p>
      <w:pPr>
        <w:spacing w:after="0" w:line="190"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6"/>
          <w:szCs w:val="16"/>
          <w:color w:val="FFFFFF"/>
        </w:rPr>
        <w:t>In 4Q23, the Peruvian economy would have contracted around 0.2% YoY (-0.9% YoY in 3Q23), accumulating its fourth consecutive quarter of year-on-year decline. The decline in non-primary sectors slowed but continued to be dragged down by the contraction of construction, non-primary manufacturing and services. For their part, the primary sectors grew due to the production of copper from Quellaveco, the greater extraction of minerals with higher average ore grades from several mining companies and an early opening of the second fishing season.</w:t>
      </w:r>
    </w:p>
    <w:p>
      <w:pPr>
        <w:spacing w:after="0" w:line="142"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6"/>
          <w:szCs w:val="16"/>
          <w:color w:val="FFFFFF"/>
        </w:rPr>
        <w:t>The annual inflation rate continued to decelerate, closing the quarter at 3.2% YoY (5.0% YoY in 3Q23). Real GDP, in turn, is estimated to post negative growth of -0.5% in 2023.</w:t>
      </w:r>
    </w:p>
    <w:p>
      <w:pPr>
        <w:spacing w:after="0" w:line="121"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6"/>
          <w:szCs w:val="16"/>
          <w:color w:val="FFFFFF"/>
        </w:rPr>
        <w:t>According to the BCRP, the exchange rate closed at USDPEN 3.710 in 4Q23, an appreciation of 2.2% compared to the end of 3Q23 and 2.7% compared to a year ago.</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Peru: Economic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6501765</wp:posOffset>
            </wp:positionH>
            <wp:positionV relativeFrom="paragraph">
              <wp:posOffset>126365</wp:posOffset>
            </wp:positionV>
            <wp:extent cx="7620" cy="255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20" cy="255270"/>
                    </a:xfrm>
                    <a:prstGeom prst="rect">
                      <a:avLst/>
                    </a:prstGeom>
                    <a:noFill/>
                  </pic:spPr>
                </pic:pic>
              </a:graphicData>
            </a:graphic>
          </wp:anchor>
        </w:drawing>
        <w:drawing>
          <wp:anchor simplePos="0" relativeHeight="251657728" behindDoc="1" locked="0" layoutInCell="0" allowOverlap="1">
            <wp:simplePos x="0" y="0"/>
            <wp:positionH relativeFrom="column">
              <wp:posOffset>5859145</wp:posOffset>
            </wp:positionH>
            <wp:positionV relativeFrom="paragraph">
              <wp:posOffset>126365</wp:posOffset>
            </wp:positionV>
            <wp:extent cx="7620" cy="255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20" cy="25527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126365</wp:posOffset>
            </wp:positionV>
            <wp:extent cx="7620" cy="255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20" cy="2552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126365</wp:posOffset>
            </wp:positionV>
            <wp:extent cx="7620" cy="255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20" cy="25527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126365</wp:posOffset>
            </wp:positionV>
            <wp:extent cx="7620" cy="255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20" cy="25527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126365</wp:posOffset>
            </wp:positionV>
            <wp:extent cx="7620" cy="255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20" cy="255270"/>
                    </a:xfrm>
                    <a:prstGeom prst="rect">
                      <a:avLst/>
                    </a:prstGeom>
                    <a:noFill/>
                  </pic:spPr>
                </pic:pic>
              </a:graphicData>
            </a:graphic>
          </wp:anchor>
        </w:drawing>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4180" w:type="dxa"/>
            <w:vAlign w:val="bottom"/>
            <w:tcBorders>
              <w:top w:val="single" w:sz="8" w:color="auto"/>
              <w:left w:val="single" w:sz="8" w:color="auto"/>
              <w:bottom w:val="single" w:sz="8" w:color="auto"/>
              <w:right w:val="single" w:sz="8" w:color="auto"/>
            </w:tcBorders>
            <w:shd w:val="clear" w:color="auto" w:fill="33CCCC"/>
          </w:tcPr>
          <w:p>
            <w:pPr>
              <w:spacing w:after="0"/>
              <w:rPr>
                <w:sz w:val="24"/>
                <w:szCs w:val="24"/>
                <w:color w:val="auto"/>
              </w:rPr>
            </w:pPr>
          </w:p>
        </w:tc>
        <w:tc>
          <w:tcPr>
            <w:tcW w:w="100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6"/>
              </w:rPr>
              <w:t>2018</w:t>
            </w:r>
          </w:p>
        </w:tc>
        <w:tc>
          <w:tcPr>
            <w:tcW w:w="102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2019</w:t>
            </w:r>
          </w:p>
        </w:tc>
        <w:tc>
          <w:tcPr>
            <w:tcW w:w="100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6"/>
              </w:rPr>
              <w:t>2020</w:t>
            </w:r>
          </w:p>
        </w:tc>
        <w:tc>
          <w:tcPr>
            <w:tcW w:w="102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6"/>
              </w:rPr>
              <w:t>2021</w:t>
            </w:r>
          </w:p>
        </w:tc>
        <w:tc>
          <w:tcPr>
            <w:tcW w:w="100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2022</w:t>
            </w:r>
          </w:p>
        </w:tc>
        <w:tc>
          <w:tcPr>
            <w:tcW w:w="102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88"/>
              </w:rPr>
              <w:t xml:space="preserve">2023 </w:t>
            </w:r>
            <w:r>
              <w:rPr>
                <w:rFonts w:ascii="Arial" w:cs="Arial" w:eastAsia="Arial" w:hAnsi="Arial"/>
                <w:sz w:val="21"/>
                <w:szCs w:val="21"/>
                <w:b w:val="1"/>
                <w:bCs w:val="1"/>
                <w:color w:val="FFFFFF"/>
                <w:w w:val="88"/>
                <w:vertAlign w:val="superscript"/>
              </w:rPr>
              <w:t>(3)</w:t>
            </w:r>
          </w:p>
        </w:tc>
        <w:tc>
          <w:tcPr>
            <w:tcW w:w="10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2"/>
              </w:rPr>
              <w:t xml:space="preserve">2024 </w:t>
            </w:r>
            <w:r>
              <w:rPr>
                <w:rFonts w:ascii="Arial" w:cs="Arial" w:eastAsia="Arial" w:hAnsi="Arial"/>
                <w:sz w:val="21"/>
                <w:szCs w:val="21"/>
                <w:b w:val="1"/>
                <w:bCs w:val="1"/>
                <w:color w:val="FFFFFF"/>
                <w:w w:val="92"/>
                <w:vertAlign w:val="superscript"/>
              </w:rPr>
              <w:t>(3)</w:t>
            </w:r>
          </w:p>
        </w:tc>
      </w:tr>
      <w:tr>
        <w:trPr>
          <w:trHeight w:val="138"/>
        </w:trPr>
        <w:tc>
          <w:tcPr>
            <w:tcW w:w="4180" w:type="dxa"/>
            <w:vAlign w:val="bottom"/>
            <w:tcBorders>
              <w:left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GDP (US$ Millions)</w:t>
            </w:r>
          </w:p>
        </w:tc>
        <w:tc>
          <w:tcPr>
            <w:tcW w:w="1000" w:type="dxa"/>
            <w:vAlign w:val="bottom"/>
          </w:tcPr>
          <w:p>
            <w:pPr>
              <w:jc w:val="center"/>
              <w:spacing w:after="0" w:line="139" w:lineRule="exact"/>
              <w:rPr>
                <w:sz w:val="20"/>
                <w:szCs w:val="20"/>
                <w:color w:val="auto"/>
              </w:rPr>
            </w:pPr>
            <w:r>
              <w:rPr>
                <w:rFonts w:ascii="Arial" w:cs="Arial" w:eastAsia="Arial" w:hAnsi="Arial"/>
                <w:sz w:val="13"/>
                <w:szCs w:val="13"/>
                <w:color w:val="auto"/>
              </w:rPr>
              <w:t>226,919</w:t>
            </w:r>
          </w:p>
        </w:tc>
        <w:tc>
          <w:tcPr>
            <w:tcW w:w="1020" w:type="dxa"/>
            <w:vAlign w:val="bottom"/>
          </w:tcPr>
          <w:p>
            <w:pPr>
              <w:jc w:val="center"/>
              <w:spacing w:after="0" w:line="139" w:lineRule="exact"/>
              <w:rPr>
                <w:sz w:val="20"/>
                <w:szCs w:val="20"/>
                <w:color w:val="auto"/>
              </w:rPr>
            </w:pPr>
            <w:r>
              <w:rPr>
                <w:rFonts w:ascii="Arial" w:cs="Arial" w:eastAsia="Arial" w:hAnsi="Arial"/>
                <w:sz w:val="13"/>
                <w:szCs w:val="13"/>
                <w:color w:val="auto"/>
                <w:w w:val="97"/>
              </w:rPr>
              <w:t>232,519</w:t>
            </w:r>
          </w:p>
        </w:tc>
        <w:tc>
          <w:tcPr>
            <w:tcW w:w="1000" w:type="dxa"/>
            <w:vAlign w:val="bottom"/>
          </w:tcPr>
          <w:p>
            <w:pPr>
              <w:jc w:val="center"/>
              <w:spacing w:after="0" w:line="139" w:lineRule="exact"/>
              <w:rPr>
                <w:sz w:val="20"/>
                <w:szCs w:val="20"/>
                <w:color w:val="auto"/>
              </w:rPr>
            </w:pPr>
            <w:r>
              <w:rPr>
                <w:rFonts w:ascii="Arial" w:cs="Arial" w:eastAsia="Arial" w:hAnsi="Arial"/>
                <w:sz w:val="13"/>
                <w:szCs w:val="13"/>
                <w:color w:val="auto"/>
              </w:rPr>
              <w:t>205,755</w:t>
            </w:r>
          </w:p>
        </w:tc>
        <w:tc>
          <w:tcPr>
            <w:tcW w:w="1020" w:type="dxa"/>
            <w:vAlign w:val="bottom"/>
          </w:tcPr>
          <w:p>
            <w:pPr>
              <w:jc w:val="center"/>
              <w:spacing w:after="0" w:line="139" w:lineRule="exact"/>
              <w:rPr>
                <w:sz w:val="20"/>
                <w:szCs w:val="20"/>
                <w:color w:val="auto"/>
              </w:rPr>
            </w:pPr>
            <w:r>
              <w:rPr>
                <w:rFonts w:ascii="Arial" w:cs="Arial" w:eastAsia="Arial" w:hAnsi="Arial"/>
                <w:sz w:val="13"/>
                <w:szCs w:val="13"/>
                <w:color w:val="auto"/>
                <w:w w:val="97"/>
              </w:rPr>
              <w:t>225,803</w:t>
            </w:r>
          </w:p>
        </w:tc>
        <w:tc>
          <w:tcPr>
            <w:tcW w:w="1000" w:type="dxa"/>
            <w:vAlign w:val="bottom"/>
          </w:tcPr>
          <w:p>
            <w:pPr>
              <w:jc w:val="center"/>
              <w:spacing w:after="0" w:line="139" w:lineRule="exact"/>
              <w:rPr>
                <w:sz w:val="20"/>
                <w:szCs w:val="20"/>
                <w:color w:val="auto"/>
              </w:rPr>
            </w:pPr>
            <w:r>
              <w:rPr>
                <w:rFonts w:ascii="Arial" w:cs="Arial" w:eastAsia="Arial" w:hAnsi="Arial"/>
                <w:sz w:val="13"/>
                <w:szCs w:val="13"/>
                <w:color w:val="auto"/>
              </w:rPr>
              <w:t>244,789</w:t>
            </w:r>
          </w:p>
        </w:tc>
        <w:tc>
          <w:tcPr>
            <w:tcW w:w="1020" w:type="dxa"/>
            <w:vAlign w:val="bottom"/>
            <w:shd w:val="clear" w:color="auto" w:fill="D9D9D9"/>
          </w:tcPr>
          <w:p>
            <w:pPr>
              <w:jc w:val="center"/>
              <w:spacing w:after="0" w:line="139" w:lineRule="exact"/>
              <w:rPr>
                <w:sz w:val="20"/>
                <w:szCs w:val="20"/>
                <w:color w:val="auto"/>
              </w:rPr>
            </w:pPr>
            <w:r>
              <w:rPr>
                <w:rFonts w:ascii="Arial" w:cs="Arial" w:eastAsia="Arial" w:hAnsi="Arial"/>
                <w:sz w:val="13"/>
                <w:szCs w:val="13"/>
                <w:color w:val="auto"/>
                <w:w w:val="97"/>
              </w:rPr>
              <w:t>266,782</w:t>
            </w:r>
          </w:p>
        </w:tc>
        <w:tc>
          <w:tcPr>
            <w:tcW w:w="1020" w:type="dxa"/>
            <w:vAlign w:val="bottom"/>
            <w:tcBorders>
              <w:right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rPr>
              <w:t>277,498</w:t>
            </w:r>
          </w:p>
        </w:tc>
      </w:tr>
      <w:tr>
        <w:trPr>
          <w:trHeight w:val="139"/>
        </w:trPr>
        <w:tc>
          <w:tcPr>
            <w:tcW w:w="4180" w:type="dxa"/>
            <w:vAlign w:val="bottom"/>
            <w:tcBorders>
              <w:left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Real GDP (% change)</w:t>
            </w:r>
          </w:p>
        </w:tc>
        <w:tc>
          <w:tcPr>
            <w:tcW w:w="1000" w:type="dxa"/>
            <w:vAlign w:val="bottom"/>
          </w:tcPr>
          <w:p>
            <w:pPr>
              <w:jc w:val="center"/>
              <w:spacing w:after="0" w:line="139" w:lineRule="exact"/>
              <w:rPr>
                <w:sz w:val="20"/>
                <w:szCs w:val="20"/>
                <w:color w:val="auto"/>
              </w:rPr>
            </w:pPr>
            <w:r>
              <w:rPr>
                <w:rFonts w:ascii="Arial" w:cs="Arial" w:eastAsia="Arial" w:hAnsi="Arial"/>
                <w:sz w:val="13"/>
                <w:szCs w:val="13"/>
                <w:color w:val="auto"/>
                <w:w w:val="99"/>
              </w:rPr>
              <w:t>4.0</w:t>
            </w:r>
          </w:p>
        </w:tc>
        <w:tc>
          <w:tcPr>
            <w:tcW w:w="1020" w:type="dxa"/>
            <w:vAlign w:val="bottom"/>
          </w:tcPr>
          <w:p>
            <w:pPr>
              <w:jc w:val="center"/>
              <w:spacing w:after="0" w:line="139" w:lineRule="exact"/>
              <w:rPr>
                <w:sz w:val="20"/>
                <w:szCs w:val="20"/>
                <w:color w:val="auto"/>
              </w:rPr>
            </w:pPr>
            <w:r>
              <w:rPr>
                <w:rFonts w:ascii="Arial" w:cs="Arial" w:eastAsia="Arial" w:hAnsi="Arial"/>
                <w:sz w:val="13"/>
                <w:szCs w:val="13"/>
                <w:color w:val="auto"/>
                <w:w w:val="99"/>
              </w:rPr>
              <w:t>2.2</w:t>
            </w:r>
          </w:p>
        </w:tc>
        <w:tc>
          <w:tcPr>
            <w:tcW w:w="1000" w:type="dxa"/>
            <w:vAlign w:val="bottom"/>
          </w:tcPr>
          <w:p>
            <w:pPr>
              <w:jc w:val="center"/>
              <w:spacing w:after="0" w:line="139" w:lineRule="exact"/>
              <w:rPr>
                <w:sz w:val="20"/>
                <w:szCs w:val="20"/>
                <w:color w:val="auto"/>
              </w:rPr>
            </w:pPr>
            <w:r>
              <w:rPr>
                <w:rFonts w:ascii="Arial" w:cs="Arial" w:eastAsia="Arial" w:hAnsi="Arial"/>
                <w:sz w:val="13"/>
                <w:szCs w:val="13"/>
                <w:color w:val="auto"/>
                <w:w w:val="94"/>
              </w:rPr>
              <w:t>(11.0)</w:t>
            </w:r>
          </w:p>
        </w:tc>
        <w:tc>
          <w:tcPr>
            <w:tcW w:w="1020" w:type="dxa"/>
            <w:vAlign w:val="bottom"/>
          </w:tcPr>
          <w:p>
            <w:pPr>
              <w:jc w:val="center"/>
              <w:spacing w:after="0" w:line="139" w:lineRule="exact"/>
              <w:rPr>
                <w:sz w:val="20"/>
                <w:szCs w:val="20"/>
                <w:color w:val="auto"/>
              </w:rPr>
            </w:pPr>
            <w:r>
              <w:rPr>
                <w:rFonts w:ascii="Arial" w:cs="Arial" w:eastAsia="Arial" w:hAnsi="Arial"/>
                <w:sz w:val="13"/>
                <w:szCs w:val="13"/>
                <w:color w:val="auto"/>
              </w:rPr>
              <w:t>13.3</w:t>
            </w:r>
          </w:p>
        </w:tc>
        <w:tc>
          <w:tcPr>
            <w:tcW w:w="1000" w:type="dxa"/>
            <w:vAlign w:val="bottom"/>
          </w:tcPr>
          <w:p>
            <w:pPr>
              <w:jc w:val="center"/>
              <w:spacing w:after="0" w:line="139" w:lineRule="exact"/>
              <w:rPr>
                <w:sz w:val="20"/>
                <w:szCs w:val="20"/>
                <w:color w:val="auto"/>
              </w:rPr>
            </w:pPr>
            <w:r>
              <w:rPr>
                <w:rFonts w:ascii="Arial" w:cs="Arial" w:eastAsia="Arial" w:hAnsi="Arial"/>
                <w:sz w:val="13"/>
                <w:szCs w:val="13"/>
                <w:color w:val="auto"/>
                <w:w w:val="99"/>
              </w:rPr>
              <w:t>2.7</w:t>
            </w:r>
          </w:p>
        </w:tc>
        <w:tc>
          <w:tcPr>
            <w:tcW w:w="1020" w:type="dxa"/>
            <w:vAlign w:val="bottom"/>
            <w:shd w:val="clear" w:color="auto" w:fill="D9D9D9"/>
          </w:tcPr>
          <w:p>
            <w:pPr>
              <w:jc w:val="center"/>
              <w:spacing w:after="0" w:line="139" w:lineRule="exact"/>
              <w:rPr>
                <w:sz w:val="20"/>
                <w:szCs w:val="20"/>
                <w:color w:val="auto"/>
              </w:rPr>
            </w:pPr>
            <w:r>
              <w:rPr>
                <w:rFonts w:ascii="Arial" w:cs="Arial" w:eastAsia="Arial" w:hAnsi="Arial"/>
                <w:sz w:val="13"/>
                <w:szCs w:val="13"/>
                <w:color w:val="auto"/>
                <w:w w:val="97"/>
              </w:rPr>
              <w:t>(0.5)</w:t>
            </w:r>
          </w:p>
        </w:tc>
        <w:tc>
          <w:tcPr>
            <w:tcW w:w="1020" w:type="dxa"/>
            <w:vAlign w:val="bottom"/>
            <w:tcBorders>
              <w:right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9"/>
              </w:rPr>
              <w:t>2.5</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GDP per capita (US$)</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8"/>
              </w:rPr>
              <w:t>7,190</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8"/>
              </w:rPr>
              <w:t>7,237</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8"/>
              </w:rPr>
              <w:t>6,306</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6,835</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8"/>
              </w:rPr>
              <w:t>7,330</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w w:val="98"/>
              </w:rPr>
              <w:t>7,872</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w w:val="98"/>
              </w:rPr>
              <w:t>8,137</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Domestic demand (% change)</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4.1</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9"/>
              </w:rPr>
              <w:t>2.2</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(9.8)</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14.5</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2.3</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w w:val="97"/>
              </w:rPr>
              <w:t>(1.9)</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w w:val="99"/>
              </w:rPr>
              <w:t>2.4</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Gross fixed investment (as % GDP)</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4"/>
              </w:rPr>
              <w:t>22.4</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21.8</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4"/>
              </w:rPr>
              <w:t>19.9</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21.6</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4"/>
              </w:rPr>
              <w:t>22.0</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rPr>
              <w:t>23.6</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w w:val="94"/>
              </w:rPr>
              <w:t>23.6</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Financial system loan without Reactiva (% change) (1)</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4"/>
              </w:rPr>
              <w:t>10.3</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9"/>
              </w:rPr>
              <w:t>6.4</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(4.3)</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12.6</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9.7</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w w:val="99"/>
              </w:rPr>
              <w:t>3.0</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w w:val="99"/>
              </w:rPr>
              <w:t>5.5</w:t>
            </w:r>
          </w:p>
        </w:tc>
      </w:tr>
      <w:tr>
        <w:trPr>
          <w:trHeight w:val="154"/>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Inflation, end of period(2)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1.9</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6.4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8.5</w:t>
            </w:r>
          </w:p>
        </w:tc>
        <w:tc>
          <w:tcPr>
            <w:tcW w:w="10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3"/>
                <w:szCs w:val="13"/>
                <w:color w:val="auto"/>
                <w:w w:val="99"/>
              </w:rPr>
              <w:t>3.2</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3"/>
                <w:szCs w:val="13"/>
                <w:color w:val="auto"/>
                <w:w w:val="99"/>
              </w:rPr>
              <w:t>2.2</w:t>
            </w:r>
          </w:p>
        </w:tc>
      </w:tr>
      <w:tr>
        <w:trPr>
          <w:trHeight w:val="138"/>
        </w:trPr>
        <w:tc>
          <w:tcPr>
            <w:tcW w:w="4180" w:type="dxa"/>
            <w:vAlign w:val="bottom"/>
            <w:tcBorders>
              <w:left w:val="single" w:sz="8" w:color="auto"/>
              <w:bottom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Reference Rate, end of period</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2.8</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2.3</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0.3</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2.5</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7.5</w:t>
            </w:r>
          </w:p>
        </w:tc>
        <w:tc>
          <w:tcPr>
            <w:tcW w:w="1020" w:type="dxa"/>
            <w:vAlign w:val="bottom"/>
            <w:tcBorders>
              <w:bottom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9"/>
              </w:rPr>
              <w:t>6.8</w:t>
            </w:r>
          </w:p>
        </w:tc>
        <w:tc>
          <w:tcPr>
            <w:tcW w:w="1020" w:type="dxa"/>
            <w:vAlign w:val="bottom"/>
            <w:tcBorders>
              <w:bottom w:val="single" w:sz="8" w:color="auto"/>
              <w:right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9"/>
              </w:rPr>
              <w:t>4.8</w:t>
            </w:r>
          </w:p>
        </w:tc>
      </w:tr>
      <w:tr>
        <w:trPr>
          <w:trHeight w:val="138"/>
        </w:trPr>
        <w:tc>
          <w:tcPr>
            <w:tcW w:w="4180" w:type="dxa"/>
            <w:vAlign w:val="bottom"/>
            <w:tcBorders>
              <w:left w:val="single" w:sz="8" w:color="auto"/>
              <w:bottom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Exchange rate, end of period</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3.4</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3.3</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3.6</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4.0</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3.8</w:t>
            </w:r>
          </w:p>
        </w:tc>
        <w:tc>
          <w:tcPr>
            <w:tcW w:w="1020" w:type="dxa"/>
            <w:vAlign w:val="bottom"/>
            <w:tcBorders>
              <w:bottom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9"/>
              </w:rPr>
              <w:t>3.7</w:t>
            </w:r>
          </w:p>
        </w:tc>
        <w:tc>
          <w:tcPr>
            <w:tcW w:w="1020" w:type="dxa"/>
            <w:vAlign w:val="bottom"/>
            <w:tcBorders>
              <w:bottom w:val="single" w:sz="8" w:color="auto"/>
              <w:right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9"/>
              </w:rPr>
              <w:t>3.8</w:t>
            </w:r>
          </w:p>
        </w:tc>
      </w:tr>
      <w:tr>
        <w:trPr>
          <w:trHeight w:val="138"/>
        </w:trPr>
        <w:tc>
          <w:tcPr>
            <w:tcW w:w="4180" w:type="dxa"/>
            <w:vAlign w:val="bottom"/>
            <w:tcBorders>
              <w:left w:val="single" w:sz="8" w:color="auto"/>
              <w:bottom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Exchange rate, (% change)</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0.0</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(0.0)</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0.1</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0.1</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(0.0)</w:t>
            </w:r>
          </w:p>
        </w:tc>
        <w:tc>
          <w:tcPr>
            <w:tcW w:w="1020" w:type="dxa"/>
            <w:vAlign w:val="bottom"/>
            <w:tcBorders>
              <w:bottom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7"/>
              </w:rPr>
              <w:t>(0.0)</w:t>
            </w:r>
          </w:p>
        </w:tc>
        <w:tc>
          <w:tcPr>
            <w:tcW w:w="1020" w:type="dxa"/>
            <w:vAlign w:val="bottom"/>
            <w:tcBorders>
              <w:bottom w:val="single" w:sz="8" w:color="auto"/>
              <w:right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9"/>
              </w:rPr>
              <w:t>0.0</w:t>
            </w:r>
          </w:p>
        </w:tc>
      </w:tr>
      <w:tr>
        <w:trPr>
          <w:trHeight w:val="138"/>
        </w:trPr>
        <w:tc>
          <w:tcPr>
            <w:tcW w:w="4180" w:type="dxa"/>
            <w:vAlign w:val="bottom"/>
            <w:tcBorders>
              <w:left w:val="single" w:sz="8" w:color="auto"/>
              <w:bottom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Fiscal balance (% GDP)</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(2.3)</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(1.6)</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(8.9)</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(2.5)</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(1.6)</w:t>
            </w:r>
          </w:p>
        </w:tc>
        <w:tc>
          <w:tcPr>
            <w:tcW w:w="1020" w:type="dxa"/>
            <w:vAlign w:val="bottom"/>
            <w:tcBorders>
              <w:bottom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7"/>
              </w:rPr>
              <w:t>(2.8)</w:t>
            </w:r>
          </w:p>
        </w:tc>
        <w:tc>
          <w:tcPr>
            <w:tcW w:w="1020" w:type="dxa"/>
            <w:vAlign w:val="bottom"/>
            <w:tcBorders>
              <w:bottom w:val="single" w:sz="8" w:color="auto"/>
              <w:right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rPr>
              <w:t>(2.5)</w:t>
            </w:r>
          </w:p>
        </w:tc>
      </w:tr>
      <w:tr>
        <w:trPr>
          <w:trHeight w:val="138"/>
        </w:trPr>
        <w:tc>
          <w:tcPr>
            <w:tcW w:w="4180" w:type="dxa"/>
            <w:vAlign w:val="bottom"/>
            <w:tcBorders>
              <w:left w:val="single" w:sz="8" w:color="auto"/>
              <w:bottom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Public Debt (as % GDP)</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4"/>
              </w:rPr>
              <w:t>25.6</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26.6</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4"/>
              </w:rPr>
              <w:t>34.6</w:t>
            </w: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35.9</w:t>
            </w:r>
          </w:p>
        </w:tc>
        <w:tc>
          <w:tcPr>
            <w:tcW w:w="10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4"/>
              </w:rPr>
              <w:t>34.0</w:t>
            </w:r>
          </w:p>
        </w:tc>
        <w:tc>
          <w:tcPr>
            <w:tcW w:w="1020" w:type="dxa"/>
            <w:vAlign w:val="bottom"/>
            <w:tcBorders>
              <w:bottom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rPr>
              <w:t>33.3</w:t>
            </w:r>
          </w:p>
        </w:tc>
        <w:tc>
          <w:tcPr>
            <w:tcW w:w="1020" w:type="dxa"/>
            <w:vAlign w:val="bottom"/>
            <w:tcBorders>
              <w:bottom w:val="single" w:sz="8" w:color="auto"/>
              <w:right w:val="single" w:sz="8" w:color="auto"/>
            </w:tcBorders>
            <w:shd w:val="clear" w:color="auto" w:fill="D9D9D9"/>
          </w:tcPr>
          <w:p>
            <w:pPr>
              <w:jc w:val="center"/>
              <w:spacing w:after="0" w:line="139" w:lineRule="exact"/>
              <w:rPr>
                <w:sz w:val="20"/>
                <w:szCs w:val="20"/>
                <w:color w:val="auto"/>
              </w:rPr>
            </w:pPr>
            <w:r>
              <w:rPr>
                <w:rFonts w:ascii="Arial" w:cs="Arial" w:eastAsia="Arial" w:hAnsi="Arial"/>
                <w:sz w:val="13"/>
                <w:szCs w:val="13"/>
                <w:color w:val="auto"/>
                <w:w w:val="94"/>
              </w:rPr>
              <w:t>33.8</w:t>
            </w:r>
          </w:p>
        </w:tc>
      </w:tr>
      <w:tr>
        <w:trPr>
          <w:trHeight w:val="131"/>
        </w:trPr>
        <w:tc>
          <w:tcPr>
            <w:tcW w:w="4180" w:type="dxa"/>
            <w:vAlign w:val="bottom"/>
            <w:tcBorders>
              <w:left w:val="single" w:sz="8" w:color="auto"/>
              <w:right w:val="single" w:sz="8" w:color="auto"/>
            </w:tcBorders>
          </w:tcPr>
          <w:p>
            <w:pPr>
              <w:ind w:left="40"/>
              <w:spacing w:after="0" w:line="131" w:lineRule="exact"/>
              <w:rPr>
                <w:sz w:val="20"/>
                <w:szCs w:val="20"/>
                <w:color w:val="auto"/>
              </w:rPr>
            </w:pPr>
            <w:r>
              <w:rPr>
                <w:rFonts w:ascii="Arial" w:cs="Arial" w:eastAsia="Arial" w:hAnsi="Arial"/>
                <w:sz w:val="13"/>
                <w:szCs w:val="13"/>
                <w:color w:val="auto"/>
              </w:rPr>
              <w:t>Trade balance (US$ Millions)</w:t>
            </w:r>
          </w:p>
        </w:tc>
        <w:tc>
          <w:tcPr>
            <w:tcW w:w="1000" w:type="dxa"/>
            <w:vAlign w:val="bottom"/>
          </w:tcPr>
          <w:p>
            <w:pPr>
              <w:jc w:val="center"/>
              <w:spacing w:after="0" w:line="131" w:lineRule="exact"/>
              <w:rPr>
                <w:sz w:val="20"/>
                <w:szCs w:val="20"/>
                <w:color w:val="auto"/>
              </w:rPr>
            </w:pPr>
            <w:r>
              <w:rPr>
                <w:rFonts w:ascii="Arial" w:cs="Arial" w:eastAsia="Arial" w:hAnsi="Arial"/>
                <w:sz w:val="13"/>
                <w:szCs w:val="13"/>
                <w:color w:val="auto"/>
                <w:w w:val="98"/>
              </w:rPr>
              <w:t>7,201</w:t>
            </w:r>
          </w:p>
        </w:tc>
        <w:tc>
          <w:tcPr>
            <w:tcW w:w="1020" w:type="dxa"/>
            <w:vAlign w:val="bottom"/>
          </w:tcPr>
          <w:p>
            <w:pPr>
              <w:jc w:val="center"/>
              <w:spacing w:after="0" w:line="131" w:lineRule="exact"/>
              <w:rPr>
                <w:sz w:val="20"/>
                <w:szCs w:val="20"/>
                <w:color w:val="auto"/>
              </w:rPr>
            </w:pPr>
            <w:r>
              <w:rPr>
                <w:rFonts w:ascii="Arial" w:cs="Arial" w:eastAsia="Arial" w:hAnsi="Arial"/>
                <w:sz w:val="13"/>
                <w:szCs w:val="13"/>
                <w:color w:val="auto"/>
                <w:w w:val="98"/>
              </w:rPr>
              <w:t>6,879</w:t>
            </w:r>
          </w:p>
        </w:tc>
        <w:tc>
          <w:tcPr>
            <w:tcW w:w="1000" w:type="dxa"/>
            <w:vAlign w:val="bottom"/>
          </w:tcPr>
          <w:p>
            <w:pPr>
              <w:jc w:val="center"/>
              <w:spacing w:after="0" w:line="131" w:lineRule="exact"/>
              <w:rPr>
                <w:sz w:val="20"/>
                <w:szCs w:val="20"/>
                <w:color w:val="auto"/>
              </w:rPr>
            </w:pPr>
            <w:r>
              <w:rPr>
                <w:rFonts w:ascii="Arial" w:cs="Arial" w:eastAsia="Arial" w:hAnsi="Arial"/>
                <w:sz w:val="13"/>
                <w:szCs w:val="13"/>
                <w:color w:val="auto"/>
                <w:w w:val="98"/>
              </w:rPr>
              <w:t>8,196</w:t>
            </w:r>
          </w:p>
        </w:tc>
        <w:tc>
          <w:tcPr>
            <w:tcW w:w="1020" w:type="dxa"/>
            <w:vAlign w:val="bottom"/>
          </w:tcPr>
          <w:p>
            <w:pPr>
              <w:jc w:val="center"/>
              <w:spacing w:after="0" w:line="131" w:lineRule="exact"/>
              <w:rPr>
                <w:sz w:val="20"/>
                <w:szCs w:val="20"/>
                <w:color w:val="auto"/>
              </w:rPr>
            </w:pPr>
            <w:r>
              <w:rPr>
                <w:rFonts w:ascii="Arial" w:cs="Arial" w:eastAsia="Arial" w:hAnsi="Arial"/>
                <w:sz w:val="13"/>
                <w:szCs w:val="13"/>
                <w:color w:val="auto"/>
                <w:w w:val="95"/>
              </w:rPr>
              <w:t>14,927</w:t>
            </w:r>
          </w:p>
        </w:tc>
        <w:tc>
          <w:tcPr>
            <w:tcW w:w="1000" w:type="dxa"/>
            <w:vAlign w:val="bottom"/>
          </w:tcPr>
          <w:p>
            <w:pPr>
              <w:jc w:val="center"/>
              <w:spacing w:after="0" w:line="131" w:lineRule="exact"/>
              <w:rPr>
                <w:sz w:val="20"/>
                <w:szCs w:val="20"/>
                <w:color w:val="auto"/>
              </w:rPr>
            </w:pPr>
            <w:r>
              <w:rPr>
                <w:rFonts w:ascii="Arial" w:cs="Arial" w:eastAsia="Arial" w:hAnsi="Arial"/>
                <w:sz w:val="13"/>
                <w:szCs w:val="13"/>
                <w:color w:val="auto"/>
                <w:w w:val="98"/>
              </w:rPr>
              <w:t>9,565</w:t>
            </w:r>
          </w:p>
        </w:tc>
        <w:tc>
          <w:tcPr>
            <w:tcW w:w="1020" w:type="dxa"/>
            <w:vAlign w:val="bottom"/>
            <w:shd w:val="clear" w:color="auto" w:fill="D9D9D9"/>
          </w:tcPr>
          <w:p>
            <w:pPr>
              <w:jc w:val="center"/>
              <w:spacing w:after="0" w:line="131" w:lineRule="exact"/>
              <w:rPr>
                <w:sz w:val="20"/>
                <w:szCs w:val="20"/>
                <w:color w:val="auto"/>
              </w:rPr>
            </w:pPr>
            <w:r>
              <w:rPr>
                <w:rFonts w:ascii="Arial" w:cs="Arial" w:eastAsia="Arial" w:hAnsi="Arial"/>
                <w:sz w:val="13"/>
                <w:szCs w:val="13"/>
                <w:color w:val="auto"/>
              </w:rPr>
              <w:t>16,700</w:t>
            </w:r>
          </w:p>
        </w:tc>
        <w:tc>
          <w:tcPr>
            <w:tcW w:w="1020" w:type="dxa"/>
            <w:vAlign w:val="bottom"/>
            <w:tcBorders>
              <w:right w:val="single" w:sz="8" w:color="auto"/>
            </w:tcBorders>
            <w:shd w:val="clear" w:color="auto" w:fill="D9D9D9"/>
          </w:tcPr>
          <w:p>
            <w:pPr>
              <w:jc w:val="center"/>
              <w:spacing w:after="0" w:line="131" w:lineRule="exact"/>
              <w:rPr>
                <w:sz w:val="20"/>
                <w:szCs w:val="20"/>
                <w:color w:val="auto"/>
              </w:rPr>
            </w:pPr>
            <w:r>
              <w:rPr>
                <w:rFonts w:ascii="Arial" w:cs="Arial" w:eastAsia="Arial" w:hAnsi="Arial"/>
                <w:sz w:val="13"/>
                <w:szCs w:val="13"/>
                <w:color w:val="auto"/>
              </w:rPr>
              <w:t>15,100</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(As % GDP)</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0.0</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9"/>
              </w:rPr>
              <w:t>0.0</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0.0</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9"/>
              </w:rPr>
              <w:t>0.1</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0.0</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w w:val="99"/>
              </w:rPr>
              <w:t>0.1</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w w:val="99"/>
              </w:rPr>
              <w:t>0.1</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Exports</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49,066</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47,980</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42,905</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5"/>
              </w:rPr>
              <w:t>63,151</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65,834</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rPr>
              <w:t>67,200</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rPr>
              <w:t>68,100</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Imports</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41,866</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41,101</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34,709</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5"/>
              </w:rPr>
              <w:t>48,223</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56,269</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rPr>
              <w:t>50,500</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rPr>
              <w:t>53,000</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Current account balance (As % GDP)</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(0.0)</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7"/>
              </w:rPr>
              <w:t>(0.0)</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0.0</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7"/>
              </w:rPr>
              <w:t>(0.0)</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(0.0)</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w w:val="97"/>
              </w:rPr>
              <w:t>(0.0)</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rPr>
              <w:t>(0.0)</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Net international reserves (US$ Millions)</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60,121</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68,316</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74,707</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5"/>
              </w:rPr>
              <w:t>78,495</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71,883</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rPr>
              <w:t>71,033</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rPr>
              <w:t>72,500</w:t>
            </w:r>
          </w:p>
        </w:tc>
      </w:tr>
      <w:tr>
        <w:trPr>
          <w:trHeight w:val="146"/>
        </w:trPr>
        <w:tc>
          <w:tcPr>
            <w:tcW w:w="41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(As % GDP)</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26.5%</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w w:val="97"/>
              </w:rPr>
              <w:t>29.4%</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36.3%</w:t>
            </w:r>
          </w:p>
        </w:tc>
        <w:tc>
          <w:tcPr>
            <w:tcW w:w="1020" w:type="dxa"/>
            <w:vAlign w:val="bottom"/>
          </w:tcPr>
          <w:p>
            <w:pPr>
              <w:jc w:val="center"/>
              <w:spacing w:after="0" w:line="146" w:lineRule="exact"/>
              <w:rPr>
                <w:sz w:val="20"/>
                <w:szCs w:val="20"/>
                <w:color w:val="auto"/>
              </w:rPr>
            </w:pPr>
            <w:r>
              <w:rPr>
                <w:rFonts w:ascii="Arial" w:cs="Arial" w:eastAsia="Arial" w:hAnsi="Arial"/>
                <w:sz w:val="13"/>
                <w:szCs w:val="13"/>
                <w:color w:val="auto"/>
              </w:rPr>
              <w:t>34.8%</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29.4%</w:t>
            </w:r>
          </w:p>
        </w:tc>
        <w:tc>
          <w:tcPr>
            <w:tcW w:w="1020" w:type="dxa"/>
            <w:vAlign w:val="bottom"/>
            <w:shd w:val="clear" w:color="auto" w:fill="D9D9D9"/>
          </w:tcPr>
          <w:p>
            <w:pPr>
              <w:jc w:val="center"/>
              <w:spacing w:after="0" w:line="146" w:lineRule="exact"/>
              <w:rPr>
                <w:sz w:val="20"/>
                <w:szCs w:val="20"/>
                <w:color w:val="auto"/>
              </w:rPr>
            </w:pPr>
            <w:r>
              <w:rPr>
                <w:rFonts w:ascii="Arial" w:cs="Arial" w:eastAsia="Arial" w:hAnsi="Arial"/>
                <w:sz w:val="13"/>
                <w:szCs w:val="13"/>
                <w:color w:val="auto"/>
              </w:rPr>
              <w:t>26.6%</w:t>
            </w:r>
          </w:p>
        </w:tc>
        <w:tc>
          <w:tcPr>
            <w:tcW w:w="1020" w:type="dxa"/>
            <w:vAlign w:val="bottom"/>
            <w:tcBorders>
              <w:right w:val="single" w:sz="8" w:color="auto"/>
            </w:tcBorders>
            <w:shd w:val="clear" w:color="auto" w:fill="D9D9D9"/>
          </w:tcPr>
          <w:p>
            <w:pPr>
              <w:jc w:val="center"/>
              <w:spacing w:after="0" w:line="146" w:lineRule="exact"/>
              <w:rPr>
                <w:sz w:val="20"/>
                <w:szCs w:val="20"/>
                <w:color w:val="auto"/>
              </w:rPr>
            </w:pPr>
            <w:r>
              <w:rPr>
                <w:rFonts w:ascii="Arial" w:cs="Arial" w:eastAsia="Arial" w:hAnsi="Arial"/>
                <w:sz w:val="13"/>
                <w:szCs w:val="13"/>
                <w:color w:val="auto"/>
                <w:w w:val="97"/>
              </w:rPr>
              <w:t>26.1%</w:t>
            </w:r>
          </w:p>
        </w:tc>
      </w:tr>
      <w:tr>
        <w:trPr>
          <w:trHeight w:val="154"/>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(As months of imports)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15</w:t>
            </w:r>
          </w:p>
        </w:tc>
        <w:tc>
          <w:tcPr>
            <w:tcW w:w="10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3"/>
                <w:szCs w:val="13"/>
                <w:color w:val="auto"/>
                <w:w w:val="96"/>
              </w:rPr>
              <w:t>17</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3"/>
                <w:szCs w:val="13"/>
                <w:color w:val="auto"/>
              </w:rPr>
              <w:t>16</w:t>
            </w:r>
          </w:p>
        </w:tc>
      </w:tr>
      <w:tr>
        <w:trPr>
          <w:trHeight w:val="99"/>
        </w:trPr>
        <w:tc>
          <w:tcPr>
            <w:tcW w:w="4180" w:type="dxa"/>
            <w:vAlign w:val="bottom"/>
          </w:tcPr>
          <w:p>
            <w:pPr>
              <w:spacing w:after="0" w:line="99" w:lineRule="exact"/>
              <w:rPr>
                <w:sz w:val="20"/>
                <w:szCs w:val="20"/>
                <w:color w:val="auto"/>
              </w:rPr>
            </w:pPr>
            <w:r>
              <w:rPr>
                <w:rFonts w:ascii="Arial" w:cs="Arial" w:eastAsia="Arial" w:hAnsi="Arial"/>
                <w:sz w:val="11"/>
                <w:szCs w:val="11"/>
                <w:i w:val="1"/>
                <w:iCs w:val="1"/>
                <w:color w:val="auto"/>
              </w:rPr>
              <w:t>Sources: INEI, BCRP y SBS.</w:t>
            </w: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22"/>
        </w:trPr>
        <w:tc>
          <w:tcPr>
            <w:tcW w:w="4180" w:type="dxa"/>
            <w:vAlign w:val="bottom"/>
          </w:tcPr>
          <w:p>
            <w:pPr>
              <w:spacing w:after="0" w:line="122" w:lineRule="exact"/>
              <w:rPr>
                <w:sz w:val="20"/>
                <w:szCs w:val="20"/>
                <w:color w:val="auto"/>
              </w:rPr>
            </w:pPr>
            <w:r>
              <w:rPr>
                <w:rFonts w:ascii="Arial" w:cs="Arial" w:eastAsia="Arial" w:hAnsi="Arial"/>
                <w:sz w:val="11"/>
                <w:szCs w:val="11"/>
                <w:color w:val="auto"/>
              </w:rPr>
              <w:t>(1) Financial System, Current Exchange Rate</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22"/>
        </w:trPr>
        <w:tc>
          <w:tcPr>
            <w:tcW w:w="4180" w:type="dxa"/>
            <w:vAlign w:val="bottom"/>
          </w:tcPr>
          <w:p>
            <w:pPr>
              <w:spacing w:after="0" w:line="122" w:lineRule="exact"/>
              <w:rPr>
                <w:sz w:val="20"/>
                <w:szCs w:val="20"/>
                <w:color w:val="auto"/>
              </w:rPr>
            </w:pPr>
            <w:r>
              <w:rPr>
                <w:rFonts w:ascii="Arial" w:cs="Arial" w:eastAsia="Arial" w:hAnsi="Arial"/>
                <w:sz w:val="11"/>
                <w:szCs w:val="11"/>
                <w:color w:val="auto"/>
              </w:rPr>
              <w:t>(2) Inflation target: 1% - 3%</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4180" w:type="dxa"/>
            <w:vAlign w:val="bottom"/>
          </w:tcPr>
          <w:p>
            <w:pPr>
              <w:spacing w:after="0"/>
              <w:rPr>
                <w:sz w:val="20"/>
                <w:szCs w:val="20"/>
                <w:color w:val="auto"/>
              </w:rPr>
            </w:pPr>
            <w:r>
              <w:rPr>
                <w:rFonts w:ascii="Arial" w:cs="Arial" w:eastAsia="Arial" w:hAnsi="Arial"/>
                <w:sz w:val="11"/>
                <w:szCs w:val="11"/>
                <w:color w:val="auto"/>
              </w:rPr>
              <w:t>(3) Grey area indicate estimates by BCP Economic Research as of January 2024</w:t>
            </w: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386"/>
        </w:trPr>
        <w:tc>
          <w:tcPr>
            <w:tcW w:w="4180" w:type="dxa"/>
            <w:vAlign w:val="bottom"/>
          </w:tcPr>
          <w:p>
            <w:pPr>
              <w:spacing w:after="0"/>
              <w:rPr>
                <w:sz w:val="24"/>
                <w:szCs w:val="24"/>
                <w:color w:val="auto"/>
              </w:rPr>
            </w:pPr>
          </w:p>
        </w:tc>
        <w:tc>
          <w:tcPr>
            <w:tcW w:w="3020" w:type="dxa"/>
            <w:vAlign w:val="bottom"/>
            <w:gridSpan w:val="3"/>
          </w:tcPr>
          <w:p>
            <w:pPr>
              <w:ind w:left="180"/>
              <w:spacing w:after="0"/>
              <w:rPr>
                <w:sz w:val="20"/>
                <w:szCs w:val="20"/>
                <w:color w:val="auto"/>
              </w:rPr>
            </w:pPr>
            <w:r>
              <w:rPr>
                <w:rFonts w:ascii="Arial" w:cs="Arial" w:eastAsia="Arial" w:hAnsi="Arial"/>
                <w:sz w:val="13"/>
                <w:szCs w:val="13"/>
                <w:color w:val="0000FF"/>
              </w:rPr>
              <w:t>Datos elaborados por BCP para uso Interno</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6"/>
        </w:trPr>
        <w:tc>
          <w:tcPr>
            <w:tcW w:w="4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47" w:name="page48"/>
    <w:bookmarkEnd w:id="47"/>
    <w:p>
      <w:pPr>
        <w:ind w:left="2720"/>
        <w:spacing w:after="0"/>
        <w:tabs>
          <w:tab w:leader="none" w:pos="2920" w:val="left"/>
          <w:tab w:leader="none" w:pos="738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321310</wp:posOffset>
            </wp:positionV>
            <wp:extent cx="7145655" cy="410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of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11. Economic Outlook</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 Macroeconomic Variables</w:t>
      </w:r>
    </w:p>
    <w:p>
      <w:pPr>
        <w:spacing w:after="0" w:line="18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Gross Domestic Product</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(Annual Real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116205</wp:posOffset>
            </wp:positionV>
            <wp:extent cx="4490085" cy="23844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90085" cy="238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In 4Q23, the Peruvian economy is expected to have contracted around 0.2% YoY, the smallest contraction of the year, although the fourth consecutive quarter of decline. The primary sectors would have grown due to (i) Quellaveco’s copper production and the greater extraction of minerals with higher average ore grades from several mining companies and (ii) the early beginning of the second anchovy fishing season (it started a month earlier than in 2022). Regarding the non-primary sectors, the decline slowed but continue to be dragged down by the contraction of construction, non-primary manufacturing and services.</w:t>
      </w:r>
    </w:p>
    <w:p>
      <w:pPr>
        <w:spacing w:after="0" w:line="33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2023, GDP fell 0.5%, the worst performance of the Peruvian economy since 1998 (excluding the pandemic). Several factors explained this contraction; within the most important, the social protests of the beginning of the year and the weather phenomenon El Niño Costero reduced GDP growth by two percentage points, according to the Central Bank of Perú (BCRP).</w:t>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Annual Inflation and Central Bank Reference Rate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116205</wp:posOffset>
            </wp:positionV>
            <wp:extent cx="4103370" cy="23844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03370" cy="238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6"/>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79" w:right="319" w:bottom="1440" w:gutter="0" w:footer="0" w:header="0"/>
        </w:sectPr>
      </w:pPr>
    </w:p>
    <w:bookmarkStart w:id="48" w:name="page49"/>
    <w:bookmarkEnd w:id="48"/>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11. Economic Outlook</w:t>
      </w:r>
    </w:p>
    <w:p>
      <w:pPr>
        <w:spacing w:after="0" w:line="2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Inflation, measured using the Consumer Price index of Metropolitan Lima, slowed from 8.5% YoY at the end of 4Q22 to 3.2% YoY at the end of 4Q23 due to the reversal of supply shocks in the agricultural sector, normalization of global supply chains and the fall in the 2023 average commodity prices (wheat: -28%, corn: -18%; soy: -8%) and crude oil (WTI -17%). Core inflation (excludes food and energy), in December 2023, slowed to 2.9% YoY and returned to the BCRP target range of between 1% - 3% after two consecutive years of surpassing it.</w:t>
      </w:r>
    </w:p>
    <w:p>
      <w:pPr>
        <w:spacing w:after="0" w:line="14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At its December meeting, the BCRP cut its policy rate by 25 bps. to 6.75%, its fourth consecutive cut of that magnitude. Thus, in 4Q23, the cumulative cuts totaled 75 bps. The rate cut cycle, which began in September, occur after 7 consecutive months where the BCRP kept the policy rate at its historical level of 7.75% (the last rate hike of 25 pbs. was decided in January 2023). In January 2024, the monetary authority cut its rate again by 25 bps to 6.50%.</w:t>
      </w:r>
    </w:p>
    <w:p>
      <w:pPr>
        <w:spacing w:after="0" w:line="138" w:lineRule="exact"/>
        <w:rPr>
          <w:sz w:val="20"/>
          <w:szCs w:val="20"/>
          <w:color w:val="auto"/>
        </w:rPr>
      </w:pPr>
    </w:p>
    <w:p>
      <w:pPr>
        <w:jc w:val="center"/>
        <w:ind w:right="5900"/>
        <w:spacing w:after="0"/>
        <w:rPr>
          <w:sz w:val="20"/>
          <w:szCs w:val="20"/>
          <w:color w:val="auto"/>
        </w:rPr>
      </w:pPr>
      <w:r>
        <w:rPr>
          <w:rFonts w:ascii="Arial" w:cs="Arial" w:eastAsia="Arial" w:hAnsi="Arial"/>
          <w:sz w:val="16"/>
          <w:szCs w:val="16"/>
          <w:b w:val="1"/>
          <w:bCs w:val="1"/>
          <w:color w:val="auto"/>
        </w:rPr>
        <w:t>Fiscal Balance and Current Account Balance</w:t>
      </w:r>
    </w:p>
    <w:p>
      <w:pPr>
        <w:spacing w:after="0" w:line="15" w:lineRule="exact"/>
        <w:rPr>
          <w:sz w:val="20"/>
          <w:szCs w:val="20"/>
          <w:color w:val="auto"/>
        </w:rPr>
      </w:pPr>
    </w:p>
    <w:p>
      <w:pPr>
        <w:jc w:val="center"/>
        <w:ind w:right="5860"/>
        <w:spacing w:after="0"/>
        <w:rPr>
          <w:sz w:val="20"/>
          <w:szCs w:val="20"/>
          <w:color w:val="auto"/>
        </w:rPr>
      </w:pPr>
      <w:r>
        <w:rPr>
          <w:rFonts w:ascii="Arial" w:cs="Arial" w:eastAsia="Arial" w:hAnsi="Arial"/>
          <w:sz w:val="16"/>
          <w:szCs w:val="16"/>
          <w:color w:val="auto"/>
        </w:rPr>
        <w:t>(% of GDP, Quarter)</w:t>
      </w:r>
    </w:p>
    <w:p>
      <w:pPr>
        <w:spacing w:after="0" w:line="166" w:lineRule="exact"/>
        <w:rPr>
          <w:sz w:val="20"/>
          <w:szCs w:val="20"/>
          <w:color w:val="auto"/>
        </w:rPr>
      </w:pPr>
    </w:p>
    <w:p>
      <w:pPr>
        <w:jc w:val="both"/>
        <w:ind w:left="5840" w:right="20"/>
        <w:spacing w:after="0" w:line="245" w:lineRule="auto"/>
        <w:rPr>
          <w:sz w:val="20"/>
          <w:szCs w:val="20"/>
          <w:color w:val="auto"/>
        </w:rPr>
      </w:pPr>
      <w:r>
        <w:rPr>
          <w:rFonts w:ascii="Arial" w:cs="Arial" w:eastAsia="Arial" w:hAnsi="Arial"/>
          <w:sz w:val="16"/>
          <w:szCs w:val="16"/>
          <w:color w:val="auto"/>
        </w:rPr>
        <w:t>The annualized fiscal deficit in the last 12 months to December 2023 rose to 2.8% of GDP, compared to 1.7% of GDP in 4Q22. This increase was explained, to a greater extent, by the fall in fiscal revenues from 22.1% of GDP to 19.8% of GDP. The drop in income tax and value added tax revenue stood out owing to the contraction of domestic demand and lower metals and energy prices. Non-financial spending rose 1.2% YoY due to an increase in current spending (4.2%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-823595</wp:posOffset>
            </wp:positionV>
            <wp:extent cx="2787015" cy="16103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87015" cy="1610360"/>
                    </a:xfrm>
                    <a:prstGeom prst="rect">
                      <a:avLst/>
                    </a:prstGeom>
                    <a:noFill/>
                  </pic:spPr>
                </pic:pic>
              </a:graphicData>
            </a:graphic>
          </wp:anchor>
        </w:drawing>
      </w:r>
    </w:p>
    <w:p>
      <w:pPr>
        <w:spacing w:after="0" w:line="128" w:lineRule="exact"/>
        <w:rPr>
          <w:sz w:val="20"/>
          <w:szCs w:val="20"/>
          <w:color w:val="auto"/>
        </w:rPr>
      </w:pPr>
    </w:p>
    <w:p>
      <w:pPr>
        <w:jc w:val="both"/>
        <w:ind w:left="5840" w:right="20"/>
        <w:spacing w:after="0" w:line="248" w:lineRule="auto"/>
        <w:rPr>
          <w:sz w:val="20"/>
          <w:szCs w:val="20"/>
          <w:color w:val="auto"/>
        </w:rPr>
      </w:pPr>
      <w:r>
        <w:rPr>
          <w:rFonts w:ascii="Arial" w:cs="Arial" w:eastAsia="Arial" w:hAnsi="Arial"/>
          <w:sz w:val="16"/>
          <w:szCs w:val="16"/>
          <w:color w:val="auto"/>
        </w:rPr>
        <w:t>In October 2023, Fitch affirmed BBB Peru’s sovereign debt credit rating with negative outlook. Moody’s and S&amp;P assign a rating of Baa1 and BBB, respectively, both with negative outlook. Hence, the three credit rating agencies assign a negative outlook on Peru’s rating. S&amp;P and Fitch have the rating two-steps above investment grade.</w:t>
      </w:r>
    </w:p>
    <w:p>
      <w:pPr>
        <w:spacing w:after="0" w:line="342"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Regarding external accounts, the current account deficit fell from 4.0% of GDP at the end of 2022 to 0.7% of GDP in 3Q23 (in cumulative terms for the last 4 quarters).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12-month accumulated trade balance surplus to November 2023 stood at USD 16.9 billion, a historical high and larger than the USD 15.1 billion registered in September. In the same period, exports barely grew 0.6% YoY to USD 67 billion, affected by lower prices of traditional products, which were, in part, offset by higher volumes. Imports fell 10.3% YoY to USD 50.1 billion due to lower import volumes of industrial supplies and construction materials, as well as lower commodity prices, mainly oil and food.</w:t>
      </w:r>
    </w:p>
    <w:p>
      <w:pPr>
        <w:spacing w:after="0" w:line="14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Terms of trade grew 12.5% YoY in November 2023, because of higher export prices (5.8% YoY) and lower import prices (-6.0% YoY). On the former, predominantly higher copper, gold and non-traditional agricultural products prices drove the increase, while on the latter, the fall was explained by lower oil and food prices. In November, terms of trade rose 4.6% compared with the end of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6"/>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49" w:name="page50"/>
    <w:bookmarkEnd w:id="49"/>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11. Economic Outlook</w:t>
      </w:r>
    </w:p>
    <w:p>
      <w:pPr>
        <w:spacing w:after="0" w:line="297"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auto"/>
        </w:rPr>
        <w:t>Exchange Rate</w:t>
      </w:r>
    </w:p>
    <w:p>
      <w:pPr>
        <w:spacing w:after="0" w:line="15"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(PEN per USD)</w:t>
      </w:r>
    </w:p>
    <w:p>
      <w:pPr>
        <w:spacing w:after="0" w:line="166" w:lineRule="exact"/>
        <w:rPr>
          <w:sz w:val="20"/>
          <w:szCs w:val="20"/>
          <w:color w:val="auto"/>
        </w:rPr>
      </w:pPr>
    </w:p>
    <w:p>
      <w:pPr>
        <w:jc w:val="both"/>
        <w:ind w:left="5840" w:right="20"/>
        <w:spacing w:after="0" w:line="243" w:lineRule="auto"/>
        <w:rPr>
          <w:sz w:val="20"/>
          <w:szCs w:val="20"/>
          <w:color w:val="auto"/>
        </w:rPr>
      </w:pPr>
      <w:r>
        <w:rPr>
          <w:rFonts w:ascii="Arial" w:cs="Arial" w:eastAsia="Arial" w:hAnsi="Arial"/>
          <w:sz w:val="16"/>
          <w:szCs w:val="16"/>
          <w:color w:val="auto"/>
        </w:rPr>
        <w:t>According to BCRP, the exchange rate closed 4Q23 at USDPEN 3.71, an appreciation of 2.2% compared with the end of 3Q23 and 2.7% with respect to the end of 2022. In October, the exchange rate weakened towards USDPEN 3.88, close to the highest level of the year of USDPEN 3.90 reached in January, due to the increase in the US 10-year treasury yield to its highest since 2007. Hence, the BCRP intervened in the spot market, for the third time in the year, selling USD 67 million. As such, in 2023, the BCRP sold USD 81 million in the spot market, much lower than the USD 1.2 billion sold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-1053465</wp:posOffset>
            </wp:positionV>
            <wp:extent cx="2787015" cy="17189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87015" cy="1718945"/>
                    </a:xfrm>
                    <a:prstGeom prst="rect">
                      <a:avLst/>
                    </a:prstGeom>
                    <a:noFill/>
                  </pic:spPr>
                </pic:pic>
              </a:graphicData>
            </a:graphic>
          </wp:anchor>
        </w:drawing>
      </w:r>
    </w:p>
    <w:p>
      <w:pPr>
        <w:spacing w:after="0" w:line="132" w:lineRule="exact"/>
        <w:rPr>
          <w:sz w:val="20"/>
          <w:szCs w:val="20"/>
          <w:color w:val="auto"/>
        </w:rPr>
      </w:pPr>
    </w:p>
    <w:p>
      <w:pPr>
        <w:jc w:val="both"/>
        <w:ind w:left="5840" w:right="20"/>
        <w:spacing w:after="0" w:line="252" w:lineRule="auto"/>
        <w:rPr>
          <w:sz w:val="20"/>
          <w:szCs w:val="20"/>
          <w:color w:val="auto"/>
        </w:rPr>
      </w:pPr>
      <w:r>
        <w:rPr>
          <w:rFonts w:ascii="Arial" w:cs="Arial" w:eastAsia="Arial" w:hAnsi="Arial"/>
          <w:sz w:val="16"/>
          <w:szCs w:val="16"/>
          <w:color w:val="auto"/>
        </w:rPr>
        <w:t>Latam main currencies also appreciated in 4Q23 compared with the previous quarter due to the weakening of the global dollar after signs from the Federal Reserve of possible rate cuts in 2024. The Colombian peso appreciated 5.0%, the Brazilian real 3.6%, the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Mexican peso 2.6% and the Chilean peso 1.3%.</w:t>
      </w:r>
    </w:p>
    <w:p>
      <w:pPr>
        <w:spacing w:after="0" w:line="182"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Net international reserves closed 4Q23 at USD 71.0 billion, similar to the end of 3Q23 level (USD 71.2 billion). The FX position of the BCRP stood at USD 51.6 billion in 4Q23, a decrease of USD 1.3 billion with respect to the end of 3Q23.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6"/>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50" w:name="page51"/>
    <w:bookmarkEnd w:id="50"/>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7145655" cy="278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2"/>
        <w:spacing w:after="0"/>
        <w:rPr>
          <w:sz w:val="20"/>
          <w:szCs w:val="20"/>
          <w:color w:val="auto"/>
        </w:rPr>
      </w:pPr>
      <w:r>
        <w:rPr>
          <w:rFonts w:ascii="Arial" w:cs="Arial" w:eastAsia="Arial" w:hAnsi="Arial"/>
          <w:sz w:val="18"/>
          <w:szCs w:val="18"/>
          <w:b w:val="1"/>
          <w:bCs w:val="1"/>
          <w:color w:val="FFFFFF"/>
        </w:rPr>
        <w:t>Safe Harbor for Forward-Looking Statements</w:t>
      </w:r>
    </w:p>
    <w:p>
      <w:pPr>
        <w:spacing w:after="0" w:line="297" w:lineRule="exact"/>
        <w:rPr>
          <w:sz w:val="20"/>
          <w:szCs w:val="20"/>
          <w:color w:val="auto"/>
        </w:rPr>
      </w:pPr>
    </w:p>
    <w:p>
      <w:pPr>
        <w:jc w:val="both"/>
        <w:ind w:left="2"/>
        <w:spacing w:after="0" w:line="248" w:lineRule="auto"/>
        <w:rPr>
          <w:sz w:val="20"/>
          <w:szCs w:val="20"/>
          <w:color w:val="auto"/>
        </w:rPr>
      </w:pPr>
      <w:r>
        <w:rPr>
          <w:rFonts w:ascii="Arial" w:cs="Arial" w:eastAsia="Arial" w:hAnsi="Arial"/>
          <w:sz w:val="16"/>
          <w:szCs w:val="16"/>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47" w:lineRule="exact"/>
        <w:rPr>
          <w:sz w:val="20"/>
          <w:szCs w:val="20"/>
          <w:color w:val="auto"/>
        </w:rPr>
      </w:pPr>
    </w:p>
    <w:p>
      <w:pPr>
        <w:jc w:val="both"/>
        <w:ind w:left="2" w:right="20"/>
        <w:spacing w:after="0" w:line="245" w:lineRule="auto"/>
        <w:rPr>
          <w:sz w:val="20"/>
          <w:szCs w:val="20"/>
          <w:color w:val="auto"/>
        </w:rPr>
      </w:pPr>
      <w:r>
        <w:rPr>
          <w:rFonts w:ascii="Arial" w:cs="Arial" w:eastAsia="Arial" w:hAnsi="Arial"/>
          <w:sz w:val="16"/>
          <w:szCs w:val="16"/>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48"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38" w:lineRule="exact"/>
        <w:rPr>
          <w:sz w:val="20"/>
          <w:szCs w:val="20"/>
          <w:color w:val="auto"/>
        </w:rPr>
      </w:pPr>
    </w:p>
    <w:p>
      <w:pPr>
        <w:ind w:left="142" w:hanging="142"/>
        <w:spacing w:after="0"/>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occurrence of natural disasters or political or social instability in Peru;</w:t>
      </w:r>
    </w:p>
    <w:p>
      <w:pPr>
        <w:spacing w:after="0" w:line="14" w:lineRule="exact"/>
        <w:rPr>
          <w:rFonts w:ascii="Arial" w:cs="Arial" w:eastAsia="Arial" w:hAnsi="Arial"/>
          <w:sz w:val="16"/>
          <w:szCs w:val="16"/>
          <w:color w:val="auto"/>
        </w:rPr>
      </w:pPr>
    </w:p>
    <w:p>
      <w:pPr>
        <w:ind w:left="2" w:right="420" w:hanging="2"/>
        <w:spacing w:after="0" w:line="238" w:lineRule="auto"/>
        <w:tabs>
          <w:tab w:leader="none" w:pos="14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adequacy of the dividends that our subsidiaries are able to pay to us, which may affect our ability to pay dividends to shareholders and corporate expenses;</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Performance of, and volatility in, financial markets, including Latin-American and other markets;</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frequency, severity and types of insured loss events;</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Fluctuations in interest rate levels;</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Foreign currency exchange rates, including the Sol/US Dollar exchange rate;</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Deterioration in the quality of our loan portfolio;</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Increasing levels of competition in Peru and other markets in which we operate;</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Developments and changes in laws and regulations affecting the financial sector and adoption of new international guidelines;</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the policies of central banks and/or foreign governments;</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Effectiveness of our risk management policies and of our operational and security systems;</w:t>
      </w:r>
    </w:p>
    <w:p>
      <w:pPr>
        <w:ind w:left="142" w:hanging="142"/>
        <w:spacing w:after="0" w:line="238" w:lineRule="auto"/>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Losses associated with counterparty exposures;</w:t>
      </w:r>
    </w:p>
    <w:p>
      <w:pPr>
        <w:ind w:left="2" w:right="440" w:hanging="2"/>
        <w:spacing w:after="0" w:line="238" w:lineRule="auto"/>
        <w:tabs>
          <w:tab w:leader="none" w:pos="14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scope of the coronavirus (“COVID-19”) outbreak, actions taken to contain the COVID-19 and related economic effects from such actions and our ability to maintain adequate staffing; and</w:t>
      </w:r>
    </w:p>
    <w:p>
      <w:pPr>
        <w:ind w:left="142" w:hanging="142"/>
        <w:spacing w:after="0"/>
        <w:tabs>
          <w:tab w:leader="none" w:pos="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Bermuda laws and regulations applicable to so-called non-resident entities.</w:t>
      </w:r>
    </w:p>
    <w:p>
      <w:pPr>
        <w:spacing w:after="0" w:line="166" w:lineRule="exact"/>
        <w:rPr>
          <w:sz w:val="20"/>
          <w:szCs w:val="20"/>
          <w:color w:val="auto"/>
        </w:rPr>
      </w:pPr>
    </w:p>
    <w:p>
      <w:pPr>
        <w:jc w:val="both"/>
        <w:ind w:left="2"/>
        <w:spacing w:after="0" w:line="243" w:lineRule="auto"/>
        <w:rPr>
          <w:sz w:val="20"/>
          <w:szCs w:val="20"/>
          <w:color w:val="auto"/>
        </w:rPr>
      </w:pPr>
      <w:r>
        <w:rPr>
          <w:rFonts w:ascii="Arial" w:cs="Arial" w:eastAsia="Arial" w:hAnsi="Arial"/>
          <w:sz w:val="16"/>
          <w:szCs w:val="16"/>
          <w:color w:val="auto"/>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w:t>
      </w:r>
    </w:p>
    <w:p>
      <w:pPr>
        <w:spacing w:after="0" w:line="2" w:lineRule="exact"/>
        <w:rPr>
          <w:sz w:val="20"/>
          <w:szCs w:val="20"/>
          <w:color w:val="auto"/>
        </w:rPr>
      </w:pPr>
    </w:p>
    <w:p>
      <w:pPr>
        <w:jc w:val="both"/>
        <w:ind w:left="2" w:right="20"/>
        <w:spacing w:after="0" w:line="248" w:lineRule="auto"/>
        <w:rPr>
          <w:sz w:val="20"/>
          <w:szCs w:val="20"/>
          <w:color w:val="auto"/>
        </w:rPr>
      </w:pPr>
      <w:r>
        <w:rPr>
          <w:rFonts w:ascii="Arial" w:cs="Arial" w:eastAsia="Arial" w:hAnsi="Arial"/>
          <w:sz w:val="16"/>
          <w:szCs w:val="16"/>
          <w:color w:val="auto"/>
        </w:rPr>
        <w:t>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6"/>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496" w:right="31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42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6500" w:type="dxa"/>
            <w:vAlign w:val="bottom"/>
            <w:shd w:val="clear" w:color="auto" w:fill="000000"/>
          </w:tcPr>
          <w:p>
            <w:pPr>
              <w:ind w:left="20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3740" w:type="dxa"/>
            <w:vAlign w:val="bottom"/>
            <w:shd w:val="clear" w:color="auto" w:fill="000000"/>
          </w:tcPr>
          <w:p>
            <w:pPr>
              <w:ind w:left="320"/>
              <w:spacing w:after="0"/>
              <w:rPr>
                <w:sz w:val="20"/>
                <w:szCs w:val="20"/>
                <w:color w:val="auto"/>
              </w:rPr>
            </w:pPr>
            <w:r>
              <w:rPr>
                <w:rFonts w:ascii="Arial" w:cs="Arial" w:eastAsia="Arial" w:hAnsi="Arial"/>
                <w:sz w:val="18"/>
                <w:szCs w:val="18"/>
                <w:b w:val="1"/>
                <w:bCs w:val="1"/>
                <w:color w:val="E93BAC"/>
              </w:rPr>
              <w:t>Analysis of 4Q23 Consolidated Results</w:t>
            </w:r>
          </w:p>
        </w:tc>
        <w:tc>
          <w:tcPr>
            <w:tcW w:w="320" w:type="dxa"/>
            <w:vAlign w:val="bottom"/>
            <w:shd w:val="clear" w:color="auto" w:fill="000000"/>
          </w:tcPr>
          <w:p>
            <w:pPr>
              <w:spacing w:after="0"/>
              <w:rPr>
                <w:sz w:val="24"/>
                <w:szCs w:val="24"/>
                <w:color w:val="auto"/>
              </w:rPr>
            </w:pPr>
          </w:p>
        </w:tc>
      </w:tr>
      <w:tr>
        <w:trPr>
          <w:trHeight w:val="202"/>
        </w:trPr>
        <w:tc>
          <w:tcPr>
            <w:tcW w:w="700" w:type="dxa"/>
            <w:vAlign w:val="bottom"/>
            <w:gridSpan w:val="2"/>
            <w:shd w:val="clear" w:color="auto" w:fill="000000"/>
          </w:tcPr>
          <w:p>
            <w:pPr>
              <w:spacing w:after="0"/>
              <w:rPr>
                <w:sz w:val="17"/>
                <w:szCs w:val="17"/>
                <w:color w:val="auto"/>
              </w:rPr>
            </w:pPr>
          </w:p>
        </w:tc>
        <w:tc>
          <w:tcPr>
            <w:tcW w:w="6500" w:type="dxa"/>
            <w:vAlign w:val="bottom"/>
            <w:shd w:val="clear" w:color="auto" w:fill="000000"/>
          </w:tcPr>
          <w:p>
            <w:pPr>
              <w:spacing w:after="0"/>
              <w:rPr>
                <w:sz w:val="17"/>
                <w:szCs w:val="17"/>
                <w:color w:val="auto"/>
              </w:rPr>
            </w:pPr>
          </w:p>
        </w:tc>
        <w:tc>
          <w:tcPr>
            <w:tcW w:w="374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r>
      <w:tr>
        <w:trPr>
          <w:trHeight w:val="786"/>
        </w:trPr>
        <w:tc>
          <w:tcPr>
            <w:tcW w:w="700" w:type="dxa"/>
            <w:vAlign w:val="bottom"/>
            <w:gridSpan w:val="2"/>
          </w:tcPr>
          <w:p>
            <w:pPr>
              <w:spacing w:after="0"/>
              <w:rPr>
                <w:sz w:val="20"/>
                <w:szCs w:val="20"/>
                <w:color w:val="auto"/>
              </w:rPr>
            </w:pPr>
            <w:r>
              <w:rPr>
                <w:rFonts w:ascii="Arial" w:cs="Arial" w:eastAsia="Arial" w:hAnsi="Arial"/>
                <w:sz w:val="47"/>
                <w:szCs w:val="47"/>
                <w:b w:val="1"/>
                <w:bCs w:val="1"/>
                <w:color w:val="E93BAC"/>
              </w:rPr>
              <w:t>12</w:t>
            </w:r>
          </w:p>
        </w:tc>
        <w:tc>
          <w:tcPr>
            <w:tcW w:w="6500" w:type="dxa"/>
            <w:vAlign w:val="bottom"/>
          </w:tcPr>
          <w:p>
            <w:pPr>
              <w:ind w:left="180"/>
              <w:spacing w:after="0"/>
              <w:rPr>
                <w:sz w:val="20"/>
                <w:szCs w:val="20"/>
                <w:color w:val="auto"/>
              </w:rPr>
            </w:pPr>
            <w:r>
              <w:rPr>
                <w:rFonts w:ascii="Arial" w:cs="Arial" w:eastAsia="Arial" w:hAnsi="Arial"/>
                <w:sz w:val="29"/>
                <w:szCs w:val="29"/>
                <w:color w:val="E93BAC"/>
              </w:rPr>
              <w:t>Appendix</w:t>
            </w:r>
          </w:p>
        </w:tc>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90"/>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12.1.</w:t>
            </w: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Implementation of IFRS 17 – Restatement of figures and ratios for 2022</w:t>
            </w:r>
          </w:p>
        </w:tc>
        <w:tc>
          <w:tcPr>
            <w:tcW w:w="3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5"/>
        </w:trPr>
        <w:tc>
          <w:tcPr>
            <w:tcW w:w="720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12.1.1. Introduction to the new standards IFRS 17</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720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12.1.2. Conceptual Framework</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720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12.1.3. Recognition of Profit and Loss</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720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12.1.4. Valuation Methods</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720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12.1.5. Impact on Equity Under IFRS 17</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r>
      <w:tr>
        <w:trPr>
          <w:trHeight w:val="195"/>
        </w:trPr>
        <w:tc>
          <w:tcPr>
            <w:tcW w:w="10940" w:type="dxa"/>
            <w:vAlign w:val="bottom"/>
            <w:gridSpan w:val="4"/>
          </w:tcPr>
          <w:p>
            <w:pPr>
              <w:spacing w:after="0" w:line="195" w:lineRule="exact"/>
              <w:rPr>
                <w:sz w:val="20"/>
                <w:szCs w:val="20"/>
                <w:color w:val="auto"/>
              </w:rPr>
            </w:pPr>
            <w:r>
              <w:rPr>
                <w:rFonts w:ascii="Arial" w:cs="Arial" w:eastAsia="Arial" w:hAnsi="Arial"/>
                <w:sz w:val="18"/>
                <w:szCs w:val="18"/>
                <w:b w:val="1"/>
                <w:bCs w:val="1"/>
                <w:color w:val="auto"/>
              </w:rPr>
              <w:t>12.1.6. Reformulation of Profit and Loss Statement at Pacífico Grupo Asegurador for year 2022</w:t>
            </w: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r>
      <w:tr>
        <w:trPr>
          <w:trHeight w:val="195"/>
        </w:trPr>
        <w:tc>
          <w:tcPr>
            <w:tcW w:w="720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12.1.7. Reformulation of Credicorp’s Profit and Loss Statement for year 2022</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r>
      <w:tr>
        <w:trPr>
          <w:trHeight w:val="195"/>
        </w:trPr>
        <w:tc>
          <w:tcPr>
            <w:tcW w:w="10940" w:type="dxa"/>
            <w:vAlign w:val="bottom"/>
            <w:gridSpan w:val="4"/>
          </w:tcPr>
          <w:p>
            <w:pPr>
              <w:spacing w:after="0" w:line="195" w:lineRule="exact"/>
              <w:rPr>
                <w:sz w:val="20"/>
                <w:szCs w:val="20"/>
                <w:color w:val="auto"/>
              </w:rPr>
            </w:pPr>
            <w:r>
              <w:rPr>
                <w:rFonts w:ascii="Arial" w:cs="Arial" w:eastAsia="Arial" w:hAnsi="Arial"/>
                <w:sz w:val="18"/>
                <w:szCs w:val="18"/>
                <w:b w:val="1"/>
                <w:bCs w:val="1"/>
                <w:color w:val="auto"/>
              </w:rPr>
              <w:t>12.1.8. Changes in the Methodology to Calculate Financial Indicators and their Reformulation for the year 2022</w:t>
            </w: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r>
      <w:tr>
        <w:trPr>
          <w:trHeight w:val="195"/>
        </w:trPr>
        <w:tc>
          <w:tcPr>
            <w:tcW w:w="720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12.1.9. Glossary of Terms Under IFRS 17</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b w:val="1"/>
                <w:bCs w:val="1"/>
                <w:color w:val="auto"/>
                <w:w w:val="99"/>
              </w:rPr>
              <w:t>12.2.</w:t>
            </w:r>
          </w:p>
        </w:tc>
        <w:tc>
          <w:tcPr>
            <w:tcW w:w="678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Physical Point of contact</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b w:val="1"/>
                <w:bCs w:val="1"/>
                <w:color w:val="auto"/>
                <w:w w:val="99"/>
              </w:rPr>
              <w:t>12.3.</w:t>
            </w:r>
          </w:p>
        </w:tc>
        <w:tc>
          <w:tcPr>
            <w:tcW w:w="678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Loan Portfolio Quality</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r>
      <w:tr>
        <w:trPr>
          <w:trHeight w:val="195"/>
        </w:trPr>
        <w:tc>
          <w:tcPr>
            <w:tcW w:w="720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12.4 Net Interest Income (NII)</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60</w:t>
            </w: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b w:val="1"/>
                <w:bCs w:val="1"/>
                <w:color w:val="auto"/>
                <w:w w:val="99"/>
              </w:rPr>
              <w:t>12.5.</w:t>
            </w:r>
          </w:p>
        </w:tc>
        <w:tc>
          <w:tcPr>
            <w:tcW w:w="678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Regulatory Capital</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b w:val="1"/>
                <w:bCs w:val="1"/>
                <w:color w:val="auto"/>
                <w:w w:val="99"/>
              </w:rPr>
              <w:t>12.6.</w:t>
            </w:r>
          </w:p>
        </w:tc>
        <w:tc>
          <w:tcPr>
            <w:tcW w:w="678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Financial Statements and Ratios by Business</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65</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12.6.1. Credicorp Consolidated</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65</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12.6.2. Credicorp Stand-alone</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67</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12.6.3. BCP Consolidated</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12.6.4. BCP Stand-alone</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12.6.5. BCP Bolivia</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72</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12.6.6. Mibanco</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73</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12.6.7. Prima AFP</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12.6.8. Grupo Pacifico</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75</w:t>
            </w:r>
          </w:p>
        </w:tc>
      </w:tr>
      <w:tr>
        <w:trPr>
          <w:trHeight w:val="195"/>
        </w:trPr>
        <w:tc>
          <w:tcPr>
            <w:tcW w:w="7200" w:type="dxa"/>
            <w:vAlign w:val="bottom"/>
            <w:gridSpan w:val="3"/>
          </w:tcPr>
          <w:p>
            <w:pPr>
              <w:ind w:left="300"/>
              <w:spacing w:after="0" w:line="195" w:lineRule="exact"/>
              <w:rPr>
                <w:sz w:val="20"/>
                <w:szCs w:val="20"/>
                <w:color w:val="auto"/>
              </w:rPr>
            </w:pPr>
            <w:r>
              <w:rPr>
                <w:rFonts w:ascii="Arial" w:cs="Arial" w:eastAsia="Arial" w:hAnsi="Arial"/>
                <w:sz w:val="18"/>
                <w:szCs w:val="18"/>
                <w:b w:val="1"/>
                <w:bCs w:val="1"/>
                <w:color w:val="auto"/>
              </w:rPr>
              <w:t>12.6.9. Investment Management and Advisory</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b w:val="1"/>
                <w:bCs w:val="1"/>
                <w:color w:val="auto"/>
                <w:w w:val="99"/>
              </w:rPr>
              <w:t>12.7.</w:t>
            </w:r>
          </w:p>
        </w:tc>
        <w:tc>
          <w:tcPr>
            <w:tcW w:w="678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Table of calculations</w:t>
            </w:r>
          </w:p>
        </w:tc>
        <w:tc>
          <w:tcPr>
            <w:tcW w:w="37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78</w:t>
            </w:r>
          </w:p>
        </w:tc>
      </w:tr>
      <w:tr>
        <w:trPr>
          <w:trHeight w:val="246"/>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12.8.</w:t>
            </w: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Glossary of terms</w:t>
            </w:r>
          </w:p>
        </w:tc>
        <w:tc>
          <w:tcPr>
            <w:tcW w:w="37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68"/>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ind w:left="3660"/>
              <w:spacing w:after="0"/>
              <w:rPr>
                <w:sz w:val="20"/>
                <w:szCs w:val="20"/>
                <w:color w:val="auto"/>
              </w:rPr>
            </w:pPr>
            <w:r>
              <w:rPr>
                <w:rFonts w:ascii="Arial" w:cs="Arial" w:eastAsia="Arial" w:hAnsi="Arial"/>
                <w:sz w:val="13"/>
                <w:szCs w:val="13"/>
                <w:color w:val="0000FF"/>
              </w:rPr>
              <w:t>Datos elaborados por BCP para uso Interno</w:t>
            </w:r>
          </w:p>
        </w:tc>
        <w:tc>
          <w:tcPr>
            <w:tcW w:w="3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75"/>
        </w:trPr>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-4582160</wp:posOffset>
            </wp:positionV>
            <wp:extent cx="1161415" cy="139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ectPr>
          <w:pgSz w:w="11900" w:h="16838" w:orient="portrait"/>
          <w:cols w:equalWidth="0" w:num="1">
            <w:col w:w="11260"/>
          </w:cols>
          <w:pgMar w:left="320" w:top="505" w:right="319" w:bottom="1440" w:gutter="0" w:footer="0" w:header="0"/>
        </w:sectPr>
      </w:pPr>
    </w:p>
    <w:bookmarkStart w:id="52" w:name="page53"/>
    <w:bookmarkEnd w:id="52"/>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476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 Implementation of IFRS 17 – Restatement of figures and ratios for 2022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12.1.1. Introduction to the new standards IFRS 17</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IFRS 17 was published in May 2017 as a replacement to IFRS 4 “Insurance Contracts.” The aim of this change is to ensure that consistent measurement criteria are applied to improve transparency and the comparability of Financial Statements. The new standard became effective in January 2023.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primary objectives of this standard include:</w:t>
      </w:r>
    </w:p>
    <w:p>
      <w:pPr>
        <w:spacing w:after="0" w:line="182" w:lineRule="exact"/>
        <w:rPr>
          <w:sz w:val="20"/>
          <w:szCs w:val="20"/>
          <w:color w:val="auto"/>
        </w:rPr>
      </w:pPr>
    </w:p>
    <w:p>
      <w:pPr>
        <w:ind w:left="880" w:right="760" w:hanging="590"/>
        <w:spacing w:after="0" w:line="248"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Improving comparability between insurers at the global level. IFRS 4 allowed entities to use a wide variety of accounting practices with regard to insurance contracts.</w:t>
      </w:r>
    </w:p>
    <w:p>
      <w:pPr>
        <w:spacing w:after="0" w:line="1" w:lineRule="exact"/>
        <w:rPr>
          <w:rFonts w:ascii="Arial" w:cs="Arial" w:eastAsia="Arial" w:hAnsi="Arial"/>
          <w:sz w:val="16"/>
          <w:szCs w:val="16"/>
          <w:color w:val="auto"/>
        </w:rPr>
      </w:pPr>
    </w:p>
    <w:p>
      <w:pPr>
        <w:ind w:left="880" w:right="1000" w:hanging="590"/>
        <w:spacing w:after="0" w:line="238"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Adequately reflecting the economic value of insurance contracts. Some previous accounting practices allowed under IFRS failed to adequately reflect real underlying financial situations or the financial yields on insurance contracts.</w:t>
      </w:r>
    </w:p>
    <w:p>
      <w:pPr>
        <w:ind w:left="880" w:hanging="590"/>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Providing more useful information to users of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12.1.2. Conceptual Framework</w:t>
      </w:r>
    </w:p>
    <w:p>
      <w:pPr>
        <w:spacing w:after="0" w:line="182"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Insurance contracts combine attributes of risk coverage, provision of services and instruments of investments and by nature, generate cash flows (outflows such as claims payments, redemptios, expirations, pensions, attributable expenses, income such as premiums) during their term.</w:t>
      </w:r>
    </w:p>
    <w:p>
      <w:pPr>
        <w:spacing w:after="0" w:line="12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 xml:space="preserve">The difference between expected outflows and inflows (fulfillment cashflows), combined with recognition of cash value over time, constitute the best estimate of the company’s obligations. Due to potential underwriting deviations relative to expected flows, an additional reserve, known as </w:t>
      </w:r>
      <w:r>
        <w:rPr>
          <w:rFonts w:ascii="Arial" w:cs="Arial" w:eastAsia="Arial" w:hAnsi="Arial"/>
          <w:sz w:val="16"/>
          <w:szCs w:val="16"/>
          <w:b w:val="1"/>
          <w:bCs w:val="1"/>
          <w:color w:val="auto"/>
        </w:rPr>
        <w:t>Risk Adjustment (RA)</w:t>
      </w:r>
      <w:r>
        <w:rPr>
          <w:rFonts w:ascii="Arial" w:cs="Arial" w:eastAsia="Arial" w:hAnsi="Arial"/>
          <w:sz w:val="16"/>
          <w:szCs w:val="16"/>
          <w:color w:val="auto"/>
        </w:rPr>
        <w:t xml:space="preserve"> must be set aside and the underwriting income that the company expects to obtain from its current product portfolio constitutes the </w:t>
      </w:r>
      <w:r>
        <w:rPr>
          <w:rFonts w:ascii="Arial" w:cs="Arial" w:eastAsia="Arial" w:hAnsi="Arial"/>
          <w:sz w:val="16"/>
          <w:szCs w:val="16"/>
          <w:b w:val="1"/>
          <w:bCs w:val="1"/>
          <w:color w:val="auto"/>
        </w:rPr>
        <w:t>Contractual Service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Margin (CSM). </w:t>
      </w:r>
      <w:r>
        <w:rPr>
          <w:rFonts w:ascii="Arial" w:cs="Arial" w:eastAsia="Arial" w:hAnsi="Arial"/>
          <w:sz w:val="16"/>
          <w:szCs w:val="16"/>
          <w:color w:val="auto"/>
        </w:rPr>
        <w:t>These 3 concepts, combined with the claims reserves (including reserves for pending claims, IBNR reserves and liquidation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the company’s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12.1.3. Recognition of Profit and Loss</w:t>
      </w:r>
    </w:p>
    <w:p>
      <w:pPr>
        <w:spacing w:after="0" w:line="182"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 P &amp; L under IFRS shows the difference between a company’s expected cash flows (valued in liabilities) and real flows that occur. Anticipated flows must be based on realistic parameters that reflect the company’s actual experience and current market interest rates.</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 standard also requires that results be separated into 3 blocks: (i) Insurance service (or direct insurance), (ii) Reinsurance and (iii) Financial Results. This structure allows users to visualize the company’s sources of income.</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Unlike IFRS4, which recognized profit and losses on products during their term, IFRS17 stipulates that expected losses must be recognized at a single moment, meaning upon issuance of policies, while recognition of underwriting income (CSM) must be made gradually over the effective period of products.</w:t>
      </w:r>
    </w:p>
    <w:p>
      <w:pPr>
        <w:spacing w:after="0" w:line="12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company chose the Other Comprehensive Income (OCI) option, which recognizes movements of reserves generated by underwriting issues within the Profit and Loss Statement (changes in mortality, expenses, redemptions, etc.) while within Equity, only variations in liabilities generated by changes in interest rates are recognized. This variation produces an offset to that generated by investments that back reserves and lends stability to the Balance Sheet and the Profit and Loss Statement.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12.1.4. Valuation Methods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IFRS 17 introduces different approaches to valuate underwriting provisions based on the product’s characteristics (contract duration, cash flow).</w:t>
      </w:r>
    </w:p>
    <w:p>
      <w:pPr>
        <w:spacing w:after="0" w:line="182" w:lineRule="exact"/>
        <w:rPr>
          <w:sz w:val="20"/>
          <w:szCs w:val="20"/>
          <w:color w:val="auto"/>
        </w:rPr>
      </w:pPr>
    </w:p>
    <w:p>
      <w:pPr>
        <w:ind w:left="580" w:hanging="290"/>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General Method (GM) or Building Block Approach (BBA): </w:t>
      </w:r>
      <w:r>
        <w:rPr>
          <w:rFonts w:ascii="Arial" w:cs="Arial" w:eastAsia="Arial" w:hAnsi="Arial"/>
          <w:sz w:val="16"/>
          <w:szCs w:val="16"/>
          <w:color w:val="auto"/>
        </w:rPr>
        <w:t>general default model valuation of insurance contracts.</w:t>
      </w:r>
    </w:p>
    <w:p>
      <w:pPr>
        <w:spacing w:after="0" w:line="14" w:lineRule="exact"/>
        <w:rPr>
          <w:rFonts w:ascii="Arial" w:cs="Arial" w:eastAsia="Arial" w:hAnsi="Arial"/>
          <w:sz w:val="16"/>
          <w:szCs w:val="16"/>
          <w:color w:val="auto"/>
        </w:rPr>
      </w:pPr>
    </w:p>
    <w:p>
      <w:pPr>
        <w:ind w:left="580" w:right="20" w:hanging="290"/>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Variable Fee Approach (VFA): </w:t>
      </w:r>
      <w:r>
        <w:rPr>
          <w:rFonts w:ascii="Arial" w:cs="Arial" w:eastAsia="Arial" w:hAnsi="Arial"/>
          <w:sz w:val="16"/>
          <w:szCs w:val="16"/>
          <w:color w:val="auto"/>
        </w:rPr>
        <w:t>model for contract valuation in which cash flows depend on the value of the underlying assets that back said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w:t>
      </w:r>
    </w:p>
    <w:p>
      <w:pPr>
        <w:spacing w:after="0" w:line="181" w:lineRule="exact"/>
        <w:rPr>
          <w:rFonts w:ascii="Arial" w:cs="Arial" w:eastAsia="Arial" w:hAnsi="Arial"/>
          <w:sz w:val="16"/>
          <w:szCs w:val="16"/>
          <w:color w:val="auto"/>
        </w:rPr>
      </w:pPr>
    </w:p>
    <w:p>
      <w:pPr>
        <w:ind w:left="580" w:hanging="290"/>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Premium Allocation Approach (PAA): </w:t>
      </w:r>
      <w:r>
        <w:rPr>
          <w:rFonts w:ascii="Arial" w:cs="Arial" w:eastAsia="Arial" w:hAnsi="Arial"/>
          <w:sz w:val="16"/>
          <w:szCs w:val="16"/>
          <w:color w:val="auto"/>
        </w:rPr>
        <w:t>simplification of the general model.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53" w:name="page54"/>
    <w:bookmarkEnd w:id="53"/>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7145655" cy="2476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spacing w:after="0" w:line="322" w:lineRule="exact"/>
        <w:rPr>
          <w:sz w:val="20"/>
          <w:szCs w:val="20"/>
          <w:color w:val="auto"/>
        </w:rPr>
      </w:pPr>
    </w:p>
    <w:p>
      <w:pPr>
        <w:ind w:left="42"/>
        <w:spacing w:after="0"/>
        <w:rPr>
          <w:sz w:val="20"/>
          <w:szCs w:val="20"/>
          <w:color w:val="auto"/>
        </w:rPr>
      </w:pPr>
      <w:r>
        <w:rPr>
          <w:rFonts w:ascii="Arial" w:cs="Arial" w:eastAsia="Arial" w:hAnsi="Arial"/>
          <w:sz w:val="18"/>
          <w:szCs w:val="18"/>
          <w:b w:val="1"/>
          <w:bCs w:val="1"/>
          <w:color w:val="FFFFFF"/>
        </w:rPr>
        <w:t>12. Appendix</w:t>
      </w:r>
    </w:p>
    <w:p>
      <w:pPr>
        <w:spacing w:after="0" w:line="27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12.1.5. Impact on Equity Under IFRS 17</w:t>
      </w:r>
    </w:p>
    <w:p>
      <w:pPr>
        <w:spacing w:after="0" w:line="182" w:lineRule="exact"/>
        <w:rPr>
          <w:sz w:val="20"/>
          <w:szCs w:val="20"/>
          <w:color w:val="auto"/>
        </w:rPr>
      </w:pPr>
    </w:p>
    <w:p>
      <w:pPr>
        <w:ind w:left="2" w:right="120"/>
        <w:spacing w:after="0" w:line="279" w:lineRule="auto"/>
        <w:rPr>
          <w:sz w:val="20"/>
          <w:szCs w:val="20"/>
          <w:color w:val="auto"/>
        </w:rPr>
      </w:pPr>
      <w:r>
        <w:rPr>
          <w:rFonts w:ascii="Arial" w:cs="Arial" w:eastAsia="Arial" w:hAnsi="Arial"/>
          <w:sz w:val="16"/>
          <w:szCs w:val="16"/>
          <w:color w:val="auto"/>
        </w:rPr>
        <w:t>The impact of the implementation of the IFRS 17 standard on the net equity balance of Pacífico Seguros is not material, registering at the end of December 2022 a net equity under IFRS 17 which is S/ 10 million greater than the net equity calculated under IFRS 4.</w:t>
      </w:r>
    </w:p>
    <w:p>
      <w:pPr>
        <w:spacing w:after="0" w:line="121"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color w:val="auto"/>
        </w:rPr>
        <w:t>It should be mentioned that as of the end of December 2021 (date of the "first application" of the standard), the net equity of Pacífico Seguros under IFRS 17 was S/ 211 million less than the net equity registered under IFRS 4. This initial gap narrowed during 2022 as a result of a contraction in the value of liabilities under IFRS 17, associated with the interest rates increases.</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12.1.6. Reformulation of Profit and Loss Statement at Pacífico Grupo Asegurador for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126365</wp:posOffset>
            </wp:positionV>
            <wp:extent cx="5295265" cy="25234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95265" cy="252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582" w:right="20" w:hanging="582"/>
        <w:spacing w:after="0" w:line="252" w:lineRule="auto"/>
        <w:tabs>
          <w:tab w:leader="none" w:pos="582"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A new sub-account, “Financial Expenses associated with insurance and reinsurance activities, net” is included in the account for Interest Expenses at Pacifico Seguros. This concept corresponds to interest accredited to reserves. This interest is attributable to an update of the present value of said reserves to the date of the close of the period. This concept was previously presented as part of reserves adjustment included in the underwriting result under IFRS4. IFRS17 separates the financial component from the underwriting component.</w:t>
      </w:r>
    </w:p>
    <w:p>
      <w:pPr>
        <w:spacing w:after="0" w:line="142" w:lineRule="exact"/>
        <w:rPr>
          <w:sz w:val="20"/>
          <w:szCs w:val="20"/>
          <w:color w:val="auto"/>
        </w:rPr>
      </w:pPr>
    </w:p>
    <w:p>
      <w:pPr>
        <w:jc w:val="both"/>
        <w:ind w:left="582" w:right="20" w:hanging="582"/>
        <w:spacing w:after="0" w:line="258" w:lineRule="auto"/>
        <w:tabs>
          <w:tab w:leader="none" w:pos="582"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An impact is registered in the “Gain on exchange rate difference” line because the structure of the assets and liabilities related to insurance activities has been modified. The monetary position of these assets and liabilities changes due to the way that assets and liabilities are recognized under IFRS17.</w:t>
      </w:r>
    </w:p>
    <w:p>
      <w:pPr>
        <w:spacing w:after="0" w:line="138" w:lineRule="exact"/>
        <w:rPr>
          <w:sz w:val="20"/>
          <w:szCs w:val="20"/>
          <w:color w:val="auto"/>
        </w:rPr>
      </w:pPr>
    </w:p>
    <w:p>
      <w:pPr>
        <w:ind w:left="582" w:right="20" w:hanging="582"/>
        <w:spacing w:after="0" w:line="279" w:lineRule="auto"/>
        <w:tabs>
          <w:tab w:leader="none" w:pos="582"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Some concepts of income that were previously registered (under IFRS 4) as “Non-Operating Income” are now (under IFRS 17) reclassified and included in the cash flows associated with insurance contracts. As such, these concepts are now part of the Insurance Underwriting Result.</w:t>
      </w:r>
    </w:p>
    <w:p>
      <w:pPr>
        <w:spacing w:after="0" w:line="121" w:lineRule="exact"/>
        <w:rPr>
          <w:sz w:val="20"/>
          <w:szCs w:val="20"/>
          <w:color w:val="auto"/>
        </w:rPr>
      </w:pPr>
    </w:p>
    <w:p>
      <w:pPr>
        <w:jc w:val="both"/>
        <w:ind w:left="582" w:right="20" w:hanging="579"/>
        <w:spacing w:after="0" w:line="244" w:lineRule="auto"/>
        <w:tabs>
          <w:tab w:leader="none" w:pos="562" w:val="left"/>
        </w:tabs>
        <w:rPr>
          <w:sz w:val="20"/>
          <w:szCs w:val="20"/>
          <w:color w:val="auto"/>
        </w:rPr>
      </w:pPr>
      <w:r>
        <w:rPr>
          <w:rFonts w:ascii="Arial" w:cs="Arial" w:eastAsia="Arial" w:hAnsi="Arial"/>
          <w:sz w:val="16"/>
          <w:szCs w:val="16"/>
          <w:b w:val="1"/>
          <w:bCs w:val="1"/>
          <w:color w:val="auto"/>
        </w:rPr>
        <w:t>IV.</w:t>
      </w:r>
      <w:r>
        <w:rPr>
          <w:sz w:val="20"/>
          <w:szCs w:val="20"/>
          <w:color w:val="auto"/>
        </w:rPr>
        <w:tab/>
      </w:r>
      <w:r>
        <w:rPr>
          <w:rFonts w:ascii="Arial" w:cs="Arial" w:eastAsia="Arial" w:hAnsi="Arial"/>
          <w:sz w:val="16"/>
          <w:szCs w:val="16"/>
          <w:color w:val="auto"/>
        </w:rPr>
        <w:t>Recognition of insurance underwriting income is completely different under IFRS 17. IFRS 17 recognizes that insurance contracts combine financial and service characteristics, and in many cases generate variable cash flows in the long-term. To adequately reflect these characteristics, IFRS combines measurements of future cash flows with recognition of the results of the insurance contract throughout the period in which the service is provided. IFRS 17 requires present value measurements of insurance obligations where estimates are recalculated in each reporting period. Contracts are measured using the components of: (i) Fulfilment Cash Flows, (ii) An explicit adjustment for risk or uncertainty of flows, or “Risk Adjustment” and (iii) a Contractual Service Margin, which represents unaccrued underwriting income associated with the contract. This Contractual Service Margin is recognized as income during the coverage term. Insurance contracts combine financial and service characteristics, whereas IFRS combines future cash flows with registry of the results of the insurance contract during the service provision period.</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313" w:right="319" w:bottom="1440" w:gutter="0" w:footer="0" w:header="0"/>
        </w:sectPr>
      </w:pPr>
    </w:p>
    <w:bookmarkStart w:id="54" w:name="page55"/>
    <w:bookmarkEnd w:id="54"/>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7145655" cy="2476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spacing w:after="0" w:line="322" w:lineRule="exact"/>
        <w:rPr>
          <w:sz w:val="20"/>
          <w:szCs w:val="20"/>
          <w:color w:val="auto"/>
        </w:rPr>
      </w:pPr>
    </w:p>
    <w:p>
      <w:pPr>
        <w:ind w:left="342" w:hanging="293"/>
        <w:spacing w:after="0"/>
        <w:tabs>
          <w:tab w:leader="none" w:pos="342" w:val="left"/>
        </w:tabs>
        <w:numPr>
          <w:ilvl w:val="1"/>
          <w:numId w:val="49"/>
        </w:numPr>
        <w:rPr>
          <w:rFonts w:ascii="Arial" w:cs="Arial" w:eastAsia="Arial" w:hAnsi="Arial"/>
          <w:sz w:val="18"/>
          <w:szCs w:val="18"/>
          <w:b w:val="1"/>
          <w:bCs w:val="1"/>
          <w:color w:val="FFFFFF"/>
        </w:rPr>
      </w:pPr>
      <w:r>
        <w:rPr>
          <w:rFonts w:ascii="Arial" w:cs="Arial" w:eastAsia="Arial" w:hAnsi="Arial"/>
          <w:sz w:val="18"/>
          <w:szCs w:val="18"/>
          <w:b w:val="1"/>
          <w:bCs w:val="1"/>
          <w:color w:val="FFFFFF"/>
        </w:rPr>
        <w:t>Appendix</w:t>
      </w:r>
    </w:p>
    <w:p>
      <w:pPr>
        <w:spacing w:after="0" w:line="272" w:lineRule="exact"/>
        <w:rPr>
          <w:rFonts w:ascii="Arial" w:cs="Arial" w:eastAsia="Arial" w:hAnsi="Arial"/>
          <w:sz w:val="18"/>
          <w:szCs w:val="18"/>
          <w:b w:val="1"/>
          <w:bCs w:val="1"/>
          <w:color w:val="FFFFFF"/>
        </w:rPr>
      </w:pPr>
    </w:p>
    <w:p>
      <w:pPr>
        <w:jc w:val="both"/>
        <w:ind w:left="582" w:right="20" w:hanging="582"/>
        <w:spacing w:after="0" w:line="258" w:lineRule="auto"/>
        <w:tabs>
          <w:tab w:leader="none" w:pos="582"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One of the changes generated by the application of IFRS 17 is that it sets forth a new concept for costs that are directly associated with obtaining and fulfilling insurance contracts. Said costs are denominated “Attributable Costs” and are included in the expected flows for the disbursements associated with these contracts. Under IFRS 4, some of these expenses were included in Total Expenses.</w:t>
      </w:r>
    </w:p>
    <w:p>
      <w:pPr>
        <w:spacing w:after="0" w:line="138" w:lineRule="exact"/>
        <w:rPr>
          <w:sz w:val="20"/>
          <w:szCs w:val="20"/>
          <w:color w:val="auto"/>
        </w:rPr>
      </w:pPr>
    </w:p>
    <w:p>
      <w:pPr>
        <w:jc w:val="both"/>
        <w:ind w:left="582" w:right="20" w:hanging="579"/>
        <w:spacing w:after="0" w:line="279" w:lineRule="auto"/>
        <w:tabs>
          <w:tab w:leader="none" w:pos="562" w:val="left"/>
        </w:tabs>
        <w:rPr>
          <w:sz w:val="20"/>
          <w:szCs w:val="20"/>
          <w:color w:val="auto"/>
        </w:rPr>
      </w:pPr>
      <w:r>
        <w:rPr>
          <w:rFonts w:ascii="Arial" w:cs="Arial" w:eastAsia="Arial" w:hAnsi="Arial"/>
          <w:sz w:val="16"/>
          <w:szCs w:val="16"/>
          <w:b w:val="1"/>
          <w:bCs w:val="1"/>
          <w:color w:val="auto"/>
        </w:rPr>
        <w:t>VI.</w:t>
      </w:r>
      <w:r>
        <w:rPr>
          <w:sz w:val="20"/>
          <w:szCs w:val="20"/>
          <w:color w:val="auto"/>
        </w:rPr>
        <w:tab/>
      </w:r>
      <w:r>
        <w:rPr>
          <w:rFonts w:ascii="Arial" w:cs="Arial" w:eastAsia="Arial" w:hAnsi="Arial"/>
          <w:sz w:val="16"/>
          <w:szCs w:val="16"/>
          <w:color w:val="auto"/>
        </w:rPr>
        <w:t>The aggregate impact of implementing IFRS 17 in the Net Earnings of Pacifico Grupo Asegurador is not material and stands at S/15 million for the year 2022.</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12.1.7. Reformulation of Credicorp’s Profit and Loss Statement for year 2022</w:t>
      </w:r>
    </w:p>
    <w:p>
      <w:pPr>
        <w:spacing w:after="0" w:line="182"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color w:val="auto"/>
        </w:rPr>
        <w:t>Below, we reformulate Credicorp’s Profit and Loss Statement. As is evident in the image below, the impact of implementing IFRS at Pacífico Grupo Asegurador translates to Credicorp account by account in identical or highly similar amounts. The aggregate impact of implementing IFRS 17 on the Net Earnings of Credicorp is not material and amounts to S/15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98425</wp:posOffset>
            </wp:positionV>
            <wp:extent cx="5403850" cy="2299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03850" cy="229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12.1.8. Changes in the Methodology to Calculate Financial Indicators and their Reformulation for the year 2022</w:t>
      </w:r>
    </w:p>
    <w:p>
      <w:pPr>
        <w:spacing w:after="0" w:line="182" w:lineRule="exact"/>
        <w:rPr>
          <w:sz w:val="20"/>
          <w:szCs w:val="20"/>
          <w:color w:val="auto"/>
        </w:rPr>
      </w:pPr>
    </w:p>
    <w:p>
      <w:pPr>
        <w:ind w:left="582" w:hanging="582"/>
        <w:spacing w:after="0"/>
        <w:tabs>
          <w:tab w:leader="none" w:pos="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Interest Margin</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Net Interest Margin is reformulated in the following way:</w:t>
      </w:r>
    </w:p>
    <w:p>
      <w:pPr>
        <w:spacing w:after="0" w:line="182" w:lineRule="exact"/>
        <w:rPr>
          <w:sz w:val="20"/>
          <w:szCs w:val="20"/>
          <w:color w:val="auto"/>
        </w:rPr>
      </w:pPr>
    </w:p>
    <w:p>
      <w:pPr>
        <w:jc w:val="both"/>
        <w:ind w:left="2" w:right="20"/>
        <w:spacing w:after="0" w:line="246" w:lineRule="auto"/>
        <w:rPr>
          <w:sz w:val="20"/>
          <w:szCs w:val="20"/>
          <w:color w:val="auto"/>
        </w:rPr>
      </w:pPr>
      <w:r>
        <w:rPr>
          <w:rFonts w:ascii="Arial" w:cs="Arial" w:eastAsia="Arial" w:hAnsi="Arial"/>
          <w:sz w:val="16"/>
          <w:szCs w:val="16"/>
          <w:color w:val="auto"/>
        </w:rPr>
        <w:t>Under IFRS 4, the numerator of the Net Interest Margin was comprised of the difference between Interest Income and Interest Expenses. Under IFRS 17, we need to adjust the formula because Interest Expenses now include the concept “Financial Expense associated with the insurance and reinsurance activity, net.” We seek to exclude the impact of this concept on the Net Interest Margin given that this particular kind of interest expense is not associated with a source of funding. As such, we adjust the numerator by reincorporating “Financial Expense associated with insurance and reinsurance activity, net” to “Net Interest Income” calculated under IFRS 17. It is important to note that as a result of this adjustment, the numerator of the Net Interest Margin under IRFS4 is identical to that seen under IFRS 17.</w:t>
      </w:r>
    </w:p>
    <w:p>
      <w:pPr>
        <w:spacing w:after="0" w:line="149"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6"/>
          <w:szCs w:val="16"/>
          <w:color w:val="auto"/>
        </w:rPr>
        <w:t>From now on, we will exclude from the denominator (average balance of Interest-earning Assets) the following: the balance associated with the account “Financial Assets at Fair Value through P&amp;L” given that this account is primarily comprised of investments associated from Investment Link contracts, which do not accrue interests for Credicorp. This change is not related to IFRS 17.</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6"/>
          <w:szCs w:val="16"/>
          <w:color w:val="auto"/>
        </w:rPr>
        <w:t>Below, we present the aforementioned change in graphic form.</w:t>
      </w:r>
    </w:p>
    <w:p>
      <w:pPr>
        <w:spacing w:after="0" w:line="177"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313" w:right="319" w:bottom="1440" w:gutter="0" w:footer="0" w:header="0"/>
        </w:sectPr>
      </w:pPr>
    </w:p>
    <w:bookmarkStart w:id="55" w:name="page56"/>
    <w:bookmarkEnd w:id="55"/>
    <w:p>
      <w:pPr>
        <w:ind w:left="2722"/>
        <w:spacing w:after="0"/>
        <w:tabs>
          <w:tab w:leader="none" w:pos="2922" w:val="left"/>
          <w:tab w:leader="none" w:pos="7502"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7145655" cy="2476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spacing w:after="0" w:line="322" w:lineRule="exact"/>
        <w:rPr>
          <w:sz w:val="20"/>
          <w:szCs w:val="20"/>
          <w:color w:val="auto"/>
        </w:rPr>
      </w:pPr>
    </w:p>
    <w:p>
      <w:pPr>
        <w:ind w:left="42"/>
        <w:spacing w:after="0"/>
        <w:rPr>
          <w:sz w:val="20"/>
          <w:szCs w:val="20"/>
          <w:color w:val="auto"/>
        </w:rPr>
      </w:pPr>
      <w:r>
        <w:rPr>
          <w:rFonts w:ascii="Arial" w:cs="Arial" w:eastAsia="Arial" w:hAnsi="Arial"/>
          <w:sz w:val="18"/>
          <w:szCs w:val="18"/>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300355</wp:posOffset>
            </wp:positionV>
            <wp:extent cx="4660265" cy="2345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60265" cy="234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82" w:hanging="582"/>
        <w:spacing w:after="0"/>
        <w:tabs>
          <w:tab w:leader="none" w:pos="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Funding Cost</w:t>
      </w:r>
    </w:p>
    <w:p>
      <w:pPr>
        <w:spacing w:after="0" w:line="182" w:lineRule="exact"/>
        <w:rPr>
          <w:sz w:val="20"/>
          <w:szCs w:val="20"/>
          <w:color w:val="auto"/>
        </w:rPr>
      </w:pPr>
    </w:p>
    <w:p>
      <w:pPr>
        <w:jc w:val="both"/>
        <w:ind w:left="2" w:right="20"/>
        <w:spacing w:after="0" w:line="246" w:lineRule="auto"/>
        <w:rPr>
          <w:sz w:val="20"/>
          <w:szCs w:val="20"/>
          <w:color w:val="auto"/>
        </w:rPr>
      </w:pPr>
      <w:r>
        <w:rPr>
          <w:rFonts w:ascii="Arial" w:cs="Arial" w:eastAsia="Arial" w:hAnsi="Arial"/>
          <w:sz w:val="16"/>
          <w:szCs w:val="16"/>
          <w:color w:val="auto"/>
        </w:rPr>
        <w:t>The Funding Cost indicator is being reformulated as follows: under IFRS 4, the numerator of the Funding Cost is comprised of the balance of the “Interest Expenses” account while under IFRS 17, we must adjust the formula given that Interest Expenses now include the concept of “Financial expense associated with insurance and reinsurance activity, net.” We seek to exclude the impact of this new concept on the Funding Cost given that this particular type of expense is not associated with a source of funding. As such, we adjust the numerator by deducting the “Financial Expense associated with insurance and reinsurance activity, net” from “Interest Expenses “calculated under IFRS 17. It is important to note that as a result of this adjustment, the figure for the Funding Cost under IFRS is identical to the same figure under IFRS 17. The following figure is a graphic representation of the aforementioned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104775</wp:posOffset>
            </wp:positionV>
            <wp:extent cx="4559935" cy="2500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59935" cy="250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313" w:right="319" w:bottom="1440" w:gutter="0" w:footer="0" w:header="0"/>
        </w:sectPr>
      </w:pPr>
    </w:p>
    <w:bookmarkStart w:id="56" w:name="page57"/>
    <w:bookmarkEnd w:id="56"/>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476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spacing w:after="0" w:line="322" w:lineRule="exact"/>
        <w:rPr>
          <w:sz w:val="20"/>
          <w:szCs w:val="20"/>
          <w:color w:val="auto"/>
        </w:rPr>
      </w:pPr>
    </w:p>
    <w:p>
      <w:pPr>
        <w:ind w:left="340" w:hanging="293"/>
        <w:spacing w:after="0"/>
        <w:tabs>
          <w:tab w:leader="none" w:pos="340" w:val="left"/>
        </w:tabs>
        <w:numPr>
          <w:ilvl w:val="1"/>
          <w:numId w:val="53"/>
        </w:numPr>
        <w:rPr>
          <w:rFonts w:ascii="Arial" w:cs="Arial" w:eastAsia="Arial" w:hAnsi="Arial"/>
          <w:sz w:val="18"/>
          <w:szCs w:val="18"/>
          <w:b w:val="1"/>
          <w:bCs w:val="1"/>
          <w:color w:val="FFFFFF"/>
        </w:rPr>
      </w:pPr>
      <w:r>
        <w:rPr>
          <w:rFonts w:ascii="Arial" w:cs="Arial" w:eastAsia="Arial" w:hAnsi="Arial"/>
          <w:sz w:val="18"/>
          <w:szCs w:val="18"/>
          <w:b w:val="1"/>
          <w:bCs w:val="1"/>
          <w:color w:val="FFFFFF"/>
        </w:rPr>
        <w:t>Appendix</w:t>
      </w:r>
    </w:p>
    <w:p>
      <w:pPr>
        <w:spacing w:after="0" w:line="272" w:lineRule="exact"/>
        <w:rPr>
          <w:rFonts w:ascii="Arial" w:cs="Arial" w:eastAsia="Arial" w:hAnsi="Arial"/>
          <w:sz w:val="18"/>
          <w:szCs w:val="18"/>
          <w:b w:val="1"/>
          <w:bCs w:val="1"/>
          <w:color w:val="FFFFFF"/>
        </w:rPr>
      </w:pPr>
    </w:p>
    <w:p>
      <w:pPr>
        <w:spacing w:after="0"/>
        <w:rPr>
          <w:rFonts w:ascii="Arial" w:cs="Arial" w:eastAsia="Arial" w:hAnsi="Arial"/>
          <w:sz w:val="18"/>
          <w:szCs w:val="18"/>
          <w:b w:val="1"/>
          <w:bCs w:val="1"/>
          <w:color w:val="FFFFFF"/>
        </w:rPr>
      </w:pPr>
      <w:r>
        <w:rPr>
          <w:rFonts w:ascii="Arial" w:cs="Arial" w:eastAsia="Arial" w:hAnsi="Arial"/>
          <w:sz w:val="16"/>
          <w:szCs w:val="16"/>
          <w:color w:val="auto"/>
        </w:rPr>
        <w:t>III.Efficiency Ratio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Efficiency Ratio is being reformulated as follows:</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Under IFRS 4, the numerator of the Efficiency Ratio is comprised of the total of the “Salaries and Employee Benefits,” “Administrative Expenses,” “Depreciation and Amortization,” “Expenses for Participation in Association,” and the “Acquisition Cost” accounts. Collectively, these accounts constitute “Operating Expenses.” Under IFRS 17, we make an adjustment to the components of this group of “Operating Expenses” given that the “Acquisition Cost” no longer exists in the Profit and Loss Statement under IFRS 17. Consequently, under IFRS 17, the grouping of “Operating Expenses” is comprised solely of “Salaries and Employee Benefits,” “Administrative Expenses,” “Depreciation and Amortization,” and “Expenses for Participation in Association.” It is important to note that balances of these accounts under IFRS17 are not the same as the balances of the accounts with the same name under IFRS17.</w:t>
      </w:r>
    </w:p>
    <w:p>
      <w:pPr>
        <w:spacing w:after="0" w:line="149"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Under IFRS 4, the denominator of the Efficiency Ratio is comprised of the total of the accounts grouped as Core Operating Income (“Interest Income, net”, “Fee income, net,” and “Net gain on FX transactions”); the accounts grouped as Non-Core Operating Income (“Gain on Investments in Associates, “Gain on derivatives,” “Net gain on Exchange Differences); and the “Net Earned Premiums” account. Collectively, all of these accounts constitute “Operating Income.” Under IFRS 17, we are adjusting the components of the grouping for “Operating Income” to replace the component of “Net Earned Premiums” with the “Insurance Underwriting Result.”</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It is important to note that the result of replacing the “Net Earned Premiums “account with the “Insurance Underwriting Result” in the denominator of the efficiency ratio is in fact very significant (upward). The aforementioned is due to the fact that the balance of Insurance Technical results is usually materially lower than the balance of Net Earned Premiums as Insurance Technical results have embedded the impact of charges for Incurred Claims. Below, we present a graphic depiction of the aforementioned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100330</wp:posOffset>
            </wp:positionV>
            <wp:extent cx="5419090" cy="2949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19090" cy="294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57" w:name="page58"/>
    <w:bookmarkEnd w:id="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2940" w:type="dxa"/>
            <w:vAlign w:val="bottom"/>
            <w:tcBorders>
              <w:left w:val="single" w:sz="8" w:color="auto"/>
            </w:tcBorders>
            <w:gridSpan w:val="2"/>
            <w:shd w:val="clear" w:color="auto" w:fill="000000"/>
          </w:tcPr>
          <w:p>
            <w:pPr>
              <w:jc w:val="right"/>
              <w:ind w:right="110"/>
              <w:spacing w:after="0"/>
              <w:rPr>
                <w:sz w:val="20"/>
                <w:szCs w:val="20"/>
                <w:color w:val="auto"/>
              </w:rPr>
            </w:pPr>
            <w:r>
              <w:rPr>
                <w:rFonts w:ascii="Arial" w:cs="Arial" w:eastAsia="Arial" w:hAnsi="Arial"/>
                <w:sz w:val="18"/>
                <w:szCs w:val="18"/>
                <w:color w:val="A6A6A6"/>
              </w:rPr>
              <w:t>|</w:t>
            </w:r>
          </w:p>
        </w:tc>
        <w:tc>
          <w:tcPr>
            <w:tcW w:w="2860" w:type="dxa"/>
            <w:vAlign w:val="bottom"/>
            <w:gridSpan w:val="3"/>
            <w:shd w:val="clear" w:color="auto" w:fill="000000"/>
          </w:tcPr>
          <w:p>
            <w:pPr>
              <w:spacing w:after="0"/>
              <w:rPr>
                <w:sz w:val="20"/>
                <w:szCs w:val="20"/>
                <w:color w:val="auto"/>
              </w:rPr>
            </w:pPr>
            <w:r>
              <w:rPr>
                <w:rFonts w:ascii="Arial" w:cs="Arial" w:eastAsia="Arial" w:hAnsi="Arial"/>
                <w:sz w:val="18"/>
                <w:szCs w:val="18"/>
                <w:b w:val="1"/>
                <w:bCs w:val="1"/>
                <w:color w:val="A6A6A6"/>
              </w:rPr>
              <w:t>Earnings Release 4Q / 2023</w:t>
            </w:r>
          </w:p>
        </w:tc>
        <w:tc>
          <w:tcPr>
            <w:tcW w:w="1060" w:type="dxa"/>
            <w:vAlign w:val="bottom"/>
            <w:shd w:val="clear" w:color="auto" w:fill="000000"/>
          </w:tcPr>
          <w:p>
            <w:pPr>
              <w:spacing w:after="0"/>
              <w:rPr>
                <w:sz w:val="24"/>
                <w:szCs w:val="24"/>
                <w:color w:val="auto"/>
              </w:rPr>
            </w:pPr>
          </w:p>
        </w:tc>
        <w:tc>
          <w:tcPr>
            <w:tcW w:w="4400" w:type="dxa"/>
            <w:vAlign w:val="bottom"/>
            <w:gridSpan w:val="5"/>
            <w:shd w:val="clear" w:color="auto" w:fill="000000"/>
          </w:tcPr>
          <w:p>
            <w:pPr>
              <w:ind w:left="660"/>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shd w:val="clear" w:color="auto" w:fill="000000"/>
          </w:tcPr>
          <w:p>
            <w:pPr>
              <w:spacing w:after="0"/>
              <w:rPr>
                <w:sz w:val="17"/>
                <w:szCs w:val="17"/>
                <w:color w:val="auto"/>
              </w:rPr>
            </w:pPr>
          </w:p>
        </w:tc>
        <w:tc>
          <w:tcPr>
            <w:tcW w:w="1780" w:type="dxa"/>
            <w:vAlign w:val="bottom"/>
            <w:shd w:val="clear" w:color="auto" w:fill="000000"/>
          </w:tcPr>
          <w:p>
            <w:pPr>
              <w:spacing w:after="0"/>
              <w:rPr>
                <w:sz w:val="17"/>
                <w:szCs w:val="17"/>
                <w:color w:val="auto"/>
              </w:rPr>
            </w:pPr>
          </w:p>
        </w:tc>
        <w:tc>
          <w:tcPr>
            <w:tcW w:w="1000" w:type="dxa"/>
            <w:vAlign w:val="bottom"/>
            <w:tcBorders>
              <w:right w:val="single" w:sz="8" w:color="auto"/>
            </w:tcBorders>
            <w:shd w:val="clear" w:color="auto" w:fill="000000"/>
          </w:tcPr>
          <w:p>
            <w:pPr>
              <w:spacing w:after="0"/>
              <w:rPr>
                <w:sz w:val="17"/>
                <w:szCs w:val="17"/>
                <w:color w:val="auto"/>
              </w:rPr>
            </w:pPr>
          </w:p>
        </w:tc>
        <w:tc>
          <w:tcPr>
            <w:tcW w:w="720" w:type="dxa"/>
            <w:vAlign w:val="bottom"/>
            <w:tcBorders>
              <w:right w:val="single" w:sz="8" w:color="auto"/>
            </w:tcBorders>
            <w:shd w:val="clear" w:color="auto" w:fill="000000"/>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060" w:type="dxa"/>
            <w:vAlign w:val="bottom"/>
            <w:shd w:val="clear" w:color="auto" w:fill="000000"/>
          </w:tcPr>
          <w:p>
            <w:pPr>
              <w:spacing w:after="0"/>
              <w:rPr>
                <w:sz w:val="17"/>
                <w:szCs w:val="17"/>
                <w:color w:val="auto"/>
              </w:rPr>
            </w:pPr>
          </w:p>
        </w:tc>
        <w:tc>
          <w:tcPr>
            <w:tcW w:w="760" w:type="dxa"/>
            <w:vAlign w:val="bottom"/>
            <w:tcBorders>
              <w:right w:val="single" w:sz="8" w:color="auto"/>
            </w:tcBorders>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1500" w:type="dxa"/>
            <w:vAlign w:val="bottom"/>
            <w:shd w:val="clear" w:color="auto" w:fill="000000"/>
          </w:tcPr>
          <w:p>
            <w:pPr>
              <w:spacing w:after="0"/>
              <w:rPr>
                <w:sz w:val="17"/>
                <w:szCs w:val="17"/>
                <w:color w:val="auto"/>
              </w:rPr>
            </w:pPr>
          </w:p>
        </w:tc>
        <w:tc>
          <w:tcPr>
            <w:tcW w:w="860" w:type="dxa"/>
            <w:vAlign w:val="bottom"/>
            <w:tcBorders>
              <w:right w:val="single" w:sz="8" w:color="auto"/>
            </w:tcBorders>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940" w:type="dxa"/>
            <w:vAlign w:val="bottom"/>
            <w:tcBorders>
              <w:left w:val="single" w:sz="8" w:color="E93BAB"/>
            </w:tcBorders>
            <w:gridSpan w:val="2"/>
            <w:shd w:val="clear" w:color="auto" w:fill="E93BAB"/>
          </w:tcPr>
          <w:p>
            <w:pPr>
              <w:jc w:val="right"/>
              <w:ind w:right="1710"/>
              <w:spacing w:after="0"/>
              <w:rPr>
                <w:sz w:val="20"/>
                <w:szCs w:val="20"/>
                <w:color w:val="auto"/>
              </w:rPr>
            </w:pPr>
            <w:r>
              <w:rPr>
                <w:rFonts w:ascii="Arial" w:cs="Arial" w:eastAsia="Arial" w:hAnsi="Arial"/>
                <w:sz w:val="18"/>
                <w:szCs w:val="18"/>
                <w:b w:val="1"/>
                <w:bCs w:val="1"/>
                <w:color w:val="FFFFFF"/>
              </w:rPr>
              <w:t>12. Appendix</w:t>
            </w:r>
          </w:p>
        </w:tc>
        <w:tc>
          <w:tcPr>
            <w:tcW w:w="1000" w:type="dxa"/>
            <w:vAlign w:val="bottom"/>
            <w:tcBorders>
              <w:right w:val="single" w:sz="8" w:color="E93BAB"/>
            </w:tcBorders>
            <w:shd w:val="clear" w:color="auto" w:fill="E93BAB"/>
          </w:tcPr>
          <w:p>
            <w:pPr>
              <w:spacing w:after="0"/>
              <w:rPr>
                <w:sz w:val="24"/>
                <w:szCs w:val="24"/>
                <w:color w:val="auto"/>
              </w:rPr>
            </w:pPr>
          </w:p>
        </w:tc>
        <w:tc>
          <w:tcPr>
            <w:tcW w:w="720" w:type="dxa"/>
            <w:vAlign w:val="bottom"/>
            <w:tcBorders>
              <w:right w:val="single" w:sz="8" w:color="E93BAB"/>
            </w:tcBorders>
            <w:shd w:val="clear" w:color="auto" w:fill="E93BAB"/>
          </w:tcPr>
          <w:p>
            <w:pPr>
              <w:spacing w:after="0"/>
              <w:rPr>
                <w:sz w:val="24"/>
                <w:szCs w:val="24"/>
                <w:color w:val="auto"/>
              </w:rPr>
            </w:pPr>
          </w:p>
        </w:tc>
        <w:tc>
          <w:tcPr>
            <w:tcW w:w="1140" w:type="dxa"/>
            <w:vAlign w:val="bottom"/>
            <w:shd w:val="clear" w:color="auto" w:fill="E93BAB"/>
          </w:tcPr>
          <w:p>
            <w:pPr>
              <w:spacing w:after="0"/>
              <w:rPr>
                <w:sz w:val="24"/>
                <w:szCs w:val="24"/>
                <w:color w:val="auto"/>
              </w:rPr>
            </w:pPr>
          </w:p>
        </w:tc>
        <w:tc>
          <w:tcPr>
            <w:tcW w:w="1060" w:type="dxa"/>
            <w:vAlign w:val="bottom"/>
            <w:shd w:val="clear" w:color="auto" w:fill="E93BAB"/>
          </w:tcPr>
          <w:p>
            <w:pPr>
              <w:spacing w:after="0"/>
              <w:rPr>
                <w:sz w:val="24"/>
                <w:szCs w:val="24"/>
                <w:color w:val="auto"/>
              </w:rPr>
            </w:pPr>
          </w:p>
        </w:tc>
        <w:tc>
          <w:tcPr>
            <w:tcW w:w="760" w:type="dxa"/>
            <w:vAlign w:val="bottom"/>
            <w:tcBorders>
              <w:right w:val="single" w:sz="8" w:color="E93BAB"/>
            </w:tcBorders>
            <w:shd w:val="clear" w:color="auto" w:fill="E93BAB"/>
          </w:tcPr>
          <w:p>
            <w:pPr>
              <w:spacing w:after="0"/>
              <w:rPr>
                <w:sz w:val="24"/>
                <w:szCs w:val="24"/>
                <w:color w:val="auto"/>
              </w:rPr>
            </w:pPr>
          </w:p>
        </w:tc>
        <w:tc>
          <w:tcPr>
            <w:tcW w:w="160" w:type="dxa"/>
            <w:vAlign w:val="bottom"/>
            <w:shd w:val="clear" w:color="auto" w:fill="E93BAB"/>
          </w:tcPr>
          <w:p>
            <w:pPr>
              <w:spacing w:after="0"/>
              <w:rPr>
                <w:sz w:val="24"/>
                <w:szCs w:val="24"/>
                <w:color w:val="auto"/>
              </w:rPr>
            </w:pPr>
          </w:p>
        </w:tc>
        <w:tc>
          <w:tcPr>
            <w:tcW w:w="1500" w:type="dxa"/>
            <w:vAlign w:val="bottom"/>
            <w:shd w:val="clear" w:color="auto" w:fill="E93BAB"/>
          </w:tcPr>
          <w:p>
            <w:pPr>
              <w:spacing w:after="0"/>
              <w:rPr>
                <w:sz w:val="24"/>
                <w:szCs w:val="24"/>
                <w:color w:val="auto"/>
              </w:rPr>
            </w:pPr>
          </w:p>
        </w:tc>
        <w:tc>
          <w:tcPr>
            <w:tcW w:w="860" w:type="dxa"/>
            <w:vAlign w:val="bottom"/>
            <w:tcBorders>
              <w:right w:val="single" w:sz="8" w:color="E93BAB"/>
            </w:tcBorders>
            <w:shd w:val="clear" w:color="auto" w:fill="E93BAB"/>
          </w:tcPr>
          <w:p>
            <w:pPr>
              <w:spacing w:after="0"/>
              <w:rPr>
                <w:sz w:val="24"/>
                <w:szCs w:val="24"/>
                <w:color w:val="auto"/>
              </w:rPr>
            </w:pPr>
          </w:p>
        </w:tc>
        <w:tc>
          <w:tcPr>
            <w:tcW w:w="1120" w:type="dxa"/>
            <w:vAlign w:val="bottom"/>
            <w:shd w:val="clear" w:color="auto" w:fill="E93BAB"/>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160" w:type="dxa"/>
            <w:vAlign w:val="bottom"/>
            <w:tcBorders>
              <w:left w:val="single" w:sz="8" w:color="E93BAB"/>
              <w:right w:val="single" w:sz="8" w:color="E93BAB"/>
            </w:tcBorders>
            <w:shd w:val="clear" w:color="auto" w:fill="E93BAB"/>
          </w:tcPr>
          <w:p>
            <w:pPr>
              <w:spacing w:after="0"/>
              <w:rPr>
                <w:sz w:val="8"/>
                <w:szCs w:val="8"/>
                <w:color w:val="auto"/>
              </w:rPr>
            </w:pPr>
          </w:p>
        </w:tc>
        <w:tc>
          <w:tcPr>
            <w:tcW w:w="2780" w:type="dxa"/>
            <w:vAlign w:val="bottom"/>
            <w:tcBorders>
              <w:right w:val="single" w:sz="8" w:color="E93BAB"/>
            </w:tcBorders>
            <w:gridSpan w:val="2"/>
            <w:shd w:val="clear" w:color="auto" w:fill="E93BAB"/>
          </w:tcPr>
          <w:p>
            <w:pPr>
              <w:spacing w:after="0"/>
              <w:rPr>
                <w:sz w:val="8"/>
                <w:szCs w:val="8"/>
                <w:color w:val="auto"/>
              </w:rPr>
            </w:pPr>
          </w:p>
        </w:tc>
        <w:tc>
          <w:tcPr>
            <w:tcW w:w="720" w:type="dxa"/>
            <w:vAlign w:val="bottom"/>
            <w:tcBorders>
              <w:right w:val="single" w:sz="8" w:color="E93BAB"/>
            </w:tcBorders>
            <w:shd w:val="clear" w:color="auto" w:fill="E93BAB"/>
          </w:tcPr>
          <w:p>
            <w:pPr>
              <w:spacing w:after="0"/>
              <w:rPr>
                <w:sz w:val="8"/>
                <w:szCs w:val="8"/>
                <w:color w:val="auto"/>
              </w:rPr>
            </w:pPr>
          </w:p>
        </w:tc>
        <w:tc>
          <w:tcPr>
            <w:tcW w:w="1140" w:type="dxa"/>
            <w:vAlign w:val="bottom"/>
            <w:shd w:val="clear" w:color="auto" w:fill="E93BAB"/>
          </w:tcPr>
          <w:p>
            <w:pPr>
              <w:spacing w:after="0"/>
              <w:rPr>
                <w:sz w:val="8"/>
                <w:szCs w:val="8"/>
                <w:color w:val="auto"/>
              </w:rPr>
            </w:pPr>
          </w:p>
        </w:tc>
        <w:tc>
          <w:tcPr>
            <w:tcW w:w="1060" w:type="dxa"/>
            <w:vAlign w:val="bottom"/>
            <w:shd w:val="clear" w:color="auto" w:fill="E93BAB"/>
          </w:tcPr>
          <w:p>
            <w:pPr>
              <w:spacing w:after="0"/>
              <w:rPr>
                <w:sz w:val="8"/>
                <w:szCs w:val="8"/>
                <w:color w:val="auto"/>
              </w:rPr>
            </w:pPr>
          </w:p>
        </w:tc>
        <w:tc>
          <w:tcPr>
            <w:tcW w:w="760" w:type="dxa"/>
            <w:vAlign w:val="bottom"/>
            <w:tcBorders>
              <w:right w:val="single" w:sz="8" w:color="E93BAB"/>
            </w:tcBorders>
            <w:shd w:val="clear" w:color="auto" w:fill="E93BAB"/>
          </w:tcPr>
          <w:p>
            <w:pPr>
              <w:spacing w:after="0"/>
              <w:rPr>
                <w:sz w:val="8"/>
                <w:szCs w:val="8"/>
                <w:color w:val="auto"/>
              </w:rPr>
            </w:pPr>
          </w:p>
        </w:tc>
        <w:tc>
          <w:tcPr>
            <w:tcW w:w="160" w:type="dxa"/>
            <w:vAlign w:val="bottom"/>
            <w:shd w:val="clear" w:color="auto" w:fill="E93BAB"/>
          </w:tcPr>
          <w:p>
            <w:pPr>
              <w:spacing w:after="0"/>
              <w:rPr>
                <w:sz w:val="8"/>
                <w:szCs w:val="8"/>
                <w:color w:val="auto"/>
              </w:rPr>
            </w:pPr>
          </w:p>
        </w:tc>
        <w:tc>
          <w:tcPr>
            <w:tcW w:w="1500" w:type="dxa"/>
            <w:vAlign w:val="bottom"/>
            <w:shd w:val="clear" w:color="auto" w:fill="E93BAB"/>
          </w:tcPr>
          <w:p>
            <w:pPr>
              <w:spacing w:after="0"/>
              <w:rPr>
                <w:sz w:val="8"/>
                <w:szCs w:val="8"/>
                <w:color w:val="auto"/>
              </w:rPr>
            </w:pPr>
          </w:p>
        </w:tc>
        <w:tc>
          <w:tcPr>
            <w:tcW w:w="860" w:type="dxa"/>
            <w:vAlign w:val="bottom"/>
            <w:tcBorders>
              <w:right w:val="single" w:sz="8" w:color="E93BAB"/>
            </w:tcBorders>
            <w:shd w:val="clear" w:color="auto" w:fill="E93BAB"/>
          </w:tcPr>
          <w:p>
            <w:pPr>
              <w:spacing w:after="0"/>
              <w:rPr>
                <w:sz w:val="8"/>
                <w:szCs w:val="8"/>
                <w:color w:val="auto"/>
              </w:rPr>
            </w:pPr>
          </w:p>
        </w:tc>
        <w:tc>
          <w:tcPr>
            <w:tcW w:w="1120" w:type="dxa"/>
            <w:vAlign w:val="bottom"/>
            <w:shd w:val="clear" w:color="auto" w:fill="E93BAB"/>
          </w:tcPr>
          <w:p>
            <w:pPr>
              <w:spacing w:after="0"/>
              <w:rPr>
                <w:sz w:val="8"/>
                <w:szCs w:val="8"/>
                <w:color w:val="auto"/>
              </w:rPr>
            </w:pPr>
          </w:p>
        </w:tc>
        <w:tc>
          <w:tcPr>
            <w:tcW w:w="0" w:type="dxa"/>
            <w:vAlign w:val="bottom"/>
          </w:tcPr>
          <w:p>
            <w:pPr>
              <w:spacing w:after="0"/>
              <w:rPr>
                <w:sz w:val="1"/>
                <w:szCs w:val="1"/>
                <w:color w:val="auto"/>
              </w:rPr>
            </w:pPr>
          </w:p>
        </w:tc>
      </w:tr>
      <w:tr>
        <w:trPr>
          <w:trHeight w:val="389"/>
        </w:trPr>
        <w:tc>
          <w:tcPr>
            <w:tcW w:w="3940" w:type="dxa"/>
            <w:vAlign w:val="bottom"/>
            <w:gridSpan w:val="3"/>
          </w:tcPr>
          <w:p>
            <w:pPr>
              <w:spacing w:after="0"/>
              <w:rPr>
                <w:sz w:val="20"/>
                <w:szCs w:val="20"/>
                <w:color w:val="auto"/>
              </w:rPr>
            </w:pPr>
            <w:r>
              <w:rPr>
                <w:rFonts w:ascii="Arial" w:cs="Arial" w:eastAsia="Arial" w:hAnsi="Arial"/>
                <w:sz w:val="16"/>
                <w:szCs w:val="16"/>
                <w:b w:val="1"/>
                <w:bCs w:val="1"/>
                <w:color w:val="auto"/>
              </w:rPr>
              <w:t>12.1.9. Glossary of Terms Under IFRS 17</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3"/>
          </w:tcPr>
          <w:p>
            <w:pPr>
              <w:spacing w:after="0"/>
              <w:rPr>
                <w:sz w:val="13"/>
                <w:szCs w:val="13"/>
                <w:color w:val="auto"/>
              </w:rPr>
            </w:pPr>
          </w:p>
        </w:tc>
        <w:tc>
          <w:tcPr>
            <w:tcW w:w="2520" w:type="dxa"/>
            <w:vAlign w:val="bottom"/>
            <w:tcBorders>
              <w:bottom w:val="single" w:sz="8" w:color="auto"/>
            </w:tcBorders>
            <w:gridSpan w:val="3"/>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40" w:type="dxa"/>
            <w:vAlign w:val="bottom"/>
            <w:tcBorders>
              <w:left w:val="single" w:sz="8" w:color="auto"/>
              <w:right w:val="single" w:sz="8" w:color="auto"/>
            </w:tcBorders>
            <w:gridSpan w:val="3"/>
            <w:vMerge w:val="restart"/>
            <w:shd w:val="clear" w:color="auto" w:fill="808080"/>
          </w:tcPr>
          <w:p>
            <w:pPr>
              <w:jc w:val="center"/>
              <w:spacing w:after="0"/>
              <w:rPr>
                <w:sz w:val="20"/>
                <w:szCs w:val="20"/>
                <w:color w:val="auto"/>
              </w:rPr>
            </w:pPr>
            <w:r>
              <w:rPr>
                <w:rFonts w:ascii="Arial" w:cs="Arial" w:eastAsia="Arial" w:hAnsi="Arial"/>
                <w:sz w:val="16"/>
                <w:szCs w:val="16"/>
                <w:color w:val="FFFFFF"/>
              </w:rPr>
              <w:t>Reserve for BEL (Best Estimate Liability) o</w:t>
            </w:r>
          </w:p>
        </w:tc>
        <w:tc>
          <w:tcPr>
            <w:tcW w:w="6200" w:type="dxa"/>
            <w:vAlign w:val="bottom"/>
            <w:tcBorders>
              <w:right w:val="single" w:sz="8" w:color="auto"/>
            </w:tcBorders>
            <w:gridSpan w:val="7"/>
          </w:tcPr>
          <w:p>
            <w:pPr>
              <w:ind w:left="80"/>
              <w:spacing w:after="0" w:line="183" w:lineRule="exact"/>
              <w:rPr>
                <w:sz w:val="20"/>
                <w:szCs w:val="20"/>
                <w:color w:val="auto"/>
              </w:rPr>
            </w:pPr>
            <w:r>
              <w:rPr>
                <w:rFonts w:ascii="Arial" w:cs="Arial" w:eastAsia="Arial" w:hAnsi="Arial"/>
                <w:sz w:val="16"/>
                <w:szCs w:val="16"/>
                <w:color w:val="auto"/>
              </w:rPr>
              <w:t>Represents the best estimate of the difference between payments for obligations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3940" w:type="dxa"/>
            <w:vAlign w:val="bottom"/>
            <w:tcBorders>
              <w:left w:val="single" w:sz="8" w:color="auto"/>
              <w:right w:val="single" w:sz="8" w:color="auto"/>
            </w:tcBorders>
            <w:gridSpan w:val="3"/>
            <w:vMerge w:val="continue"/>
            <w:shd w:val="clear" w:color="auto" w:fill="808080"/>
          </w:tcPr>
          <w:p>
            <w:pPr>
              <w:spacing w:after="0"/>
              <w:rPr>
                <w:sz w:val="8"/>
                <w:szCs w:val="8"/>
                <w:color w:val="auto"/>
              </w:rPr>
            </w:pPr>
          </w:p>
        </w:tc>
        <w:tc>
          <w:tcPr>
            <w:tcW w:w="6200" w:type="dxa"/>
            <w:vAlign w:val="bottom"/>
            <w:tcBorders>
              <w:right w:val="single" w:sz="8" w:color="auto"/>
            </w:tcBorders>
            <w:gridSpan w:val="7"/>
            <w:vMerge w:val="restart"/>
          </w:tcPr>
          <w:p>
            <w:pPr>
              <w:ind w:left="80"/>
              <w:spacing w:after="0" w:line="183" w:lineRule="exact"/>
              <w:rPr>
                <w:sz w:val="20"/>
                <w:szCs w:val="20"/>
                <w:color w:val="auto"/>
              </w:rPr>
            </w:pPr>
            <w:r>
              <w:rPr>
                <w:rFonts w:ascii="Arial" w:cs="Arial" w:eastAsia="Arial" w:hAnsi="Arial"/>
                <w:sz w:val="16"/>
                <w:szCs w:val="16"/>
                <w:color w:val="auto"/>
              </w:rPr>
              <w:t>(claims, income and expenses) and premiums, flowed and brought to present value</w:t>
            </w: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808080"/>
            </w:tcBorders>
            <w:shd w:val="clear" w:color="auto" w:fill="808080"/>
          </w:tcPr>
          <w:p>
            <w:pPr>
              <w:spacing w:after="0"/>
              <w:rPr>
                <w:sz w:val="7"/>
                <w:szCs w:val="7"/>
                <w:color w:val="auto"/>
              </w:rPr>
            </w:pPr>
          </w:p>
        </w:tc>
        <w:tc>
          <w:tcPr>
            <w:tcW w:w="1780" w:type="dxa"/>
            <w:vAlign w:val="bottom"/>
            <w:vMerge w:val="restart"/>
            <w:shd w:val="clear" w:color="auto" w:fill="808080"/>
          </w:tcPr>
          <w:p>
            <w:pPr>
              <w:jc w:val="center"/>
              <w:ind w:right="90"/>
              <w:spacing w:after="0"/>
              <w:rPr>
                <w:sz w:val="20"/>
                <w:szCs w:val="20"/>
                <w:color w:val="auto"/>
              </w:rPr>
            </w:pPr>
            <w:r>
              <w:rPr>
                <w:rFonts w:ascii="Arial" w:cs="Arial" w:eastAsia="Arial" w:hAnsi="Arial"/>
                <w:sz w:val="16"/>
                <w:szCs w:val="16"/>
                <w:color w:val="FFFFFF"/>
              </w:rPr>
              <w:t>Fulfillment Cashflows.</w:t>
            </w:r>
          </w:p>
        </w:tc>
        <w:tc>
          <w:tcPr>
            <w:tcW w:w="1000" w:type="dxa"/>
            <w:vAlign w:val="bottom"/>
            <w:tcBorders>
              <w:right w:val="single" w:sz="8" w:color="auto"/>
            </w:tcBorders>
            <w:shd w:val="clear" w:color="auto" w:fill="808080"/>
          </w:tcPr>
          <w:p>
            <w:pPr>
              <w:spacing w:after="0"/>
              <w:rPr>
                <w:sz w:val="7"/>
                <w:szCs w:val="7"/>
                <w:color w:val="auto"/>
              </w:rPr>
            </w:pPr>
          </w:p>
        </w:tc>
        <w:tc>
          <w:tcPr>
            <w:tcW w:w="6200" w:type="dxa"/>
            <w:vAlign w:val="bottom"/>
            <w:tcBorders>
              <w:right w:val="single" w:sz="8" w:color="auto"/>
            </w:tcBorders>
            <w:gridSpan w:val="7"/>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160" w:type="dxa"/>
            <w:vAlign w:val="bottom"/>
            <w:tcBorders>
              <w:left w:val="single" w:sz="8" w:color="auto"/>
              <w:right w:val="single" w:sz="8" w:color="808080"/>
            </w:tcBorders>
            <w:shd w:val="clear" w:color="auto" w:fill="808080"/>
          </w:tcPr>
          <w:p>
            <w:pPr>
              <w:spacing w:after="0"/>
              <w:rPr>
                <w:sz w:val="11"/>
                <w:szCs w:val="11"/>
                <w:color w:val="auto"/>
              </w:rPr>
            </w:pPr>
          </w:p>
        </w:tc>
        <w:tc>
          <w:tcPr>
            <w:tcW w:w="1780" w:type="dxa"/>
            <w:vAlign w:val="bottom"/>
            <w:vMerge w:val="continue"/>
            <w:shd w:val="clear" w:color="auto" w:fill="808080"/>
          </w:tcPr>
          <w:p>
            <w:pPr>
              <w:spacing w:after="0"/>
              <w:rPr>
                <w:sz w:val="11"/>
                <w:szCs w:val="11"/>
                <w:color w:val="auto"/>
              </w:rPr>
            </w:pPr>
          </w:p>
        </w:tc>
        <w:tc>
          <w:tcPr>
            <w:tcW w:w="1000" w:type="dxa"/>
            <w:vAlign w:val="bottom"/>
            <w:tcBorders>
              <w:right w:val="single" w:sz="8" w:color="auto"/>
            </w:tcBorders>
            <w:shd w:val="clear" w:color="auto" w:fill="808080"/>
          </w:tcPr>
          <w:p>
            <w:pPr>
              <w:spacing w:after="0"/>
              <w:rPr>
                <w:sz w:val="11"/>
                <w:szCs w:val="11"/>
                <w:color w:val="auto"/>
              </w:rPr>
            </w:pPr>
          </w:p>
        </w:tc>
        <w:tc>
          <w:tcPr>
            <w:tcW w:w="1860" w:type="dxa"/>
            <w:vAlign w:val="bottom"/>
            <w:gridSpan w:val="2"/>
            <w:vMerge w:val="restart"/>
          </w:tcPr>
          <w:p>
            <w:pPr>
              <w:ind w:left="80"/>
              <w:spacing w:after="0"/>
              <w:rPr>
                <w:sz w:val="20"/>
                <w:szCs w:val="20"/>
                <w:color w:val="auto"/>
              </w:rPr>
            </w:pPr>
            <w:r>
              <w:rPr>
                <w:rFonts w:ascii="Arial" w:cs="Arial" w:eastAsia="Arial" w:hAnsi="Arial"/>
                <w:sz w:val="16"/>
                <w:szCs w:val="16"/>
                <w:color w:val="auto"/>
              </w:rPr>
              <w:t>at the time of valuation.</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808080"/>
            </w:tcBorders>
            <w:shd w:val="clear" w:color="auto" w:fill="808080"/>
          </w:tcPr>
          <w:p>
            <w:pPr>
              <w:spacing w:after="0"/>
              <w:rPr>
                <w:sz w:val="7"/>
                <w:szCs w:val="7"/>
                <w:color w:val="auto"/>
              </w:rPr>
            </w:pPr>
          </w:p>
        </w:tc>
        <w:tc>
          <w:tcPr>
            <w:tcW w:w="1780" w:type="dxa"/>
            <w:vAlign w:val="bottom"/>
            <w:shd w:val="clear" w:color="auto" w:fill="808080"/>
          </w:tcPr>
          <w:p>
            <w:pPr>
              <w:spacing w:after="0"/>
              <w:rPr>
                <w:sz w:val="7"/>
                <w:szCs w:val="7"/>
                <w:color w:val="auto"/>
              </w:rPr>
            </w:pPr>
          </w:p>
        </w:tc>
        <w:tc>
          <w:tcPr>
            <w:tcW w:w="1000" w:type="dxa"/>
            <w:vAlign w:val="bottom"/>
            <w:tcBorders>
              <w:right w:val="single" w:sz="8" w:color="auto"/>
            </w:tcBorders>
            <w:shd w:val="clear" w:color="auto" w:fill="808080"/>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60" w:type="dxa"/>
            <w:vAlign w:val="bottom"/>
            <w:tcBorders>
              <w:left w:val="single" w:sz="8" w:color="auto"/>
              <w:bottom w:val="single" w:sz="8" w:color="auto"/>
              <w:right w:val="single" w:sz="8" w:color="808080"/>
            </w:tcBorders>
            <w:shd w:val="clear" w:color="auto" w:fill="808080"/>
          </w:tcPr>
          <w:p>
            <w:pPr>
              <w:spacing w:after="0"/>
              <w:rPr>
                <w:sz w:val="9"/>
                <w:szCs w:val="9"/>
                <w:color w:val="auto"/>
              </w:rPr>
            </w:pPr>
          </w:p>
        </w:tc>
        <w:tc>
          <w:tcPr>
            <w:tcW w:w="1780" w:type="dxa"/>
            <w:vAlign w:val="bottom"/>
            <w:tcBorders>
              <w:bottom w:val="single" w:sz="8" w:color="auto"/>
            </w:tcBorders>
            <w:shd w:val="clear" w:color="auto" w:fill="808080"/>
          </w:tcPr>
          <w:p>
            <w:pPr>
              <w:spacing w:after="0"/>
              <w:rPr>
                <w:sz w:val="9"/>
                <w:szCs w:val="9"/>
                <w:color w:val="auto"/>
              </w:rPr>
            </w:pPr>
          </w:p>
        </w:tc>
        <w:tc>
          <w:tcPr>
            <w:tcW w:w="1000" w:type="dxa"/>
            <w:vAlign w:val="bottom"/>
            <w:tcBorders>
              <w:bottom w:val="single" w:sz="8" w:color="auto"/>
              <w:right w:val="single" w:sz="8" w:color="auto"/>
            </w:tcBorders>
            <w:shd w:val="clear" w:color="auto" w:fill="808080"/>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520" w:type="dxa"/>
            <w:vAlign w:val="bottom"/>
            <w:tcBorders>
              <w:bottom w:val="single" w:sz="8" w:color="auto"/>
              <w:right w:val="single" w:sz="8" w:color="auto"/>
            </w:tcBorders>
            <w:gridSpan w:val="3"/>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940" w:type="dxa"/>
            <w:vAlign w:val="bottom"/>
            <w:tcBorders>
              <w:left w:val="single" w:sz="8" w:color="auto"/>
              <w:right w:val="single" w:sz="8" w:color="auto"/>
            </w:tcBorders>
            <w:gridSpan w:val="3"/>
            <w:vMerge w:val="restart"/>
            <w:shd w:val="clear" w:color="auto" w:fill="808080"/>
          </w:tcPr>
          <w:p>
            <w:pPr>
              <w:jc w:val="center"/>
              <w:spacing w:after="0"/>
              <w:rPr>
                <w:sz w:val="20"/>
                <w:szCs w:val="20"/>
                <w:color w:val="auto"/>
              </w:rPr>
            </w:pPr>
            <w:r>
              <w:rPr>
                <w:rFonts w:ascii="Arial" w:cs="Arial" w:eastAsia="Arial" w:hAnsi="Arial"/>
                <w:sz w:val="16"/>
                <w:szCs w:val="16"/>
                <w:color w:val="FFFFFF"/>
              </w:rPr>
              <w:t>Reserve for RA (risk Adjustment).</w:t>
            </w:r>
          </w:p>
        </w:tc>
        <w:tc>
          <w:tcPr>
            <w:tcW w:w="6200" w:type="dxa"/>
            <w:vAlign w:val="bottom"/>
            <w:tcBorders>
              <w:right w:val="single" w:sz="8" w:color="auto"/>
            </w:tcBorders>
            <w:gridSpan w:val="7"/>
          </w:tcPr>
          <w:p>
            <w:pPr>
              <w:ind w:left="80"/>
              <w:spacing w:after="0" w:line="183" w:lineRule="exact"/>
              <w:rPr>
                <w:sz w:val="20"/>
                <w:szCs w:val="20"/>
                <w:color w:val="auto"/>
              </w:rPr>
            </w:pPr>
            <w:r>
              <w:rPr>
                <w:rFonts w:ascii="Arial" w:cs="Arial" w:eastAsia="Arial" w:hAnsi="Arial"/>
                <w:sz w:val="16"/>
                <w:szCs w:val="16"/>
                <w:color w:val="auto"/>
              </w:rPr>
              <w:t>Represents the margin of prudence that will be used to cover deviations in the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940" w:type="dxa"/>
            <w:vAlign w:val="bottom"/>
            <w:tcBorders>
              <w:left w:val="single" w:sz="8" w:color="auto"/>
              <w:right w:val="single" w:sz="8" w:color="auto"/>
            </w:tcBorders>
            <w:gridSpan w:val="3"/>
            <w:vMerge w:val="continue"/>
            <w:shd w:val="clear" w:color="auto" w:fill="808080"/>
          </w:tcPr>
          <w:p>
            <w:pPr>
              <w:spacing w:after="0"/>
              <w:rPr>
                <w:sz w:val="11"/>
                <w:szCs w:val="11"/>
                <w:color w:val="auto"/>
              </w:rPr>
            </w:pPr>
          </w:p>
        </w:tc>
        <w:tc>
          <w:tcPr>
            <w:tcW w:w="5340" w:type="dxa"/>
            <w:vAlign w:val="bottom"/>
            <w:gridSpan w:val="6"/>
            <w:vMerge w:val="restart"/>
          </w:tcPr>
          <w:p>
            <w:pPr>
              <w:ind w:left="80"/>
              <w:spacing w:after="0"/>
              <w:rPr>
                <w:sz w:val="20"/>
                <w:szCs w:val="20"/>
                <w:color w:val="auto"/>
              </w:rPr>
            </w:pPr>
            <w:r>
              <w:rPr>
                <w:rFonts w:ascii="Arial" w:cs="Arial" w:eastAsia="Arial" w:hAnsi="Arial"/>
                <w:sz w:val="16"/>
                <w:szCs w:val="16"/>
                <w:color w:val="auto"/>
              </w:rPr>
              <w:t>underwriting parameters beyond changes in the interest rate.</w:t>
            </w:r>
          </w:p>
        </w:tc>
        <w:tc>
          <w:tcPr>
            <w:tcW w:w="8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808080"/>
            </w:tcBorders>
            <w:shd w:val="clear" w:color="auto" w:fill="808080"/>
          </w:tcPr>
          <w:p>
            <w:pPr>
              <w:spacing w:after="0"/>
              <w:rPr>
                <w:sz w:val="7"/>
                <w:szCs w:val="7"/>
                <w:color w:val="auto"/>
              </w:rPr>
            </w:pPr>
          </w:p>
        </w:tc>
        <w:tc>
          <w:tcPr>
            <w:tcW w:w="1780" w:type="dxa"/>
            <w:vAlign w:val="bottom"/>
            <w:shd w:val="clear" w:color="auto" w:fill="808080"/>
          </w:tcPr>
          <w:p>
            <w:pPr>
              <w:spacing w:after="0"/>
              <w:rPr>
                <w:sz w:val="7"/>
                <w:szCs w:val="7"/>
                <w:color w:val="auto"/>
              </w:rPr>
            </w:pPr>
          </w:p>
        </w:tc>
        <w:tc>
          <w:tcPr>
            <w:tcW w:w="1000" w:type="dxa"/>
            <w:vAlign w:val="bottom"/>
            <w:tcBorders>
              <w:right w:val="single" w:sz="8" w:color="auto"/>
            </w:tcBorders>
            <w:shd w:val="clear" w:color="auto" w:fill="808080"/>
          </w:tcPr>
          <w:p>
            <w:pPr>
              <w:spacing w:after="0"/>
              <w:rPr>
                <w:sz w:val="7"/>
                <w:szCs w:val="7"/>
                <w:color w:val="auto"/>
              </w:rPr>
            </w:pPr>
          </w:p>
        </w:tc>
        <w:tc>
          <w:tcPr>
            <w:tcW w:w="5340" w:type="dxa"/>
            <w:vAlign w:val="bottom"/>
            <w:gridSpan w:val="6"/>
            <w:vMerge w:val="continue"/>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60" w:type="dxa"/>
            <w:vAlign w:val="bottom"/>
            <w:tcBorders>
              <w:left w:val="single" w:sz="8" w:color="auto"/>
              <w:bottom w:val="single" w:sz="8" w:color="auto"/>
              <w:right w:val="single" w:sz="8" w:color="808080"/>
            </w:tcBorders>
            <w:shd w:val="clear" w:color="auto" w:fill="808080"/>
          </w:tcPr>
          <w:p>
            <w:pPr>
              <w:spacing w:after="0"/>
              <w:rPr>
                <w:sz w:val="9"/>
                <w:szCs w:val="9"/>
                <w:color w:val="auto"/>
              </w:rPr>
            </w:pPr>
          </w:p>
        </w:tc>
        <w:tc>
          <w:tcPr>
            <w:tcW w:w="1780" w:type="dxa"/>
            <w:vAlign w:val="bottom"/>
            <w:tcBorders>
              <w:bottom w:val="single" w:sz="8" w:color="auto"/>
            </w:tcBorders>
            <w:shd w:val="clear" w:color="auto" w:fill="808080"/>
          </w:tcPr>
          <w:p>
            <w:pPr>
              <w:spacing w:after="0"/>
              <w:rPr>
                <w:sz w:val="9"/>
                <w:szCs w:val="9"/>
                <w:color w:val="auto"/>
              </w:rPr>
            </w:pPr>
          </w:p>
        </w:tc>
        <w:tc>
          <w:tcPr>
            <w:tcW w:w="1000" w:type="dxa"/>
            <w:vAlign w:val="bottom"/>
            <w:tcBorders>
              <w:bottom w:val="single" w:sz="8" w:color="auto"/>
              <w:right w:val="single" w:sz="8" w:color="auto"/>
            </w:tcBorders>
            <w:shd w:val="clear" w:color="auto" w:fill="808080"/>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520" w:type="dxa"/>
            <w:vAlign w:val="bottom"/>
            <w:tcBorders>
              <w:bottom w:val="single" w:sz="8" w:color="auto"/>
              <w:right w:val="single" w:sz="8" w:color="auto"/>
            </w:tcBorders>
            <w:gridSpan w:val="3"/>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940" w:type="dxa"/>
            <w:vAlign w:val="bottom"/>
            <w:tcBorders>
              <w:left w:val="single" w:sz="8" w:color="auto"/>
              <w:right w:val="single" w:sz="8" w:color="auto"/>
            </w:tcBorders>
            <w:gridSpan w:val="3"/>
            <w:vMerge w:val="restart"/>
            <w:shd w:val="clear" w:color="auto" w:fill="808080"/>
          </w:tcPr>
          <w:p>
            <w:pPr>
              <w:jc w:val="center"/>
              <w:spacing w:after="0"/>
              <w:rPr>
                <w:sz w:val="20"/>
                <w:szCs w:val="20"/>
                <w:color w:val="auto"/>
              </w:rPr>
            </w:pPr>
            <w:r>
              <w:rPr>
                <w:rFonts w:ascii="Arial" w:cs="Arial" w:eastAsia="Arial" w:hAnsi="Arial"/>
                <w:sz w:val="16"/>
                <w:szCs w:val="16"/>
                <w:color w:val="FFFFFF"/>
              </w:rPr>
              <w:t>Reserve for CSM (Contractual Service Margin).</w:t>
            </w:r>
          </w:p>
        </w:tc>
        <w:tc>
          <w:tcPr>
            <w:tcW w:w="6200" w:type="dxa"/>
            <w:vAlign w:val="bottom"/>
            <w:tcBorders>
              <w:right w:val="single" w:sz="8" w:color="auto"/>
            </w:tcBorders>
            <w:gridSpan w:val="7"/>
          </w:tcPr>
          <w:p>
            <w:pPr>
              <w:ind w:left="80"/>
              <w:spacing w:after="0" w:line="183" w:lineRule="exact"/>
              <w:rPr>
                <w:sz w:val="20"/>
                <w:szCs w:val="20"/>
                <w:color w:val="auto"/>
              </w:rPr>
            </w:pPr>
            <w:r>
              <w:rPr>
                <w:rFonts w:ascii="Arial" w:cs="Arial" w:eastAsia="Arial" w:hAnsi="Arial"/>
                <w:sz w:val="16"/>
                <w:szCs w:val="16"/>
                <w:color w:val="auto"/>
              </w:rPr>
              <w:t>Represents the present value of future underwriting income (non-financial). Income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940" w:type="dxa"/>
            <w:vAlign w:val="bottom"/>
            <w:tcBorders>
              <w:left w:val="single" w:sz="8" w:color="auto"/>
              <w:right w:val="single" w:sz="8" w:color="auto"/>
            </w:tcBorders>
            <w:gridSpan w:val="3"/>
            <w:vMerge w:val="continue"/>
            <w:shd w:val="clear" w:color="auto" w:fill="808080"/>
          </w:tcPr>
          <w:p>
            <w:pPr>
              <w:spacing w:after="0"/>
              <w:rPr>
                <w:sz w:val="11"/>
                <w:szCs w:val="11"/>
                <w:color w:val="auto"/>
              </w:rPr>
            </w:pPr>
          </w:p>
        </w:tc>
        <w:tc>
          <w:tcPr>
            <w:tcW w:w="2920" w:type="dxa"/>
            <w:vAlign w:val="bottom"/>
            <w:gridSpan w:val="3"/>
            <w:vMerge w:val="restart"/>
          </w:tcPr>
          <w:p>
            <w:pPr>
              <w:ind w:left="80"/>
              <w:spacing w:after="0"/>
              <w:rPr>
                <w:sz w:val="20"/>
                <w:szCs w:val="20"/>
                <w:color w:val="auto"/>
              </w:rPr>
            </w:pPr>
            <w:r>
              <w:rPr>
                <w:rFonts w:ascii="Arial" w:cs="Arial" w:eastAsia="Arial" w:hAnsi="Arial"/>
                <w:sz w:val="16"/>
                <w:szCs w:val="16"/>
                <w:color w:val="auto"/>
              </w:rPr>
              <w:t>accrues over the life of the policy.</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808080"/>
            </w:tcBorders>
            <w:shd w:val="clear" w:color="auto" w:fill="808080"/>
          </w:tcPr>
          <w:p>
            <w:pPr>
              <w:spacing w:after="0"/>
              <w:rPr>
                <w:sz w:val="7"/>
                <w:szCs w:val="7"/>
                <w:color w:val="auto"/>
              </w:rPr>
            </w:pPr>
          </w:p>
        </w:tc>
        <w:tc>
          <w:tcPr>
            <w:tcW w:w="1780" w:type="dxa"/>
            <w:vAlign w:val="bottom"/>
            <w:shd w:val="clear" w:color="auto" w:fill="808080"/>
          </w:tcPr>
          <w:p>
            <w:pPr>
              <w:spacing w:after="0"/>
              <w:rPr>
                <w:sz w:val="7"/>
                <w:szCs w:val="7"/>
                <w:color w:val="auto"/>
              </w:rPr>
            </w:pPr>
          </w:p>
        </w:tc>
        <w:tc>
          <w:tcPr>
            <w:tcW w:w="1000" w:type="dxa"/>
            <w:vAlign w:val="bottom"/>
            <w:tcBorders>
              <w:right w:val="single" w:sz="8" w:color="auto"/>
            </w:tcBorders>
            <w:shd w:val="clear" w:color="auto" w:fill="808080"/>
          </w:tcPr>
          <w:p>
            <w:pPr>
              <w:spacing w:after="0"/>
              <w:rPr>
                <w:sz w:val="7"/>
                <w:szCs w:val="7"/>
                <w:color w:val="auto"/>
              </w:rPr>
            </w:pPr>
          </w:p>
        </w:tc>
        <w:tc>
          <w:tcPr>
            <w:tcW w:w="29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60" w:type="dxa"/>
            <w:vAlign w:val="bottom"/>
            <w:tcBorders>
              <w:left w:val="single" w:sz="8" w:color="auto"/>
              <w:bottom w:val="single" w:sz="8" w:color="auto"/>
              <w:right w:val="single" w:sz="8" w:color="808080"/>
            </w:tcBorders>
            <w:shd w:val="clear" w:color="auto" w:fill="808080"/>
          </w:tcPr>
          <w:p>
            <w:pPr>
              <w:spacing w:after="0"/>
              <w:rPr>
                <w:sz w:val="9"/>
                <w:szCs w:val="9"/>
                <w:color w:val="auto"/>
              </w:rPr>
            </w:pPr>
          </w:p>
        </w:tc>
        <w:tc>
          <w:tcPr>
            <w:tcW w:w="1780" w:type="dxa"/>
            <w:vAlign w:val="bottom"/>
            <w:tcBorders>
              <w:bottom w:val="single" w:sz="8" w:color="auto"/>
            </w:tcBorders>
            <w:shd w:val="clear" w:color="auto" w:fill="808080"/>
          </w:tcPr>
          <w:p>
            <w:pPr>
              <w:spacing w:after="0"/>
              <w:rPr>
                <w:sz w:val="9"/>
                <w:szCs w:val="9"/>
                <w:color w:val="auto"/>
              </w:rPr>
            </w:pPr>
          </w:p>
        </w:tc>
        <w:tc>
          <w:tcPr>
            <w:tcW w:w="1000" w:type="dxa"/>
            <w:vAlign w:val="bottom"/>
            <w:tcBorders>
              <w:bottom w:val="single" w:sz="8" w:color="auto"/>
              <w:right w:val="single" w:sz="8" w:color="auto"/>
            </w:tcBorders>
            <w:shd w:val="clear" w:color="auto" w:fill="808080"/>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2"/>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right w:val="single" w:sz="8" w:color="808080"/>
            </w:tcBorders>
            <w:shd w:val="clear" w:color="auto" w:fill="808080"/>
          </w:tcPr>
          <w:p>
            <w:pPr>
              <w:spacing w:after="0"/>
              <w:rPr>
                <w:sz w:val="15"/>
                <w:szCs w:val="15"/>
                <w:color w:val="auto"/>
              </w:rPr>
            </w:pPr>
          </w:p>
        </w:tc>
        <w:tc>
          <w:tcPr>
            <w:tcW w:w="1780" w:type="dxa"/>
            <w:vAlign w:val="bottom"/>
            <w:vMerge w:val="restart"/>
            <w:shd w:val="clear" w:color="auto" w:fill="808080"/>
          </w:tcPr>
          <w:p>
            <w:pPr>
              <w:jc w:val="center"/>
              <w:ind w:right="90"/>
              <w:spacing w:after="0"/>
              <w:rPr>
                <w:sz w:val="20"/>
                <w:szCs w:val="20"/>
                <w:color w:val="auto"/>
              </w:rPr>
            </w:pPr>
            <w:r>
              <w:rPr>
                <w:rFonts w:ascii="Arial" w:cs="Arial" w:eastAsia="Arial" w:hAnsi="Arial"/>
                <w:sz w:val="16"/>
                <w:szCs w:val="16"/>
                <w:color w:val="FFFFFF"/>
              </w:rPr>
              <w:t>Attributable Expenses</w:t>
            </w:r>
          </w:p>
        </w:tc>
        <w:tc>
          <w:tcPr>
            <w:tcW w:w="1000" w:type="dxa"/>
            <w:vAlign w:val="bottom"/>
            <w:tcBorders>
              <w:right w:val="single" w:sz="8" w:color="auto"/>
            </w:tcBorders>
            <w:shd w:val="clear" w:color="auto" w:fill="808080"/>
          </w:tcPr>
          <w:p>
            <w:pPr>
              <w:spacing w:after="0"/>
              <w:rPr>
                <w:sz w:val="15"/>
                <w:szCs w:val="15"/>
                <w:color w:val="auto"/>
              </w:rPr>
            </w:pPr>
          </w:p>
        </w:tc>
        <w:tc>
          <w:tcPr>
            <w:tcW w:w="2920" w:type="dxa"/>
            <w:vAlign w:val="bottom"/>
            <w:gridSpan w:val="3"/>
          </w:tcPr>
          <w:p>
            <w:pPr>
              <w:ind w:left="80"/>
              <w:spacing w:after="0" w:line="183" w:lineRule="exact"/>
              <w:rPr>
                <w:sz w:val="20"/>
                <w:szCs w:val="20"/>
                <w:color w:val="auto"/>
              </w:rPr>
            </w:pPr>
            <w:r>
              <w:rPr>
                <w:rFonts w:ascii="Arial" w:cs="Arial" w:eastAsia="Arial" w:hAnsi="Arial"/>
                <w:sz w:val="16"/>
                <w:szCs w:val="16"/>
                <w:color w:val="auto"/>
              </w:rPr>
              <w:t>Corresponds to necessary expenses</w:t>
            </w:r>
          </w:p>
        </w:tc>
        <w:tc>
          <w:tcPr>
            <w:tcW w:w="92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to place a</w:t>
            </w:r>
          </w:p>
        </w:tc>
        <w:tc>
          <w:tcPr>
            <w:tcW w:w="1500" w:type="dxa"/>
            <w:vAlign w:val="bottom"/>
          </w:tcPr>
          <w:p>
            <w:pPr>
              <w:ind w:left="40"/>
              <w:spacing w:after="0" w:line="183" w:lineRule="exact"/>
              <w:rPr>
                <w:sz w:val="20"/>
                <w:szCs w:val="20"/>
                <w:color w:val="auto"/>
              </w:rPr>
            </w:pPr>
            <w:r>
              <w:rPr>
                <w:rFonts w:ascii="Arial" w:cs="Arial" w:eastAsia="Arial" w:hAnsi="Arial"/>
                <w:sz w:val="16"/>
                <w:szCs w:val="16"/>
                <w:color w:val="auto"/>
              </w:rPr>
              <w:t>policy or maintain</w:t>
            </w:r>
          </w:p>
        </w:tc>
        <w:tc>
          <w:tcPr>
            <w:tcW w:w="86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rPr>
              <w:t>the same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160" w:type="dxa"/>
            <w:vAlign w:val="bottom"/>
            <w:tcBorders>
              <w:left w:val="single" w:sz="8" w:color="auto"/>
              <w:right w:val="single" w:sz="8" w:color="808080"/>
            </w:tcBorders>
            <w:shd w:val="clear" w:color="auto" w:fill="808080"/>
          </w:tcPr>
          <w:p>
            <w:pPr>
              <w:spacing w:after="0"/>
              <w:rPr>
                <w:sz w:val="11"/>
                <w:szCs w:val="11"/>
                <w:color w:val="auto"/>
              </w:rPr>
            </w:pPr>
          </w:p>
        </w:tc>
        <w:tc>
          <w:tcPr>
            <w:tcW w:w="1780" w:type="dxa"/>
            <w:vAlign w:val="bottom"/>
            <w:vMerge w:val="continue"/>
            <w:shd w:val="clear" w:color="auto" w:fill="808080"/>
          </w:tcPr>
          <w:p>
            <w:pPr>
              <w:spacing w:after="0"/>
              <w:rPr>
                <w:sz w:val="11"/>
                <w:szCs w:val="11"/>
                <w:color w:val="auto"/>
              </w:rPr>
            </w:pPr>
          </w:p>
        </w:tc>
        <w:tc>
          <w:tcPr>
            <w:tcW w:w="1000" w:type="dxa"/>
            <w:vAlign w:val="bottom"/>
            <w:tcBorders>
              <w:right w:val="single" w:sz="8" w:color="auto"/>
            </w:tcBorders>
            <w:shd w:val="clear" w:color="auto" w:fill="808080"/>
          </w:tcPr>
          <w:p>
            <w:pPr>
              <w:spacing w:after="0"/>
              <w:rPr>
                <w:sz w:val="11"/>
                <w:szCs w:val="11"/>
                <w:color w:val="auto"/>
              </w:rPr>
            </w:pPr>
          </w:p>
        </w:tc>
        <w:tc>
          <w:tcPr>
            <w:tcW w:w="3840" w:type="dxa"/>
            <w:vAlign w:val="bottom"/>
            <w:gridSpan w:val="5"/>
            <w:vMerge w:val="restart"/>
          </w:tcPr>
          <w:p>
            <w:pPr>
              <w:ind w:left="80"/>
              <w:spacing w:after="0"/>
              <w:rPr>
                <w:sz w:val="20"/>
                <w:szCs w:val="20"/>
                <w:color w:val="auto"/>
              </w:rPr>
            </w:pPr>
            <w:r>
              <w:rPr>
                <w:rFonts w:ascii="Arial" w:cs="Arial" w:eastAsia="Arial" w:hAnsi="Arial"/>
                <w:sz w:val="16"/>
                <w:szCs w:val="16"/>
                <w:color w:val="auto"/>
              </w:rPr>
              <w:t>throughout its term. It is part of insurance flows.</w:t>
            </w:r>
          </w:p>
        </w:tc>
        <w:tc>
          <w:tcPr>
            <w:tcW w:w="15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808080"/>
            </w:tcBorders>
            <w:shd w:val="clear" w:color="auto" w:fill="808080"/>
          </w:tcPr>
          <w:p>
            <w:pPr>
              <w:spacing w:after="0"/>
              <w:rPr>
                <w:sz w:val="7"/>
                <w:szCs w:val="7"/>
                <w:color w:val="auto"/>
              </w:rPr>
            </w:pPr>
          </w:p>
        </w:tc>
        <w:tc>
          <w:tcPr>
            <w:tcW w:w="1780" w:type="dxa"/>
            <w:vAlign w:val="bottom"/>
            <w:shd w:val="clear" w:color="auto" w:fill="808080"/>
          </w:tcPr>
          <w:p>
            <w:pPr>
              <w:spacing w:after="0"/>
              <w:rPr>
                <w:sz w:val="7"/>
                <w:szCs w:val="7"/>
                <w:color w:val="auto"/>
              </w:rPr>
            </w:pPr>
          </w:p>
        </w:tc>
        <w:tc>
          <w:tcPr>
            <w:tcW w:w="1000" w:type="dxa"/>
            <w:vAlign w:val="bottom"/>
            <w:tcBorders>
              <w:right w:val="single" w:sz="8" w:color="auto"/>
            </w:tcBorders>
            <w:shd w:val="clear" w:color="auto" w:fill="808080"/>
          </w:tcPr>
          <w:p>
            <w:pPr>
              <w:spacing w:after="0"/>
              <w:rPr>
                <w:sz w:val="7"/>
                <w:szCs w:val="7"/>
                <w:color w:val="auto"/>
              </w:rPr>
            </w:pPr>
          </w:p>
        </w:tc>
        <w:tc>
          <w:tcPr>
            <w:tcW w:w="3840" w:type="dxa"/>
            <w:vAlign w:val="bottom"/>
            <w:gridSpan w:val="5"/>
            <w:vMerge w:val="continue"/>
          </w:tcPr>
          <w:p>
            <w:pPr>
              <w:spacing w:after="0"/>
              <w:rPr>
                <w:sz w:val="7"/>
                <w:szCs w:val="7"/>
                <w:color w:val="auto"/>
              </w:rPr>
            </w:pPr>
          </w:p>
        </w:tc>
        <w:tc>
          <w:tcPr>
            <w:tcW w:w="150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60" w:type="dxa"/>
            <w:vAlign w:val="bottom"/>
            <w:tcBorders>
              <w:left w:val="single" w:sz="8" w:color="auto"/>
              <w:bottom w:val="single" w:sz="8" w:color="auto"/>
              <w:right w:val="single" w:sz="8" w:color="808080"/>
            </w:tcBorders>
            <w:shd w:val="clear" w:color="auto" w:fill="808080"/>
          </w:tcPr>
          <w:p>
            <w:pPr>
              <w:spacing w:after="0"/>
              <w:rPr>
                <w:sz w:val="9"/>
                <w:szCs w:val="9"/>
                <w:color w:val="auto"/>
              </w:rPr>
            </w:pPr>
          </w:p>
        </w:tc>
        <w:tc>
          <w:tcPr>
            <w:tcW w:w="1780" w:type="dxa"/>
            <w:vAlign w:val="bottom"/>
            <w:tcBorders>
              <w:bottom w:val="single" w:sz="8" w:color="auto"/>
            </w:tcBorders>
            <w:shd w:val="clear" w:color="auto" w:fill="808080"/>
          </w:tcPr>
          <w:p>
            <w:pPr>
              <w:spacing w:after="0"/>
              <w:rPr>
                <w:sz w:val="9"/>
                <w:szCs w:val="9"/>
                <w:color w:val="auto"/>
              </w:rPr>
            </w:pPr>
          </w:p>
        </w:tc>
        <w:tc>
          <w:tcPr>
            <w:tcW w:w="1000" w:type="dxa"/>
            <w:vAlign w:val="bottom"/>
            <w:tcBorders>
              <w:bottom w:val="single" w:sz="8" w:color="auto"/>
              <w:right w:val="single" w:sz="8" w:color="auto"/>
            </w:tcBorders>
            <w:shd w:val="clear" w:color="auto" w:fill="808080"/>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520" w:type="dxa"/>
            <w:vAlign w:val="bottom"/>
            <w:tcBorders>
              <w:bottom w:val="single" w:sz="8" w:color="auto"/>
              <w:right w:val="single" w:sz="8" w:color="auto"/>
            </w:tcBorders>
            <w:gridSpan w:val="3"/>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940" w:type="dxa"/>
            <w:vAlign w:val="bottom"/>
            <w:tcBorders>
              <w:left w:val="single" w:sz="8" w:color="auto"/>
              <w:right w:val="single" w:sz="8" w:color="auto"/>
            </w:tcBorders>
            <w:gridSpan w:val="3"/>
            <w:vMerge w:val="restart"/>
            <w:shd w:val="clear" w:color="auto" w:fill="808080"/>
          </w:tcPr>
          <w:p>
            <w:pPr>
              <w:jc w:val="center"/>
              <w:spacing w:after="0"/>
              <w:rPr>
                <w:sz w:val="20"/>
                <w:szCs w:val="20"/>
                <w:color w:val="auto"/>
              </w:rPr>
            </w:pPr>
            <w:r>
              <w:rPr>
                <w:rFonts w:ascii="Arial" w:cs="Arial" w:eastAsia="Arial" w:hAnsi="Arial"/>
                <w:sz w:val="16"/>
                <w:szCs w:val="16"/>
                <w:color w:val="FFFFFF"/>
              </w:rPr>
              <w:t>Financial Expense associated with the insurance</w:t>
            </w:r>
          </w:p>
        </w:tc>
        <w:tc>
          <w:tcPr>
            <w:tcW w:w="6200" w:type="dxa"/>
            <w:vAlign w:val="bottom"/>
            <w:tcBorders>
              <w:right w:val="single" w:sz="8" w:color="auto"/>
            </w:tcBorders>
            <w:gridSpan w:val="7"/>
          </w:tcPr>
          <w:p>
            <w:pPr>
              <w:ind w:left="80"/>
              <w:spacing w:after="0" w:line="183" w:lineRule="exact"/>
              <w:rPr>
                <w:sz w:val="20"/>
                <w:szCs w:val="20"/>
                <w:color w:val="auto"/>
              </w:rPr>
            </w:pPr>
            <w:r>
              <w:rPr>
                <w:rFonts w:ascii="Arial" w:cs="Arial" w:eastAsia="Arial" w:hAnsi="Arial"/>
                <w:sz w:val="16"/>
                <w:szCs w:val="16"/>
                <w:color w:val="auto"/>
              </w:rPr>
              <w:t>Represents interest accredited to reserves in the period after updating their present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3940" w:type="dxa"/>
            <w:vAlign w:val="bottom"/>
            <w:tcBorders>
              <w:left w:val="single" w:sz="8" w:color="auto"/>
              <w:right w:val="single" w:sz="8" w:color="auto"/>
            </w:tcBorders>
            <w:gridSpan w:val="3"/>
            <w:vMerge w:val="continue"/>
            <w:shd w:val="clear" w:color="auto" w:fill="808080"/>
          </w:tcPr>
          <w:p>
            <w:pPr>
              <w:spacing w:after="0"/>
              <w:rPr>
                <w:sz w:val="8"/>
                <w:szCs w:val="8"/>
                <w:color w:val="auto"/>
              </w:rPr>
            </w:pPr>
          </w:p>
        </w:tc>
        <w:tc>
          <w:tcPr>
            <w:tcW w:w="6200" w:type="dxa"/>
            <w:vAlign w:val="bottom"/>
            <w:tcBorders>
              <w:right w:val="single" w:sz="8" w:color="auto"/>
            </w:tcBorders>
            <w:gridSpan w:val="7"/>
            <w:vMerge w:val="restart"/>
          </w:tcPr>
          <w:p>
            <w:pPr>
              <w:ind w:left="80"/>
              <w:spacing w:after="0" w:line="183" w:lineRule="exact"/>
              <w:rPr>
                <w:sz w:val="20"/>
                <w:szCs w:val="20"/>
                <w:color w:val="auto"/>
              </w:rPr>
            </w:pPr>
            <w:r>
              <w:rPr>
                <w:rFonts w:ascii="Arial" w:cs="Arial" w:eastAsia="Arial" w:hAnsi="Arial"/>
                <w:sz w:val="16"/>
                <w:szCs w:val="16"/>
                <w:color w:val="auto"/>
              </w:rPr>
              <w:t>value. This concept was previously included in reserves under IFRS 4. IFRS 17</w:t>
            </w: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940" w:type="dxa"/>
            <w:vAlign w:val="bottom"/>
            <w:tcBorders>
              <w:left w:val="single" w:sz="8" w:color="auto"/>
              <w:right w:val="single" w:sz="8" w:color="auto"/>
            </w:tcBorders>
            <w:gridSpan w:val="3"/>
            <w:vMerge w:val="restart"/>
            <w:shd w:val="clear" w:color="auto" w:fill="808080"/>
          </w:tcPr>
          <w:p>
            <w:pPr>
              <w:jc w:val="center"/>
              <w:spacing w:after="0"/>
              <w:rPr>
                <w:sz w:val="20"/>
                <w:szCs w:val="20"/>
                <w:color w:val="auto"/>
              </w:rPr>
            </w:pPr>
            <w:r>
              <w:rPr>
                <w:rFonts w:ascii="Arial" w:cs="Arial" w:eastAsia="Arial" w:hAnsi="Arial"/>
                <w:sz w:val="16"/>
                <w:szCs w:val="16"/>
                <w:color w:val="FFFFFF"/>
              </w:rPr>
              <w:t>and reinsurance activity, net</w:t>
            </w:r>
          </w:p>
        </w:tc>
        <w:tc>
          <w:tcPr>
            <w:tcW w:w="6200" w:type="dxa"/>
            <w:vAlign w:val="bottom"/>
            <w:tcBorders>
              <w:right w:val="single" w:sz="8" w:color="auto"/>
            </w:tcBorders>
            <w:gridSpan w:val="7"/>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940" w:type="dxa"/>
            <w:vAlign w:val="bottom"/>
            <w:tcBorders>
              <w:left w:val="single" w:sz="8" w:color="auto"/>
              <w:right w:val="single" w:sz="8" w:color="auto"/>
            </w:tcBorders>
            <w:gridSpan w:val="3"/>
            <w:vMerge w:val="continue"/>
            <w:shd w:val="clear" w:color="auto" w:fill="808080"/>
          </w:tcPr>
          <w:p>
            <w:pPr>
              <w:spacing w:after="0"/>
              <w:rPr>
                <w:sz w:val="11"/>
                <w:szCs w:val="11"/>
                <w:color w:val="auto"/>
              </w:rPr>
            </w:pPr>
          </w:p>
        </w:tc>
        <w:tc>
          <w:tcPr>
            <w:tcW w:w="5340" w:type="dxa"/>
            <w:vAlign w:val="bottom"/>
            <w:gridSpan w:val="6"/>
            <w:vMerge w:val="restart"/>
          </w:tcPr>
          <w:p>
            <w:pPr>
              <w:ind w:left="80"/>
              <w:spacing w:after="0"/>
              <w:rPr>
                <w:sz w:val="20"/>
                <w:szCs w:val="20"/>
                <w:color w:val="auto"/>
              </w:rPr>
            </w:pPr>
            <w:r>
              <w:rPr>
                <w:rFonts w:ascii="Arial" w:cs="Arial" w:eastAsia="Arial" w:hAnsi="Arial"/>
                <w:sz w:val="16"/>
                <w:szCs w:val="16"/>
                <w:color w:val="auto"/>
              </w:rPr>
              <w:t>separates the financial component from the underwriting component.</w:t>
            </w:r>
          </w:p>
        </w:tc>
        <w:tc>
          <w:tcPr>
            <w:tcW w:w="8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808080"/>
            </w:tcBorders>
            <w:shd w:val="clear" w:color="auto" w:fill="808080"/>
          </w:tcPr>
          <w:p>
            <w:pPr>
              <w:spacing w:after="0"/>
              <w:rPr>
                <w:sz w:val="7"/>
                <w:szCs w:val="7"/>
                <w:color w:val="auto"/>
              </w:rPr>
            </w:pPr>
          </w:p>
        </w:tc>
        <w:tc>
          <w:tcPr>
            <w:tcW w:w="1780" w:type="dxa"/>
            <w:vAlign w:val="bottom"/>
            <w:shd w:val="clear" w:color="auto" w:fill="808080"/>
          </w:tcPr>
          <w:p>
            <w:pPr>
              <w:spacing w:after="0"/>
              <w:rPr>
                <w:sz w:val="7"/>
                <w:szCs w:val="7"/>
                <w:color w:val="auto"/>
              </w:rPr>
            </w:pPr>
          </w:p>
        </w:tc>
        <w:tc>
          <w:tcPr>
            <w:tcW w:w="1000" w:type="dxa"/>
            <w:vAlign w:val="bottom"/>
            <w:tcBorders>
              <w:right w:val="single" w:sz="8" w:color="auto"/>
            </w:tcBorders>
            <w:shd w:val="clear" w:color="auto" w:fill="808080"/>
          </w:tcPr>
          <w:p>
            <w:pPr>
              <w:spacing w:after="0"/>
              <w:rPr>
                <w:sz w:val="7"/>
                <w:szCs w:val="7"/>
                <w:color w:val="auto"/>
              </w:rPr>
            </w:pPr>
          </w:p>
        </w:tc>
        <w:tc>
          <w:tcPr>
            <w:tcW w:w="5340" w:type="dxa"/>
            <w:vAlign w:val="bottom"/>
            <w:gridSpan w:val="6"/>
            <w:vMerge w:val="continue"/>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60" w:type="dxa"/>
            <w:vAlign w:val="bottom"/>
            <w:tcBorders>
              <w:left w:val="single" w:sz="8" w:color="auto"/>
              <w:bottom w:val="single" w:sz="8" w:color="auto"/>
              <w:right w:val="single" w:sz="8" w:color="808080"/>
            </w:tcBorders>
            <w:shd w:val="clear" w:color="auto" w:fill="808080"/>
          </w:tcPr>
          <w:p>
            <w:pPr>
              <w:spacing w:after="0"/>
              <w:rPr>
                <w:sz w:val="9"/>
                <w:szCs w:val="9"/>
                <w:color w:val="auto"/>
              </w:rPr>
            </w:pPr>
          </w:p>
        </w:tc>
        <w:tc>
          <w:tcPr>
            <w:tcW w:w="1780" w:type="dxa"/>
            <w:vAlign w:val="bottom"/>
            <w:tcBorders>
              <w:bottom w:val="single" w:sz="8" w:color="auto"/>
            </w:tcBorders>
            <w:shd w:val="clear" w:color="auto" w:fill="808080"/>
          </w:tcPr>
          <w:p>
            <w:pPr>
              <w:spacing w:after="0"/>
              <w:rPr>
                <w:sz w:val="9"/>
                <w:szCs w:val="9"/>
                <w:color w:val="auto"/>
              </w:rPr>
            </w:pPr>
          </w:p>
        </w:tc>
        <w:tc>
          <w:tcPr>
            <w:tcW w:w="1000" w:type="dxa"/>
            <w:vAlign w:val="bottom"/>
            <w:tcBorders>
              <w:bottom w:val="single" w:sz="8" w:color="auto"/>
              <w:right w:val="single" w:sz="8" w:color="auto"/>
            </w:tcBorders>
            <w:shd w:val="clear" w:color="auto" w:fill="808080"/>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520" w:type="dxa"/>
            <w:vAlign w:val="bottom"/>
            <w:tcBorders>
              <w:bottom w:val="single" w:sz="8" w:color="auto"/>
              <w:right w:val="single" w:sz="8" w:color="auto"/>
            </w:tcBorders>
            <w:gridSpan w:val="3"/>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right w:val="single" w:sz="8" w:color="808080"/>
            </w:tcBorders>
            <w:shd w:val="clear" w:color="auto" w:fill="808080"/>
          </w:tcPr>
          <w:p>
            <w:pPr>
              <w:spacing w:after="0"/>
              <w:rPr>
                <w:sz w:val="15"/>
                <w:szCs w:val="15"/>
                <w:color w:val="auto"/>
              </w:rPr>
            </w:pPr>
          </w:p>
        </w:tc>
        <w:tc>
          <w:tcPr>
            <w:tcW w:w="1780" w:type="dxa"/>
            <w:vAlign w:val="bottom"/>
            <w:vMerge w:val="restart"/>
            <w:shd w:val="clear" w:color="auto" w:fill="808080"/>
          </w:tcPr>
          <w:p>
            <w:pPr>
              <w:jc w:val="center"/>
              <w:ind w:right="110"/>
              <w:spacing w:after="0"/>
              <w:rPr>
                <w:sz w:val="20"/>
                <w:szCs w:val="20"/>
                <w:color w:val="auto"/>
              </w:rPr>
            </w:pPr>
            <w:r>
              <w:rPr>
                <w:rFonts w:ascii="Arial" w:cs="Arial" w:eastAsia="Arial" w:hAnsi="Arial"/>
                <w:sz w:val="16"/>
                <w:szCs w:val="16"/>
                <w:color w:val="FFFFFF"/>
              </w:rPr>
              <w:t>Onerous Contracts</w:t>
            </w:r>
          </w:p>
        </w:tc>
        <w:tc>
          <w:tcPr>
            <w:tcW w:w="1000" w:type="dxa"/>
            <w:vAlign w:val="bottom"/>
            <w:tcBorders>
              <w:right w:val="single" w:sz="8" w:color="auto"/>
            </w:tcBorders>
            <w:shd w:val="clear" w:color="auto" w:fill="808080"/>
          </w:tcPr>
          <w:p>
            <w:pPr>
              <w:spacing w:after="0"/>
              <w:rPr>
                <w:sz w:val="15"/>
                <w:szCs w:val="15"/>
                <w:color w:val="auto"/>
              </w:rPr>
            </w:pPr>
          </w:p>
        </w:tc>
        <w:tc>
          <w:tcPr>
            <w:tcW w:w="6200" w:type="dxa"/>
            <w:vAlign w:val="bottom"/>
            <w:tcBorders>
              <w:right w:val="single" w:sz="8" w:color="auto"/>
            </w:tcBorders>
            <w:gridSpan w:val="7"/>
          </w:tcPr>
          <w:p>
            <w:pPr>
              <w:ind w:left="80"/>
              <w:spacing w:after="0" w:line="183" w:lineRule="exact"/>
              <w:rPr>
                <w:sz w:val="20"/>
                <w:szCs w:val="20"/>
                <w:color w:val="auto"/>
              </w:rPr>
            </w:pPr>
            <w:r>
              <w:rPr>
                <w:rFonts w:ascii="Arial" w:cs="Arial" w:eastAsia="Arial" w:hAnsi="Arial"/>
                <w:sz w:val="16"/>
                <w:szCs w:val="16"/>
                <w:color w:val="auto"/>
              </w:rPr>
              <w:t>The contracts that the company estimates will generate underwriting losses (not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160" w:type="dxa"/>
            <w:vAlign w:val="bottom"/>
            <w:tcBorders>
              <w:left w:val="single" w:sz="8" w:color="auto"/>
              <w:right w:val="single" w:sz="8" w:color="808080"/>
            </w:tcBorders>
            <w:shd w:val="clear" w:color="auto" w:fill="808080"/>
          </w:tcPr>
          <w:p>
            <w:pPr>
              <w:spacing w:after="0"/>
              <w:rPr>
                <w:sz w:val="11"/>
                <w:szCs w:val="11"/>
                <w:color w:val="auto"/>
              </w:rPr>
            </w:pPr>
          </w:p>
        </w:tc>
        <w:tc>
          <w:tcPr>
            <w:tcW w:w="1780" w:type="dxa"/>
            <w:vAlign w:val="bottom"/>
            <w:vMerge w:val="continue"/>
            <w:shd w:val="clear" w:color="auto" w:fill="808080"/>
          </w:tcPr>
          <w:p>
            <w:pPr>
              <w:spacing w:after="0"/>
              <w:rPr>
                <w:sz w:val="11"/>
                <w:szCs w:val="11"/>
                <w:color w:val="auto"/>
              </w:rPr>
            </w:pPr>
          </w:p>
        </w:tc>
        <w:tc>
          <w:tcPr>
            <w:tcW w:w="1000" w:type="dxa"/>
            <w:vAlign w:val="bottom"/>
            <w:tcBorders>
              <w:right w:val="single" w:sz="8" w:color="auto"/>
            </w:tcBorders>
            <w:shd w:val="clear" w:color="auto" w:fill="808080"/>
          </w:tcPr>
          <w:p>
            <w:pPr>
              <w:spacing w:after="0"/>
              <w:rPr>
                <w:sz w:val="11"/>
                <w:szCs w:val="11"/>
                <w:color w:val="auto"/>
              </w:rPr>
            </w:pPr>
          </w:p>
        </w:tc>
        <w:tc>
          <w:tcPr>
            <w:tcW w:w="3840" w:type="dxa"/>
            <w:vAlign w:val="bottom"/>
            <w:gridSpan w:val="5"/>
            <w:vMerge w:val="restart"/>
          </w:tcPr>
          <w:p>
            <w:pPr>
              <w:ind w:left="80"/>
              <w:spacing w:after="0"/>
              <w:rPr>
                <w:sz w:val="20"/>
                <w:szCs w:val="20"/>
                <w:color w:val="auto"/>
              </w:rPr>
            </w:pPr>
            <w:r>
              <w:rPr>
                <w:rFonts w:ascii="Arial" w:cs="Arial" w:eastAsia="Arial" w:hAnsi="Arial"/>
                <w:sz w:val="16"/>
                <w:szCs w:val="16"/>
                <w:color w:val="auto"/>
              </w:rPr>
              <w:t>including financial income) during the policy term.</w:t>
            </w:r>
          </w:p>
        </w:tc>
        <w:tc>
          <w:tcPr>
            <w:tcW w:w="15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808080"/>
            </w:tcBorders>
            <w:shd w:val="clear" w:color="auto" w:fill="808080"/>
          </w:tcPr>
          <w:p>
            <w:pPr>
              <w:spacing w:after="0"/>
              <w:rPr>
                <w:sz w:val="7"/>
                <w:szCs w:val="7"/>
                <w:color w:val="auto"/>
              </w:rPr>
            </w:pPr>
          </w:p>
        </w:tc>
        <w:tc>
          <w:tcPr>
            <w:tcW w:w="1780" w:type="dxa"/>
            <w:vAlign w:val="bottom"/>
            <w:shd w:val="clear" w:color="auto" w:fill="808080"/>
          </w:tcPr>
          <w:p>
            <w:pPr>
              <w:spacing w:after="0"/>
              <w:rPr>
                <w:sz w:val="7"/>
                <w:szCs w:val="7"/>
                <w:color w:val="auto"/>
              </w:rPr>
            </w:pPr>
          </w:p>
        </w:tc>
        <w:tc>
          <w:tcPr>
            <w:tcW w:w="1000" w:type="dxa"/>
            <w:vAlign w:val="bottom"/>
            <w:tcBorders>
              <w:right w:val="single" w:sz="8" w:color="auto"/>
            </w:tcBorders>
            <w:shd w:val="clear" w:color="auto" w:fill="808080"/>
          </w:tcPr>
          <w:p>
            <w:pPr>
              <w:spacing w:after="0"/>
              <w:rPr>
                <w:sz w:val="7"/>
                <w:szCs w:val="7"/>
                <w:color w:val="auto"/>
              </w:rPr>
            </w:pPr>
          </w:p>
        </w:tc>
        <w:tc>
          <w:tcPr>
            <w:tcW w:w="3840" w:type="dxa"/>
            <w:vAlign w:val="bottom"/>
            <w:gridSpan w:val="5"/>
            <w:vMerge w:val="continue"/>
          </w:tcPr>
          <w:p>
            <w:pPr>
              <w:spacing w:after="0"/>
              <w:rPr>
                <w:sz w:val="7"/>
                <w:szCs w:val="7"/>
                <w:color w:val="auto"/>
              </w:rPr>
            </w:pPr>
          </w:p>
        </w:tc>
        <w:tc>
          <w:tcPr>
            <w:tcW w:w="150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60" w:type="dxa"/>
            <w:vAlign w:val="bottom"/>
            <w:tcBorders>
              <w:left w:val="single" w:sz="8" w:color="auto"/>
              <w:bottom w:val="single" w:sz="8" w:color="auto"/>
              <w:right w:val="single" w:sz="8" w:color="808080"/>
            </w:tcBorders>
            <w:shd w:val="clear" w:color="auto" w:fill="808080"/>
          </w:tcPr>
          <w:p>
            <w:pPr>
              <w:spacing w:after="0"/>
              <w:rPr>
                <w:sz w:val="9"/>
                <w:szCs w:val="9"/>
                <w:color w:val="auto"/>
              </w:rPr>
            </w:pPr>
          </w:p>
        </w:tc>
        <w:tc>
          <w:tcPr>
            <w:tcW w:w="1780" w:type="dxa"/>
            <w:vAlign w:val="bottom"/>
            <w:tcBorders>
              <w:bottom w:val="single" w:sz="8" w:color="auto"/>
            </w:tcBorders>
            <w:shd w:val="clear" w:color="auto" w:fill="808080"/>
          </w:tcPr>
          <w:p>
            <w:pPr>
              <w:spacing w:after="0"/>
              <w:rPr>
                <w:sz w:val="9"/>
                <w:szCs w:val="9"/>
                <w:color w:val="auto"/>
              </w:rPr>
            </w:pPr>
          </w:p>
        </w:tc>
        <w:tc>
          <w:tcPr>
            <w:tcW w:w="1000" w:type="dxa"/>
            <w:vAlign w:val="bottom"/>
            <w:tcBorders>
              <w:bottom w:val="single" w:sz="8" w:color="auto"/>
              <w:right w:val="single" w:sz="8" w:color="auto"/>
            </w:tcBorders>
            <w:shd w:val="clear" w:color="auto" w:fill="808080"/>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1"/>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 Physical Point of contact</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60" w:type="dxa"/>
            <w:vAlign w:val="bottom"/>
            <w:tcBorders>
              <w:right w:val="single" w:sz="8" w:color="auto"/>
            </w:tcBorders>
          </w:tcPr>
          <w:p>
            <w:pPr>
              <w:spacing w:after="0"/>
              <w:rPr>
                <w:sz w:val="16"/>
                <w:szCs w:val="16"/>
                <w:color w:val="auto"/>
              </w:rPr>
            </w:pPr>
          </w:p>
        </w:tc>
        <w:tc>
          <w:tcPr>
            <w:tcW w:w="1780" w:type="dxa"/>
            <w:vAlign w:val="bottom"/>
            <w:shd w:val="clear" w:color="auto" w:fill="2AD2C9"/>
          </w:tcPr>
          <w:p>
            <w:pPr>
              <w:ind w:left="40"/>
              <w:spacing w:after="0" w:line="188" w:lineRule="exact"/>
              <w:rPr>
                <w:sz w:val="20"/>
                <w:szCs w:val="20"/>
                <w:color w:val="auto"/>
              </w:rPr>
            </w:pPr>
            <w:r>
              <w:rPr>
                <w:rFonts w:ascii="Arial" w:cs="Arial" w:eastAsia="Arial" w:hAnsi="Arial"/>
                <w:sz w:val="13"/>
                <w:szCs w:val="13"/>
                <w:b w:val="1"/>
                <w:bCs w:val="1"/>
                <w:color w:val="FFFFFF"/>
                <w:w w:val="96"/>
              </w:rPr>
              <w:t xml:space="preserve">Physical Point of Contact </w:t>
            </w:r>
            <w:r>
              <w:rPr>
                <w:rFonts w:ascii="Arial" w:cs="Arial" w:eastAsia="Arial" w:hAnsi="Arial"/>
                <w:sz w:val="21"/>
                <w:szCs w:val="21"/>
                <w:b w:val="1"/>
                <w:bCs w:val="1"/>
                <w:color w:val="FFFFFF"/>
                <w:w w:val="96"/>
                <w:vertAlign w:val="superscript"/>
              </w:rPr>
              <w:t>(1)</w:t>
            </w:r>
          </w:p>
        </w:tc>
        <w:tc>
          <w:tcPr>
            <w:tcW w:w="1000" w:type="dxa"/>
            <w:vAlign w:val="bottom"/>
            <w:tcBorders>
              <w:right w:val="single" w:sz="8" w:color="2AD2C9"/>
            </w:tcBorders>
            <w:shd w:val="clear" w:color="auto" w:fill="2AD2C9"/>
          </w:tcPr>
          <w:p>
            <w:pPr>
              <w:spacing w:after="0"/>
              <w:rPr>
                <w:sz w:val="16"/>
                <w:szCs w:val="16"/>
                <w:color w:val="auto"/>
              </w:rPr>
            </w:pPr>
          </w:p>
        </w:tc>
        <w:tc>
          <w:tcPr>
            <w:tcW w:w="720" w:type="dxa"/>
            <w:vAlign w:val="bottom"/>
            <w:tcBorders>
              <w:right w:val="single" w:sz="8" w:color="auto"/>
            </w:tcBorders>
            <w:shd w:val="clear" w:color="auto" w:fill="2AD2C9"/>
          </w:tcPr>
          <w:p>
            <w:pPr>
              <w:spacing w:after="0"/>
              <w:rPr>
                <w:sz w:val="16"/>
                <w:szCs w:val="16"/>
                <w:color w:val="auto"/>
              </w:rPr>
            </w:pPr>
          </w:p>
        </w:tc>
        <w:tc>
          <w:tcPr>
            <w:tcW w:w="1140" w:type="dxa"/>
            <w:vAlign w:val="bottom"/>
            <w:shd w:val="clear" w:color="auto" w:fill="2AD2C9"/>
          </w:tcPr>
          <w:p>
            <w:pPr>
              <w:spacing w:after="0"/>
              <w:rPr>
                <w:sz w:val="16"/>
                <w:szCs w:val="16"/>
                <w:color w:val="auto"/>
              </w:rPr>
            </w:pPr>
          </w:p>
        </w:tc>
        <w:tc>
          <w:tcPr>
            <w:tcW w:w="1060" w:type="dxa"/>
            <w:vAlign w:val="bottom"/>
            <w:shd w:val="clear" w:color="auto" w:fill="2AD2C9"/>
          </w:tcPr>
          <w:p>
            <w:pPr>
              <w:jc w:val="center"/>
              <w:ind w:right="355"/>
              <w:spacing w:after="0"/>
              <w:rPr>
                <w:sz w:val="20"/>
                <w:szCs w:val="20"/>
                <w:color w:val="auto"/>
              </w:rPr>
            </w:pPr>
            <w:r>
              <w:rPr>
                <w:rFonts w:ascii="Arial" w:cs="Arial" w:eastAsia="Arial" w:hAnsi="Arial"/>
                <w:sz w:val="13"/>
                <w:szCs w:val="13"/>
                <w:b w:val="1"/>
                <w:bCs w:val="1"/>
                <w:color w:val="FFFFFF"/>
                <w:w w:val="98"/>
              </w:rPr>
              <w:t>As of</w:t>
            </w:r>
          </w:p>
        </w:tc>
        <w:tc>
          <w:tcPr>
            <w:tcW w:w="760" w:type="dxa"/>
            <w:vAlign w:val="bottom"/>
            <w:tcBorders>
              <w:right w:val="single" w:sz="8" w:color="auto"/>
            </w:tcBorders>
            <w:shd w:val="clear" w:color="auto" w:fill="2AD2C9"/>
          </w:tcPr>
          <w:p>
            <w:pPr>
              <w:spacing w:after="0"/>
              <w:rPr>
                <w:sz w:val="16"/>
                <w:szCs w:val="16"/>
                <w:color w:val="auto"/>
              </w:rPr>
            </w:pPr>
          </w:p>
        </w:tc>
        <w:tc>
          <w:tcPr>
            <w:tcW w:w="160" w:type="dxa"/>
            <w:vAlign w:val="bottom"/>
            <w:shd w:val="clear" w:color="auto" w:fill="2AD2C9"/>
          </w:tcPr>
          <w:p>
            <w:pPr>
              <w:spacing w:after="0"/>
              <w:rPr>
                <w:sz w:val="16"/>
                <w:szCs w:val="16"/>
                <w:color w:val="auto"/>
              </w:rPr>
            </w:pPr>
          </w:p>
        </w:tc>
        <w:tc>
          <w:tcPr>
            <w:tcW w:w="1500" w:type="dxa"/>
            <w:vAlign w:val="bottom"/>
            <w:shd w:val="clear" w:color="auto" w:fill="2AD2C9"/>
          </w:tcPr>
          <w:p>
            <w:pPr>
              <w:ind w:left="620"/>
              <w:spacing w:after="0"/>
              <w:rPr>
                <w:sz w:val="20"/>
                <w:szCs w:val="20"/>
                <w:color w:val="auto"/>
              </w:rPr>
            </w:pPr>
            <w:r>
              <w:rPr>
                <w:rFonts w:ascii="Arial" w:cs="Arial" w:eastAsia="Arial" w:hAnsi="Arial"/>
                <w:sz w:val="13"/>
                <w:szCs w:val="13"/>
                <w:b w:val="1"/>
                <w:bCs w:val="1"/>
                <w:color w:val="FFFFFF"/>
                <w:w w:val="96"/>
              </w:rPr>
              <w:t>change (units)</w:t>
            </w:r>
          </w:p>
        </w:tc>
        <w:tc>
          <w:tcPr>
            <w:tcW w:w="860" w:type="dxa"/>
            <w:vAlign w:val="bottom"/>
            <w:tcBorders>
              <w:right w:val="single" w:sz="8" w:color="auto"/>
            </w:tcBorders>
            <w:shd w:val="clear" w:color="auto" w:fill="2AD2C9"/>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160" w:type="dxa"/>
            <w:vAlign w:val="bottom"/>
            <w:tcBorders>
              <w:right w:val="single" w:sz="8" w:color="auto"/>
            </w:tcBorders>
          </w:tcPr>
          <w:p>
            <w:pPr>
              <w:spacing w:after="0"/>
              <w:rPr>
                <w:sz w:val="12"/>
                <w:szCs w:val="12"/>
                <w:color w:val="auto"/>
              </w:rPr>
            </w:pPr>
          </w:p>
        </w:tc>
        <w:tc>
          <w:tcPr>
            <w:tcW w:w="1780" w:type="dxa"/>
            <w:vAlign w:val="bottom"/>
            <w:tcBorders>
              <w:bottom w:val="single" w:sz="8" w:color="auto"/>
            </w:tcBorders>
            <w:shd w:val="clear" w:color="auto" w:fill="2AD2C9"/>
          </w:tcPr>
          <w:p>
            <w:pPr>
              <w:ind w:left="40"/>
              <w:spacing w:after="0" w:line="146" w:lineRule="exact"/>
              <w:rPr>
                <w:sz w:val="20"/>
                <w:szCs w:val="20"/>
                <w:color w:val="auto"/>
              </w:rPr>
            </w:pPr>
            <w:r>
              <w:rPr>
                <w:rFonts w:ascii="Arial" w:cs="Arial" w:eastAsia="Arial" w:hAnsi="Arial"/>
                <w:sz w:val="13"/>
                <w:szCs w:val="13"/>
                <w:b w:val="1"/>
                <w:bCs w:val="1"/>
                <w:color w:val="FFFFFF"/>
              </w:rPr>
              <w:t>(Units)</w:t>
            </w:r>
          </w:p>
        </w:tc>
        <w:tc>
          <w:tcPr>
            <w:tcW w:w="1000" w:type="dxa"/>
            <w:vAlign w:val="bottom"/>
            <w:tcBorders>
              <w:bottom w:val="single" w:sz="8" w:color="auto"/>
              <w:right w:val="single" w:sz="8" w:color="2AD2C9"/>
            </w:tcBorders>
            <w:shd w:val="clear" w:color="auto" w:fill="2AD2C9"/>
          </w:tcPr>
          <w:p>
            <w:pPr>
              <w:spacing w:after="0"/>
              <w:rPr>
                <w:sz w:val="12"/>
                <w:szCs w:val="12"/>
                <w:color w:val="auto"/>
              </w:rPr>
            </w:pPr>
          </w:p>
        </w:tc>
        <w:tc>
          <w:tcPr>
            <w:tcW w:w="720" w:type="dxa"/>
            <w:vAlign w:val="bottom"/>
            <w:tcBorders>
              <w:bottom w:val="single" w:sz="8" w:color="auto"/>
              <w:right w:val="single" w:sz="8" w:color="auto"/>
            </w:tcBorders>
            <w:shd w:val="clear" w:color="auto" w:fill="2AD2C9"/>
          </w:tcPr>
          <w:p>
            <w:pPr>
              <w:spacing w:after="0"/>
              <w:rPr>
                <w:sz w:val="12"/>
                <w:szCs w:val="12"/>
                <w:color w:val="auto"/>
              </w:rPr>
            </w:pPr>
          </w:p>
        </w:tc>
        <w:tc>
          <w:tcPr>
            <w:tcW w:w="1140" w:type="dxa"/>
            <w:vAlign w:val="bottom"/>
            <w:tcBorders>
              <w:bottom w:val="single" w:sz="8" w:color="auto"/>
            </w:tcBorders>
            <w:shd w:val="clear" w:color="auto" w:fill="2AD2C9"/>
          </w:tcPr>
          <w:p>
            <w:pPr>
              <w:ind w:left="260"/>
              <w:spacing w:after="0" w:line="146" w:lineRule="exact"/>
              <w:rPr>
                <w:sz w:val="20"/>
                <w:szCs w:val="20"/>
                <w:color w:val="auto"/>
              </w:rPr>
            </w:pPr>
            <w:r>
              <w:rPr>
                <w:rFonts w:ascii="Arial" w:cs="Arial" w:eastAsia="Arial" w:hAnsi="Arial"/>
                <w:sz w:val="13"/>
                <w:szCs w:val="13"/>
                <w:b w:val="1"/>
                <w:bCs w:val="1"/>
                <w:color w:val="FFFFFF"/>
              </w:rPr>
              <w:t>Dec 22</w:t>
            </w:r>
          </w:p>
        </w:tc>
        <w:tc>
          <w:tcPr>
            <w:tcW w:w="1060" w:type="dxa"/>
            <w:vAlign w:val="bottom"/>
            <w:tcBorders>
              <w:bottom w:val="single" w:sz="8" w:color="auto"/>
            </w:tcBorders>
            <w:shd w:val="clear" w:color="auto" w:fill="2AD2C9"/>
          </w:tcPr>
          <w:p>
            <w:pPr>
              <w:jc w:val="center"/>
              <w:ind w:right="375"/>
              <w:spacing w:after="0" w:line="146" w:lineRule="exact"/>
              <w:rPr>
                <w:sz w:val="20"/>
                <w:szCs w:val="20"/>
                <w:color w:val="auto"/>
              </w:rPr>
            </w:pPr>
            <w:r>
              <w:rPr>
                <w:rFonts w:ascii="Arial" w:cs="Arial" w:eastAsia="Arial" w:hAnsi="Arial"/>
                <w:sz w:val="13"/>
                <w:szCs w:val="13"/>
                <w:b w:val="1"/>
                <w:bCs w:val="1"/>
                <w:color w:val="FFFFFF"/>
              </w:rPr>
              <w:t>Sep 23</w:t>
            </w:r>
          </w:p>
        </w:tc>
        <w:tc>
          <w:tcPr>
            <w:tcW w:w="760" w:type="dxa"/>
            <w:vAlign w:val="bottom"/>
            <w:tcBorders>
              <w:bottom w:val="single" w:sz="8" w:color="auto"/>
              <w:right w:val="single" w:sz="8" w:color="auto"/>
            </w:tcBorders>
            <w:shd w:val="clear" w:color="auto" w:fill="2AD2C9"/>
          </w:tcPr>
          <w:p>
            <w:pPr>
              <w:ind w:left="40"/>
              <w:spacing w:after="0" w:line="146" w:lineRule="exact"/>
              <w:rPr>
                <w:sz w:val="20"/>
                <w:szCs w:val="20"/>
                <w:color w:val="auto"/>
              </w:rPr>
            </w:pPr>
            <w:r>
              <w:rPr>
                <w:rFonts w:ascii="Arial" w:cs="Arial" w:eastAsia="Arial" w:hAnsi="Arial"/>
                <w:sz w:val="13"/>
                <w:szCs w:val="13"/>
                <w:b w:val="1"/>
                <w:bCs w:val="1"/>
                <w:color w:val="FFFFFF"/>
              </w:rPr>
              <w:t>Dec 23</w:t>
            </w:r>
          </w:p>
        </w:tc>
        <w:tc>
          <w:tcPr>
            <w:tcW w:w="160" w:type="dxa"/>
            <w:vAlign w:val="bottom"/>
            <w:tcBorders>
              <w:bottom w:val="single" w:sz="8" w:color="auto"/>
            </w:tcBorders>
            <w:shd w:val="clear" w:color="auto" w:fill="2AD2C9"/>
          </w:tcPr>
          <w:p>
            <w:pPr>
              <w:spacing w:after="0"/>
              <w:rPr>
                <w:sz w:val="12"/>
                <w:szCs w:val="12"/>
                <w:color w:val="auto"/>
              </w:rPr>
            </w:pPr>
          </w:p>
        </w:tc>
        <w:tc>
          <w:tcPr>
            <w:tcW w:w="1500" w:type="dxa"/>
            <w:vAlign w:val="bottom"/>
            <w:tcBorders>
              <w:bottom w:val="single" w:sz="8" w:color="auto"/>
            </w:tcBorders>
            <w:shd w:val="clear" w:color="auto" w:fill="2AD2C9"/>
          </w:tcPr>
          <w:p>
            <w:pPr>
              <w:ind w:left="320"/>
              <w:spacing w:after="0" w:line="146" w:lineRule="exact"/>
              <w:rPr>
                <w:sz w:val="20"/>
                <w:szCs w:val="20"/>
                <w:color w:val="auto"/>
              </w:rPr>
            </w:pPr>
            <w:r>
              <w:rPr>
                <w:rFonts w:ascii="Arial" w:cs="Arial" w:eastAsia="Arial" w:hAnsi="Arial"/>
                <w:sz w:val="13"/>
                <w:szCs w:val="13"/>
                <w:b w:val="1"/>
                <w:bCs w:val="1"/>
                <w:color w:val="FFFFFF"/>
              </w:rPr>
              <w:t>QoQ</w:t>
            </w:r>
          </w:p>
        </w:tc>
        <w:tc>
          <w:tcPr>
            <w:tcW w:w="860" w:type="dxa"/>
            <w:vAlign w:val="bottom"/>
            <w:tcBorders>
              <w:bottom w:val="single" w:sz="8" w:color="auto"/>
              <w:right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b w:val="1"/>
                <w:bCs w:val="1"/>
                <w:color w:val="FFFFFF"/>
              </w:rPr>
              <w:t>YoY</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60" w:type="dxa"/>
            <w:vAlign w:val="bottom"/>
            <w:tcBorders>
              <w:right w:val="single" w:sz="8" w:color="auto"/>
            </w:tcBorders>
          </w:tcPr>
          <w:p>
            <w:pPr>
              <w:spacing w:after="0"/>
              <w:rPr>
                <w:sz w:val="11"/>
                <w:szCs w:val="11"/>
                <w:color w:val="auto"/>
              </w:rPr>
            </w:pPr>
          </w:p>
        </w:tc>
        <w:tc>
          <w:tcPr>
            <w:tcW w:w="1780" w:type="dxa"/>
            <w:vAlign w:val="bottom"/>
          </w:tcPr>
          <w:p>
            <w:pPr>
              <w:ind w:left="40"/>
              <w:spacing w:after="0" w:line="131" w:lineRule="exact"/>
              <w:rPr>
                <w:sz w:val="20"/>
                <w:szCs w:val="20"/>
                <w:color w:val="auto"/>
              </w:rPr>
            </w:pPr>
            <w:r>
              <w:rPr>
                <w:rFonts w:ascii="Arial" w:cs="Arial" w:eastAsia="Arial" w:hAnsi="Arial"/>
                <w:sz w:val="13"/>
                <w:szCs w:val="13"/>
                <w:color w:val="auto"/>
              </w:rPr>
              <w:t>Branches</w:t>
            </w:r>
          </w:p>
        </w:tc>
        <w:tc>
          <w:tcPr>
            <w:tcW w:w="10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140" w:type="dxa"/>
            <w:vAlign w:val="bottom"/>
          </w:tcPr>
          <w:p>
            <w:pPr>
              <w:jc w:val="center"/>
              <w:ind w:right="135"/>
              <w:spacing w:after="0" w:line="131" w:lineRule="exact"/>
              <w:rPr>
                <w:sz w:val="20"/>
                <w:szCs w:val="20"/>
                <w:color w:val="auto"/>
              </w:rPr>
            </w:pPr>
            <w:r>
              <w:rPr>
                <w:rFonts w:ascii="Arial" w:cs="Arial" w:eastAsia="Arial" w:hAnsi="Arial"/>
                <w:sz w:val="13"/>
                <w:szCs w:val="13"/>
                <w:color w:val="auto"/>
              </w:rPr>
              <w:t>674</w:t>
            </w:r>
          </w:p>
        </w:tc>
        <w:tc>
          <w:tcPr>
            <w:tcW w:w="1060" w:type="dxa"/>
            <w:vAlign w:val="bottom"/>
          </w:tcPr>
          <w:p>
            <w:pPr>
              <w:jc w:val="center"/>
              <w:ind w:right="375"/>
              <w:spacing w:after="0" w:line="131" w:lineRule="exact"/>
              <w:rPr>
                <w:sz w:val="20"/>
                <w:szCs w:val="20"/>
                <w:color w:val="auto"/>
              </w:rPr>
            </w:pPr>
            <w:r>
              <w:rPr>
                <w:rFonts w:ascii="Arial" w:cs="Arial" w:eastAsia="Arial" w:hAnsi="Arial"/>
                <w:sz w:val="13"/>
                <w:szCs w:val="13"/>
                <w:color w:val="auto"/>
              </w:rPr>
              <w:t>661</w:t>
            </w:r>
          </w:p>
        </w:tc>
        <w:tc>
          <w:tcPr>
            <w:tcW w:w="760" w:type="dxa"/>
            <w:vAlign w:val="bottom"/>
            <w:tcBorders>
              <w:right w:val="single" w:sz="8" w:color="auto"/>
            </w:tcBorders>
          </w:tcPr>
          <w:p>
            <w:pPr>
              <w:jc w:val="center"/>
              <w:ind w:right="189"/>
              <w:spacing w:after="0" w:line="131" w:lineRule="exact"/>
              <w:rPr>
                <w:sz w:val="20"/>
                <w:szCs w:val="20"/>
                <w:color w:val="auto"/>
              </w:rPr>
            </w:pPr>
            <w:r>
              <w:rPr>
                <w:rFonts w:ascii="Arial" w:cs="Arial" w:eastAsia="Arial" w:hAnsi="Arial"/>
                <w:sz w:val="13"/>
                <w:szCs w:val="13"/>
                <w:color w:val="auto"/>
              </w:rPr>
              <w:t>659</w:t>
            </w:r>
          </w:p>
        </w:tc>
        <w:tc>
          <w:tcPr>
            <w:tcW w:w="160" w:type="dxa"/>
            <w:vAlign w:val="bottom"/>
          </w:tcPr>
          <w:p>
            <w:pPr>
              <w:spacing w:after="0"/>
              <w:rPr>
                <w:sz w:val="11"/>
                <w:szCs w:val="11"/>
                <w:color w:val="auto"/>
              </w:rPr>
            </w:pPr>
          </w:p>
        </w:tc>
        <w:tc>
          <w:tcPr>
            <w:tcW w:w="1500" w:type="dxa"/>
            <w:vAlign w:val="bottom"/>
          </w:tcPr>
          <w:p>
            <w:pPr>
              <w:jc w:val="center"/>
              <w:ind w:right="513"/>
              <w:spacing w:after="0" w:line="131" w:lineRule="exact"/>
              <w:rPr>
                <w:sz w:val="20"/>
                <w:szCs w:val="20"/>
                <w:color w:val="auto"/>
              </w:rPr>
            </w:pPr>
            <w:r>
              <w:rPr>
                <w:rFonts w:ascii="Arial" w:cs="Arial" w:eastAsia="Arial" w:hAnsi="Arial"/>
                <w:sz w:val="13"/>
                <w:szCs w:val="13"/>
                <w:color w:val="auto"/>
              </w:rPr>
              <w:t>(2)</w:t>
            </w:r>
          </w:p>
        </w:tc>
        <w:tc>
          <w:tcPr>
            <w:tcW w:w="860" w:type="dxa"/>
            <w:vAlign w:val="bottom"/>
            <w:tcBorders>
              <w:right w:val="single" w:sz="8" w:color="auto"/>
            </w:tcBorders>
          </w:tcPr>
          <w:p>
            <w:pPr>
              <w:jc w:val="center"/>
              <w:ind w:right="392"/>
              <w:spacing w:after="0" w:line="131" w:lineRule="exact"/>
              <w:rPr>
                <w:sz w:val="20"/>
                <w:szCs w:val="20"/>
                <w:color w:val="auto"/>
              </w:rPr>
            </w:pPr>
            <w:r>
              <w:rPr>
                <w:rFonts w:ascii="Arial" w:cs="Arial" w:eastAsia="Arial" w:hAnsi="Arial"/>
                <w:sz w:val="13"/>
                <w:szCs w:val="13"/>
                <w:color w:val="auto"/>
              </w:rPr>
              <w:t>(15)</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60" w:type="dxa"/>
            <w:vAlign w:val="bottom"/>
            <w:tcBorders>
              <w:right w:val="single" w:sz="8" w:color="auto"/>
            </w:tcBorders>
          </w:tcPr>
          <w:p>
            <w:pPr>
              <w:spacing w:after="0"/>
              <w:rPr>
                <w:sz w:val="11"/>
                <w:szCs w:val="11"/>
                <w:color w:val="auto"/>
              </w:rPr>
            </w:pPr>
          </w:p>
        </w:tc>
        <w:tc>
          <w:tcPr>
            <w:tcW w:w="1780" w:type="dxa"/>
            <w:vAlign w:val="bottom"/>
          </w:tcPr>
          <w:p>
            <w:pPr>
              <w:ind w:left="40"/>
              <w:spacing w:after="0" w:line="131" w:lineRule="exact"/>
              <w:rPr>
                <w:sz w:val="20"/>
                <w:szCs w:val="20"/>
                <w:color w:val="auto"/>
              </w:rPr>
            </w:pPr>
            <w:r>
              <w:rPr>
                <w:rFonts w:ascii="Arial" w:cs="Arial" w:eastAsia="Arial" w:hAnsi="Arial"/>
                <w:sz w:val="13"/>
                <w:szCs w:val="13"/>
                <w:color w:val="auto"/>
              </w:rPr>
              <w:t>ATMs</w:t>
            </w:r>
          </w:p>
        </w:tc>
        <w:tc>
          <w:tcPr>
            <w:tcW w:w="10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140" w:type="dxa"/>
            <w:vAlign w:val="bottom"/>
          </w:tcPr>
          <w:p>
            <w:pPr>
              <w:jc w:val="center"/>
              <w:ind w:right="115"/>
              <w:spacing w:after="0" w:line="131" w:lineRule="exact"/>
              <w:rPr>
                <w:sz w:val="20"/>
                <w:szCs w:val="20"/>
                <w:color w:val="auto"/>
              </w:rPr>
            </w:pPr>
            <w:r>
              <w:rPr>
                <w:rFonts w:ascii="Arial" w:cs="Arial" w:eastAsia="Arial" w:hAnsi="Arial"/>
                <w:sz w:val="13"/>
                <w:szCs w:val="13"/>
                <w:color w:val="auto"/>
                <w:w w:val="98"/>
              </w:rPr>
              <w:t>2,625</w:t>
            </w:r>
          </w:p>
        </w:tc>
        <w:tc>
          <w:tcPr>
            <w:tcW w:w="1060" w:type="dxa"/>
            <w:vAlign w:val="bottom"/>
          </w:tcPr>
          <w:p>
            <w:pPr>
              <w:jc w:val="center"/>
              <w:ind w:right="355"/>
              <w:spacing w:after="0" w:line="131" w:lineRule="exact"/>
              <w:rPr>
                <w:sz w:val="20"/>
                <w:szCs w:val="20"/>
                <w:color w:val="auto"/>
              </w:rPr>
            </w:pPr>
            <w:r>
              <w:rPr>
                <w:rFonts w:ascii="Arial" w:cs="Arial" w:eastAsia="Arial" w:hAnsi="Arial"/>
                <w:sz w:val="13"/>
                <w:szCs w:val="13"/>
                <w:color w:val="auto"/>
                <w:w w:val="98"/>
              </w:rPr>
              <w:t>2,677</w:t>
            </w:r>
          </w:p>
        </w:tc>
        <w:tc>
          <w:tcPr>
            <w:tcW w:w="760" w:type="dxa"/>
            <w:vAlign w:val="bottom"/>
            <w:tcBorders>
              <w:right w:val="single" w:sz="8" w:color="auto"/>
            </w:tcBorders>
          </w:tcPr>
          <w:p>
            <w:pPr>
              <w:jc w:val="center"/>
              <w:ind w:right="209"/>
              <w:spacing w:after="0" w:line="131" w:lineRule="exact"/>
              <w:rPr>
                <w:sz w:val="20"/>
                <w:szCs w:val="20"/>
                <w:color w:val="auto"/>
              </w:rPr>
            </w:pPr>
            <w:r>
              <w:rPr>
                <w:rFonts w:ascii="Arial" w:cs="Arial" w:eastAsia="Arial" w:hAnsi="Arial"/>
                <w:sz w:val="13"/>
                <w:szCs w:val="13"/>
                <w:color w:val="auto"/>
                <w:w w:val="98"/>
              </w:rPr>
              <w:t>2,746</w:t>
            </w:r>
          </w:p>
        </w:tc>
        <w:tc>
          <w:tcPr>
            <w:tcW w:w="160" w:type="dxa"/>
            <w:vAlign w:val="bottom"/>
          </w:tcPr>
          <w:p>
            <w:pPr>
              <w:spacing w:after="0"/>
              <w:rPr>
                <w:sz w:val="11"/>
                <w:szCs w:val="11"/>
                <w:color w:val="auto"/>
              </w:rPr>
            </w:pPr>
          </w:p>
        </w:tc>
        <w:tc>
          <w:tcPr>
            <w:tcW w:w="1500" w:type="dxa"/>
            <w:vAlign w:val="bottom"/>
          </w:tcPr>
          <w:p>
            <w:pPr>
              <w:jc w:val="center"/>
              <w:ind w:right="533"/>
              <w:spacing w:after="0" w:line="131" w:lineRule="exact"/>
              <w:rPr>
                <w:sz w:val="20"/>
                <w:szCs w:val="20"/>
                <w:color w:val="auto"/>
              </w:rPr>
            </w:pPr>
            <w:r>
              <w:rPr>
                <w:rFonts w:ascii="Arial" w:cs="Arial" w:eastAsia="Arial" w:hAnsi="Arial"/>
                <w:sz w:val="13"/>
                <w:szCs w:val="13"/>
                <w:color w:val="auto"/>
                <w:w w:val="96"/>
              </w:rPr>
              <w:t>69</w:t>
            </w:r>
          </w:p>
        </w:tc>
        <w:tc>
          <w:tcPr>
            <w:tcW w:w="860" w:type="dxa"/>
            <w:vAlign w:val="bottom"/>
            <w:tcBorders>
              <w:right w:val="single" w:sz="8" w:color="auto"/>
            </w:tcBorders>
          </w:tcPr>
          <w:p>
            <w:pPr>
              <w:jc w:val="center"/>
              <w:ind w:right="372"/>
              <w:spacing w:after="0" w:line="131" w:lineRule="exact"/>
              <w:rPr>
                <w:sz w:val="20"/>
                <w:szCs w:val="20"/>
                <w:color w:val="auto"/>
              </w:rPr>
            </w:pPr>
            <w:r>
              <w:rPr>
                <w:rFonts w:ascii="Arial" w:cs="Arial" w:eastAsia="Arial" w:hAnsi="Arial"/>
                <w:sz w:val="13"/>
                <w:szCs w:val="13"/>
                <w:color w:val="auto"/>
              </w:rPr>
              <w:t>121</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160" w:type="dxa"/>
            <w:vAlign w:val="bottom"/>
            <w:tcBorders>
              <w:right w:val="single" w:sz="8" w:color="auto"/>
            </w:tcBorders>
          </w:tcPr>
          <w:p>
            <w:pPr>
              <w:spacing w:after="0"/>
              <w:rPr>
                <w:sz w:val="14"/>
                <w:szCs w:val="14"/>
                <w:color w:val="auto"/>
              </w:rPr>
            </w:pPr>
          </w:p>
        </w:tc>
        <w:tc>
          <w:tcPr>
            <w:tcW w:w="178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2"/>
                <w:szCs w:val="12"/>
                <w:color w:val="auto"/>
              </w:rPr>
              <w:t xml:space="preserve">Agents </w:t>
            </w:r>
            <w:r>
              <w:rPr>
                <w:rFonts w:ascii="Arial" w:cs="Arial" w:eastAsia="Arial" w:hAnsi="Arial"/>
                <w:sz w:val="19"/>
                <w:szCs w:val="19"/>
                <w:color w:val="auto"/>
                <w:vertAlign w:val="superscript"/>
              </w:rPr>
              <w:t>(2)</w:t>
            </w:r>
          </w:p>
        </w:tc>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color w:val="auto"/>
              </w:rPr>
              <w:t>11,254</w:t>
            </w:r>
          </w:p>
        </w:tc>
        <w:tc>
          <w:tcPr>
            <w:tcW w:w="1060" w:type="dxa"/>
            <w:vAlign w:val="bottom"/>
            <w:tcBorders>
              <w:bottom w:val="single" w:sz="8" w:color="auto"/>
            </w:tcBorders>
          </w:tcPr>
          <w:p>
            <w:pPr>
              <w:jc w:val="center"/>
              <w:ind w:right="355"/>
              <w:spacing w:after="0"/>
              <w:rPr>
                <w:sz w:val="20"/>
                <w:szCs w:val="20"/>
                <w:color w:val="auto"/>
              </w:rPr>
            </w:pPr>
            <w:r>
              <w:rPr>
                <w:rFonts w:ascii="Arial" w:cs="Arial" w:eastAsia="Arial" w:hAnsi="Arial"/>
                <w:sz w:val="13"/>
                <w:szCs w:val="13"/>
                <w:color w:val="auto"/>
              </w:rPr>
              <w:t>11,452</w:t>
            </w:r>
          </w:p>
        </w:tc>
        <w:tc>
          <w:tcPr>
            <w:tcW w:w="76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3"/>
                <w:szCs w:val="13"/>
                <w:color w:val="auto"/>
              </w:rPr>
              <w:t>12,034</w:t>
            </w: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33"/>
              <w:spacing w:after="0"/>
              <w:rPr>
                <w:sz w:val="20"/>
                <w:szCs w:val="20"/>
                <w:color w:val="auto"/>
              </w:rPr>
            </w:pPr>
            <w:r>
              <w:rPr>
                <w:rFonts w:ascii="Arial" w:cs="Arial" w:eastAsia="Arial" w:hAnsi="Arial"/>
                <w:sz w:val="13"/>
                <w:szCs w:val="13"/>
                <w:color w:val="auto"/>
              </w:rPr>
              <w:t>582</w:t>
            </w:r>
          </w:p>
        </w:tc>
        <w:tc>
          <w:tcPr>
            <w:tcW w:w="860" w:type="dxa"/>
            <w:vAlign w:val="bottom"/>
            <w:tcBorders>
              <w:bottom w:val="single" w:sz="8" w:color="auto"/>
              <w:right w:val="single" w:sz="8" w:color="auto"/>
            </w:tcBorders>
          </w:tcPr>
          <w:p>
            <w:pPr>
              <w:jc w:val="center"/>
              <w:ind w:right="372"/>
              <w:spacing w:after="0"/>
              <w:rPr>
                <w:sz w:val="20"/>
                <w:szCs w:val="20"/>
                <w:color w:val="auto"/>
              </w:rPr>
            </w:pPr>
            <w:r>
              <w:rPr>
                <w:rFonts w:ascii="Arial" w:cs="Arial" w:eastAsia="Arial" w:hAnsi="Arial"/>
                <w:sz w:val="13"/>
                <w:szCs w:val="13"/>
                <w:color w:val="auto"/>
              </w:rPr>
              <w:t>780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160" w:type="dxa"/>
            <w:vAlign w:val="bottom"/>
            <w:tcBorders>
              <w:right w:val="single" w:sz="8" w:color="auto"/>
            </w:tcBorders>
          </w:tcPr>
          <w:p>
            <w:pPr>
              <w:spacing w:after="0"/>
              <w:rPr>
                <w:sz w:val="12"/>
                <w:szCs w:val="12"/>
                <w:color w:val="auto"/>
              </w:rPr>
            </w:pPr>
          </w:p>
        </w:tc>
        <w:tc>
          <w:tcPr>
            <w:tcW w:w="1780" w:type="dxa"/>
            <w:vAlign w:val="bottom"/>
            <w:tcBorders>
              <w:bottom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rPr>
              <w:t>Total</w:t>
            </w: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15"/>
              <w:spacing w:after="0" w:line="139" w:lineRule="exact"/>
              <w:rPr>
                <w:sz w:val="20"/>
                <w:szCs w:val="20"/>
                <w:color w:val="auto"/>
              </w:rPr>
            </w:pPr>
            <w:r>
              <w:rPr>
                <w:rFonts w:ascii="Arial" w:cs="Arial" w:eastAsia="Arial" w:hAnsi="Arial"/>
                <w:sz w:val="13"/>
                <w:szCs w:val="13"/>
                <w:b w:val="1"/>
                <w:bCs w:val="1"/>
                <w:color w:val="auto"/>
              </w:rPr>
              <w:t>14,553</w:t>
            </w:r>
          </w:p>
        </w:tc>
        <w:tc>
          <w:tcPr>
            <w:tcW w:w="1060" w:type="dxa"/>
            <w:vAlign w:val="bottom"/>
            <w:tcBorders>
              <w:bottom w:val="single" w:sz="8" w:color="auto"/>
            </w:tcBorders>
          </w:tcPr>
          <w:p>
            <w:pPr>
              <w:jc w:val="center"/>
              <w:ind w:right="355"/>
              <w:spacing w:after="0" w:line="139" w:lineRule="exact"/>
              <w:rPr>
                <w:sz w:val="20"/>
                <w:szCs w:val="20"/>
                <w:color w:val="auto"/>
              </w:rPr>
            </w:pPr>
            <w:r>
              <w:rPr>
                <w:rFonts w:ascii="Arial" w:cs="Arial" w:eastAsia="Arial" w:hAnsi="Arial"/>
                <w:sz w:val="13"/>
                <w:szCs w:val="13"/>
                <w:b w:val="1"/>
                <w:bCs w:val="1"/>
                <w:color w:val="auto"/>
              </w:rPr>
              <w:t>14,790</w:t>
            </w:r>
          </w:p>
        </w:tc>
        <w:tc>
          <w:tcPr>
            <w:tcW w:w="760" w:type="dxa"/>
            <w:vAlign w:val="bottom"/>
            <w:tcBorders>
              <w:bottom w:val="single" w:sz="8" w:color="auto"/>
              <w:right w:val="single" w:sz="8" w:color="auto"/>
            </w:tcBorders>
          </w:tcPr>
          <w:p>
            <w:pPr>
              <w:jc w:val="center"/>
              <w:ind w:right="209"/>
              <w:spacing w:after="0" w:line="139" w:lineRule="exact"/>
              <w:rPr>
                <w:sz w:val="20"/>
                <w:szCs w:val="20"/>
                <w:color w:val="auto"/>
              </w:rPr>
            </w:pPr>
            <w:r>
              <w:rPr>
                <w:rFonts w:ascii="Arial" w:cs="Arial" w:eastAsia="Arial" w:hAnsi="Arial"/>
                <w:sz w:val="13"/>
                <w:szCs w:val="13"/>
                <w:b w:val="1"/>
                <w:bCs w:val="1"/>
                <w:color w:val="auto"/>
              </w:rPr>
              <w:t>15,439</w:t>
            </w: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533"/>
              <w:spacing w:after="0" w:line="139" w:lineRule="exact"/>
              <w:rPr>
                <w:sz w:val="20"/>
                <w:szCs w:val="20"/>
                <w:color w:val="auto"/>
              </w:rPr>
            </w:pPr>
            <w:r>
              <w:rPr>
                <w:rFonts w:ascii="Arial" w:cs="Arial" w:eastAsia="Arial" w:hAnsi="Arial"/>
                <w:sz w:val="13"/>
                <w:szCs w:val="13"/>
                <w:b w:val="1"/>
                <w:bCs w:val="1"/>
                <w:color w:val="auto"/>
              </w:rPr>
              <w:t>649</w:t>
            </w:r>
          </w:p>
        </w:tc>
        <w:tc>
          <w:tcPr>
            <w:tcW w:w="860" w:type="dxa"/>
            <w:vAlign w:val="bottom"/>
            <w:tcBorders>
              <w:bottom w:val="single" w:sz="8" w:color="auto"/>
              <w:right w:val="single" w:sz="8" w:color="auto"/>
            </w:tcBorders>
          </w:tcPr>
          <w:p>
            <w:pPr>
              <w:jc w:val="center"/>
              <w:ind w:right="372"/>
              <w:spacing w:after="0" w:line="139" w:lineRule="exact"/>
              <w:rPr>
                <w:sz w:val="20"/>
                <w:szCs w:val="20"/>
                <w:color w:val="auto"/>
              </w:rPr>
            </w:pPr>
            <w:r>
              <w:rPr>
                <w:rFonts w:ascii="Arial" w:cs="Arial" w:eastAsia="Arial" w:hAnsi="Arial"/>
                <w:sz w:val="13"/>
                <w:szCs w:val="13"/>
                <w:b w:val="1"/>
                <w:bCs w:val="1"/>
                <w:color w:val="auto"/>
              </w:rPr>
              <w:t>886</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-4117975</wp:posOffset>
            </wp:positionV>
            <wp:extent cx="1161415" cy="1390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7" w:lineRule="exact"/>
        <w:rPr>
          <w:sz w:val="20"/>
          <w:szCs w:val="20"/>
          <w:color w:val="auto"/>
        </w:rPr>
      </w:pPr>
    </w:p>
    <w:p>
      <w:pPr>
        <w:ind w:left="1700" w:hanging="294"/>
        <w:spacing w:after="0"/>
        <w:tabs>
          <w:tab w:leader="none" w:pos="17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Includes Physical Point of Contact of BCP Stand-Alone, Mibanco and BCP Bolivia</w:t>
      </w:r>
    </w:p>
    <w:p>
      <w:pPr>
        <w:spacing w:after="0" w:line="5" w:lineRule="exact"/>
        <w:rPr>
          <w:rFonts w:ascii="Arial" w:cs="Arial" w:eastAsia="Arial" w:hAnsi="Arial"/>
          <w:sz w:val="11"/>
          <w:szCs w:val="11"/>
          <w:color w:val="auto"/>
        </w:rPr>
      </w:pPr>
    </w:p>
    <w:p>
      <w:pPr>
        <w:ind w:left="1700" w:hanging="294"/>
        <w:spacing w:after="0"/>
        <w:tabs>
          <w:tab w:leader="none" w:pos="17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Figures differ from previously reported due to changes in BCP Bolivia agents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12.3. Loan Portfolio Quality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Government Program (GP) Loan Portfolio Quality (in Quarter-end Balances)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5080" w:type="dxa"/>
            <w:vAlign w:val="bottom"/>
            <w:tcBorders>
              <w:top w:val="single" w:sz="8" w:color="auto"/>
              <w:left w:val="single" w:sz="8" w:color="auto"/>
              <w:right w:val="single" w:sz="8" w:color="auto"/>
            </w:tcBorders>
            <w:shd w:val="clear" w:color="auto" w:fill="2AD2C9"/>
          </w:tcPr>
          <w:p>
            <w:pPr>
              <w:ind w:left="80"/>
              <w:spacing w:after="0" w:line="212" w:lineRule="exact"/>
              <w:rPr>
                <w:sz w:val="20"/>
                <w:szCs w:val="20"/>
                <w:color w:val="auto"/>
              </w:rPr>
            </w:pPr>
            <w:r>
              <w:rPr>
                <w:rFonts w:ascii="Arial" w:cs="Arial" w:eastAsia="Arial" w:hAnsi="Arial"/>
                <w:sz w:val="13"/>
                <w:szCs w:val="13"/>
                <w:b w:val="1"/>
                <w:bCs w:val="1"/>
                <w:color w:val="FFFFFF"/>
              </w:rPr>
              <w:t xml:space="preserve">GP Portfolio quality and Delinquency ratios </w:t>
            </w:r>
            <w:r>
              <w:rPr>
                <w:rFonts w:ascii="Arial" w:cs="Arial" w:eastAsia="Arial" w:hAnsi="Arial"/>
                <w:sz w:val="21"/>
                <w:szCs w:val="21"/>
                <w:b w:val="1"/>
                <w:bCs w:val="1"/>
                <w:color w:val="FFFFFF"/>
                <w:vertAlign w:val="superscript"/>
              </w:rPr>
              <w:t>(1)</w:t>
            </w:r>
          </w:p>
        </w:tc>
        <w:tc>
          <w:tcPr>
            <w:tcW w:w="1220" w:type="dxa"/>
            <w:vAlign w:val="bottom"/>
            <w:tcBorders>
              <w:top w:val="single" w:sz="8" w:color="auto"/>
            </w:tcBorders>
            <w:shd w:val="clear" w:color="auto" w:fill="2AD2C9"/>
          </w:tcPr>
          <w:p>
            <w:pPr>
              <w:spacing w:after="0"/>
              <w:rPr>
                <w:sz w:val="18"/>
                <w:szCs w:val="18"/>
                <w:color w:val="auto"/>
              </w:rPr>
            </w:pPr>
          </w:p>
        </w:tc>
        <w:tc>
          <w:tcPr>
            <w:tcW w:w="12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8"/>
              </w:rPr>
              <w:t>As of</w:t>
            </w:r>
          </w:p>
        </w:tc>
        <w:tc>
          <w:tcPr>
            <w:tcW w:w="1260" w:type="dxa"/>
            <w:vAlign w:val="bottom"/>
            <w:tcBorders>
              <w:top w:val="single" w:sz="8" w:color="auto"/>
              <w:right w:val="single" w:sz="8" w:color="auto"/>
            </w:tcBorders>
            <w:shd w:val="clear" w:color="auto" w:fill="2AD2C9"/>
          </w:tcPr>
          <w:p>
            <w:pPr>
              <w:spacing w:after="0"/>
              <w:rPr>
                <w:sz w:val="18"/>
                <w:szCs w:val="18"/>
                <w:color w:val="auto"/>
              </w:rPr>
            </w:pPr>
          </w:p>
        </w:tc>
        <w:tc>
          <w:tcPr>
            <w:tcW w:w="880" w:type="dxa"/>
            <w:vAlign w:val="bottom"/>
            <w:tcBorders>
              <w:top w:val="single" w:sz="8" w:color="auto"/>
            </w:tcBorders>
            <w:shd w:val="clear" w:color="auto" w:fill="2AD2C9"/>
          </w:tcPr>
          <w:p>
            <w:pPr>
              <w:spacing w:after="0"/>
              <w:rPr>
                <w:sz w:val="18"/>
                <w:szCs w:val="18"/>
                <w:color w:val="auto"/>
              </w:rPr>
            </w:pPr>
          </w:p>
        </w:tc>
        <w:tc>
          <w:tcPr>
            <w:tcW w:w="158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 change</w:t>
            </w:r>
          </w:p>
        </w:tc>
      </w:tr>
      <w:tr>
        <w:trPr>
          <w:trHeight w:val="166"/>
        </w:trPr>
        <w:tc>
          <w:tcPr>
            <w:tcW w:w="5080" w:type="dxa"/>
            <w:vAlign w:val="bottom"/>
            <w:tcBorders>
              <w:left w:val="single" w:sz="8" w:color="auto"/>
              <w:bottom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3"/>
                <w:szCs w:val="13"/>
                <w:color w:val="FFFFFF"/>
              </w:rPr>
              <w:t>S/000</w:t>
            </w: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22</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23</w:t>
            </w:r>
          </w:p>
        </w:tc>
        <w:tc>
          <w:tcPr>
            <w:tcW w:w="126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Arial" w:cs="Arial" w:eastAsia="Arial" w:hAnsi="Arial"/>
                <w:sz w:val="13"/>
                <w:szCs w:val="13"/>
                <w:b w:val="1"/>
                <w:bCs w:val="1"/>
                <w:color w:val="FFFFFF"/>
              </w:rPr>
              <w:t>Dec 23</w:t>
            </w:r>
          </w:p>
        </w:tc>
        <w:tc>
          <w:tcPr>
            <w:tcW w:w="880" w:type="dxa"/>
            <w:vAlign w:val="bottom"/>
            <w:tcBorders>
              <w:bottom w:val="single" w:sz="8" w:color="auto"/>
            </w:tcBorders>
            <w:shd w:val="clear" w:color="auto" w:fill="2AD2C9"/>
          </w:tcPr>
          <w:p>
            <w:pPr>
              <w:jc w:val="center"/>
              <w:ind w:left="255"/>
              <w:spacing w:after="0"/>
              <w:rPr>
                <w:sz w:val="20"/>
                <w:szCs w:val="20"/>
                <w:color w:val="auto"/>
              </w:rPr>
            </w:pPr>
            <w:r>
              <w:rPr>
                <w:rFonts w:ascii="Arial" w:cs="Arial" w:eastAsia="Arial" w:hAnsi="Arial"/>
                <w:sz w:val="13"/>
                <w:szCs w:val="13"/>
                <w:b w:val="1"/>
                <w:bCs w:val="1"/>
                <w:color w:val="FFFFFF"/>
                <w:w w:val="99"/>
              </w:rPr>
              <w:t>QoQ</w:t>
            </w:r>
          </w:p>
        </w:tc>
        <w:tc>
          <w:tcPr>
            <w:tcW w:w="1580" w:type="dxa"/>
            <w:vAlign w:val="bottom"/>
            <w:tcBorders>
              <w:bottom w:val="single" w:sz="8" w:color="auto"/>
              <w:right w:val="single" w:sz="8" w:color="auto"/>
            </w:tcBorders>
            <w:shd w:val="clear" w:color="auto" w:fill="2AD2C9"/>
          </w:tcPr>
          <w:p>
            <w:pPr>
              <w:jc w:val="center"/>
              <w:ind w:left="235"/>
              <w:spacing w:after="0"/>
              <w:rPr>
                <w:sz w:val="20"/>
                <w:szCs w:val="20"/>
                <w:color w:val="auto"/>
              </w:rPr>
            </w:pPr>
            <w:r>
              <w:rPr>
                <w:rFonts w:ascii="Arial" w:cs="Arial" w:eastAsia="Arial" w:hAnsi="Arial"/>
                <w:sz w:val="13"/>
                <w:szCs w:val="13"/>
                <w:b w:val="1"/>
                <w:bCs w:val="1"/>
                <w:color w:val="FFFFFF"/>
                <w:w w:val="94"/>
              </w:rPr>
              <w:t>YoY</w:t>
            </w:r>
          </w:p>
        </w:tc>
      </w:tr>
      <w:tr>
        <w:trPr>
          <w:trHeight w:val="138"/>
        </w:trPr>
        <w:tc>
          <w:tcPr>
            <w:tcW w:w="5080" w:type="dxa"/>
            <w:vAlign w:val="bottom"/>
            <w:tcBorders>
              <w:left w:val="single" w:sz="8" w:color="auto"/>
              <w:bottom w:val="single" w:sz="8" w:color="auto"/>
              <w:right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GP Total loans (Quarter-end balance)</w:t>
            </w:r>
          </w:p>
        </w:tc>
        <w:tc>
          <w:tcPr>
            <w:tcW w:w="12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9,511,132</w:t>
            </w:r>
          </w:p>
        </w:tc>
        <w:tc>
          <w:tcPr>
            <w:tcW w:w="12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4,179,770</w:t>
            </w:r>
          </w:p>
        </w:tc>
        <w:tc>
          <w:tcPr>
            <w:tcW w:w="126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6"/>
              </w:rPr>
              <w:t>3,595,503</w:t>
            </w:r>
          </w:p>
        </w:tc>
        <w:tc>
          <w:tcPr>
            <w:tcW w:w="880" w:type="dxa"/>
            <w:vAlign w:val="bottom"/>
            <w:tcBorders>
              <w:bottom w:val="single" w:sz="8" w:color="auto"/>
            </w:tcBorders>
          </w:tcPr>
          <w:p>
            <w:pPr>
              <w:jc w:val="center"/>
              <w:ind w:left="255"/>
              <w:spacing w:after="0" w:line="139" w:lineRule="exact"/>
              <w:rPr>
                <w:sz w:val="20"/>
                <w:szCs w:val="20"/>
                <w:color w:val="auto"/>
              </w:rPr>
            </w:pPr>
            <w:r>
              <w:rPr>
                <w:rFonts w:ascii="Arial" w:cs="Arial" w:eastAsia="Arial" w:hAnsi="Arial"/>
                <w:sz w:val="13"/>
                <w:szCs w:val="13"/>
                <w:b w:val="1"/>
                <w:bCs w:val="1"/>
                <w:color w:val="auto"/>
                <w:w w:val="97"/>
              </w:rPr>
              <w:t>-14.0%</w:t>
            </w:r>
          </w:p>
        </w:tc>
        <w:tc>
          <w:tcPr>
            <w:tcW w:w="1580" w:type="dxa"/>
            <w:vAlign w:val="bottom"/>
            <w:tcBorders>
              <w:bottom w:val="single" w:sz="8" w:color="auto"/>
              <w:right w:val="single" w:sz="8" w:color="auto"/>
            </w:tcBorders>
          </w:tcPr>
          <w:p>
            <w:pPr>
              <w:jc w:val="center"/>
              <w:ind w:left="235"/>
              <w:spacing w:after="0" w:line="139" w:lineRule="exact"/>
              <w:rPr>
                <w:sz w:val="20"/>
                <w:szCs w:val="20"/>
                <w:color w:val="auto"/>
              </w:rPr>
            </w:pPr>
            <w:r>
              <w:rPr>
                <w:rFonts w:ascii="Arial" w:cs="Arial" w:eastAsia="Arial" w:hAnsi="Arial"/>
                <w:sz w:val="13"/>
                <w:szCs w:val="13"/>
                <w:b w:val="1"/>
                <w:bCs w:val="1"/>
                <w:color w:val="auto"/>
                <w:w w:val="97"/>
              </w:rPr>
              <w:t>-62.2%</w:t>
            </w:r>
          </w:p>
        </w:tc>
      </w:tr>
      <w:tr>
        <w:trPr>
          <w:trHeight w:val="138"/>
        </w:trPr>
        <w:tc>
          <w:tcPr>
            <w:tcW w:w="5080" w:type="dxa"/>
            <w:vAlign w:val="bottom"/>
            <w:tcBorders>
              <w:left w:val="single" w:sz="8" w:color="auto"/>
              <w:bottom w:val="single" w:sz="8" w:color="auto"/>
              <w:right w:val="single" w:sz="8" w:color="auto"/>
            </w:tcBorders>
          </w:tcPr>
          <w:p>
            <w:pPr>
              <w:ind w:left="80"/>
              <w:spacing w:after="0" w:line="139" w:lineRule="exact"/>
              <w:rPr>
                <w:sz w:val="20"/>
                <w:szCs w:val="20"/>
                <w:color w:val="auto"/>
              </w:rPr>
            </w:pPr>
            <w:r>
              <w:rPr>
                <w:rFonts w:ascii="Arial" w:cs="Arial" w:eastAsia="Arial" w:hAnsi="Arial"/>
                <w:sz w:val="13"/>
                <w:szCs w:val="13"/>
                <w:color w:val="auto"/>
              </w:rPr>
              <w:t>GP Allowance for loan losses</w:t>
            </w:r>
          </w:p>
        </w:tc>
        <w:tc>
          <w:tcPr>
            <w:tcW w:w="12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138,827</w:t>
            </w:r>
          </w:p>
        </w:tc>
        <w:tc>
          <w:tcPr>
            <w:tcW w:w="12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114,283</w:t>
            </w:r>
          </w:p>
        </w:tc>
        <w:tc>
          <w:tcPr>
            <w:tcW w:w="126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119,212</w:t>
            </w:r>
          </w:p>
        </w:tc>
        <w:tc>
          <w:tcPr>
            <w:tcW w:w="880" w:type="dxa"/>
            <w:vAlign w:val="bottom"/>
            <w:tcBorders>
              <w:bottom w:val="single" w:sz="8" w:color="auto"/>
            </w:tcBorders>
          </w:tcPr>
          <w:p>
            <w:pPr>
              <w:jc w:val="center"/>
              <w:ind w:left="235"/>
              <w:spacing w:after="0" w:line="139" w:lineRule="exact"/>
              <w:rPr>
                <w:sz w:val="20"/>
                <w:szCs w:val="20"/>
                <w:color w:val="auto"/>
              </w:rPr>
            </w:pPr>
            <w:r>
              <w:rPr>
                <w:rFonts w:ascii="Arial" w:cs="Arial" w:eastAsia="Arial" w:hAnsi="Arial"/>
                <w:sz w:val="13"/>
                <w:szCs w:val="13"/>
                <w:color w:val="auto"/>
              </w:rPr>
              <w:t>4.3%</w:t>
            </w:r>
          </w:p>
        </w:tc>
        <w:tc>
          <w:tcPr>
            <w:tcW w:w="1580" w:type="dxa"/>
            <w:vAlign w:val="bottom"/>
            <w:tcBorders>
              <w:bottom w:val="single" w:sz="8" w:color="auto"/>
              <w:right w:val="single" w:sz="8" w:color="auto"/>
            </w:tcBorders>
          </w:tcPr>
          <w:p>
            <w:pPr>
              <w:jc w:val="center"/>
              <w:ind w:left="235"/>
              <w:spacing w:after="0" w:line="139" w:lineRule="exact"/>
              <w:rPr>
                <w:sz w:val="20"/>
                <w:szCs w:val="20"/>
                <w:color w:val="auto"/>
              </w:rPr>
            </w:pPr>
            <w:r>
              <w:rPr>
                <w:rFonts w:ascii="Arial" w:cs="Arial" w:eastAsia="Arial" w:hAnsi="Arial"/>
                <w:sz w:val="13"/>
                <w:szCs w:val="13"/>
                <w:color w:val="auto"/>
                <w:w w:val="97"/>
              </w:rPr>
              <w:t>-14.1%</w:t>
            </w:r>
          </w:p>
        </w:tc>
      </w:tr>
      <w:tr>
        <w:trPr>
          <w:trHeight w:val="138"/>
        </w:trPr>
        <w:tc>
          <w:tcPr>
            <w:tcW w:w="5080" w:type="dxa"/>
            <w:vAlign w:val="bottom"/>
            <w:tcBorders>
              <w:left w:val="single" w:sz="8" w:color="auto"/>
              <w:bottom w:val="single" w:sz="8" w:color="auto"/>
              <w:right w:val="single" w:sz="8" w:color="auto"/>
            </w:tcBorders>
          </w:tcPr>
          <w:p>
            <w:pPr>
              <w:ind w:left="80"/>
              <w:spacing w:after="0" w:line="139" w:lineRule="exact"/>
              <w:rPr>
                <w:sz w:val="20"/>
                <w:szCs w:val="20"/>
                <w:color w:val="auto"/>
              </w:rPr>
            </w:pPr>
            <w:r>
              <w:rPr>
                <w:rFonts w:ascii="Arial" w:cs="Arial" w:eastAsia="Arial" w:hAnsi="Arial"/>
                <w:sz w:val="13"/>
                <w:szCs w:val="13"/>
                <w:color w:val="auto"/>
              </w:rPr>
              <w:t>GP IOLs</w:t>
            </w:r>
          </w:p>
        </w:tc>
        <w:tc>
          <w:tcPr>
            <w:tcW w:w="12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1,148,499</w:t>
            </w:r>
          </w:p>
        </w:tc>
        <w:tc>
          <w:tcPr>
            <w:tcW w:w="12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827,360</w:t>
            </w:r>
          </w:p>
        </w:tc>
        <w:tc>
          <w:tcPr>
            <w:tcW w:w="126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color w:val="auto"/>
              </w:rPr>
              <w:t>565,974</w:t>
            </w:r>
          </w:p>
        </w:tc>
        <w:tc>
          <w:tcPr>
            <w:tcW w:w="880" w:type="dxa"/>
            <w:vAlign w:val="bottom"/>
            <w:tcBorders>
              <w:bottom w:val="single" w:sz="8" w:color="auto"/>
            </w:tcBorders>
          </w:tcPr>
          <w:p>
            <w:pPr>
              <w:jc w:val="center"/>
              <w:ind w:left="255"/>
              <w:spacing w:after="0" w:line="139" w:lineRule="exact"/>
              <w:rPr>
                <w:sz w:val="20"/>
                <w:szCs w:val="20"/>
                <w:color w:val="auto"/>
              </w:rPr>
            </w:pPr>
            <w:r>
              <w:rPr>
                <w:rFonts w:ascii="Arial" w:cs="Arial" w:eastAsia="Arial" w:hAnsi="Arial"/>
                <w:sz w:val="13"/>
                <w:szCs w:val="13"/>
                <w:color w:val="auto"/>
                <w:w w:val="97"/>
              </w:rPr>
              <w:t>-31.6%</w:t>
            </w:r>
          </w:p>
        </w:tc>
        <w:tc>
          <w:tcPr>
            <w:tcW w:w="1580" w:type="dxa"/>
            <w:vAlign w:val="bottom"/>
            <w:tcBorders>
              <w:bottom w:val="single" w:sz="8" w:color="auto"/>
              <w:right w:val="single" w:sz="8" w:color="auto"/>
            </w:tcBorders>
          </w:tcPr>
          <w:p>
            <w:pPr>
              <w:jc w:val="center"/>
              <w:ind w:left="235"/>
              <w:spacing w:after="0" w:line="139" w:lineRule="exact"/>
              <w:rPr>
                <w:sz w:val="20"/>
                <w:szCs w:val="20"/>
                <w:color w:val="auto"/>
              </w:rPr>
            </w:pPr>
            <w:r>
              <w:rPr>
                <w:rFonts w:ascii="Arial" w:cs="Arial" w:eastAsia="Arial" w:hAnsi="Arial"/>
                <w:sz w:val="13"/>
                <w:szCs w:val="13"/>
                <w:color w:val="auto"/>
                <w:w w:val="97"/>
              </w:rPr>
              <w:t>-50.7%</w:t>
            </w:r>
          </w:p>
        </w:tc>
      </w:tr>
      <w:tr>
        <w:trPr>
          <w:trHeight w:val="155"/>
        </w:trPr>
        <w:tc>
          <w:tcPr>
            <w:tcW w:w="5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GP IOL ratio</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9"/>
              </w:rPr>
              <w:t>12.08%</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9"/>
              </w:rPr>
              <w:t>19.79%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15.74%</w:t>
            </w:r>
          </w:p>
        </w:tc>
        <w:tc>
          <w:tcPr>
            <w:tcW w:w="880" w:type="dxa"/>
            <w:vAlign w:val="bottom"/>
          </w:tcPr>
          <w:p>
            <w:pPr>
              <w:jc w:val="center"/>
              <w:ind w:left="255"/>
              <w:spacing w:after="0"/>
              <w:rPr>
                <w:sz w:val="20"/>
                <w:szCs w:val="20"/>
                <w:color w:val="auto"/>
              </w:rPr>
            </w:pPr>
            <w:r>
              <w:rPr>
                <w:rFonts w:ascii="Arial" w:cs="Arial" w:eastAsia="Arial" w:hAnsi="Arial"/>
                <w:sz w:val="13"/>
                <w:szCs w:val="13"/>
                <w:b w:val="1"/>
                <w:bCs w:val="1"/>
                <w:color w:val="auto"/>
                <w:w w:val="98"/>
              </w:rPr>
              <w:t>-405 bps</w:t>
            </w:r>
          </w:p>
        </w:tc>
        <w:tc>
          <w:tcPr>
            <w:tcW w:w="1580" w:type="dxa"/>
            <w:vAlign w:val="bottom"/>
            <w:tcBorders>
              <w:right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99"/>
              </w:rPr>
              <w:t>366 bps</w:t>
            </w:r>
          </w:p>
        </w:tc>
      </w:tr>
      <w:tr>
        <w:trPr>
          <w:trHeight w:val="171"/>
        </w:trPr>
        <w:tc>
          <w:tcPr>
            <w:tcW w:w="5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GP Allowance for loan losses over GP Total loans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1.5%</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2.7%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3.3%</w:t>
            </w:r>
          </w:p>
        </w:tc>
        <w:tc>
          <w:tcPr>
            <w:tcW w:w="880" w:type="dxa"/>
            <w:vAlign w:val="bottom"/>
          </w:tcPr>
          <w:p>
            <w:pPr>
              <w:jc w:val="center"/>
              <w:ind w:left="255"/>
              <w:spacing w:after="0"/>
              <w:rPr>
                <w:sz w:val="20"/>
                <w:szCs w:val="20"/>
                <w:color w:val="auto"/>
              </w:rPr>
            </w:pPr>
            <w:r>
              <w:rPr>
                <w:rFonts w:ascii="Arial" w:cs="Arial" w:eastAsia="Arial" w:hAnsi="Arial"/>
                <w:sz w:val="13"/>
                <w:szCs w:val="13"/>
                <w:b w:val="1"/>
                <w:bCs w:val="1"/>
                <w:color w:val="auto"/>
                <w:w w:val="97"/>
              </w:rPr>
              <w:t>59 bps</w:t>
            </w:r>
          </w:p>
        </w:tc>
        <w:tc>
          <w:tcPr>
            <w:tcW w:w="1580" w:type="dxa"/>
            <w:vAlign w:val="bottom"/>
            <w:tcBorders>
              <w:right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99"/>
              </w:rPr>
              <w:t>186 bps</w:t>
            </w:r>
          </w:p>
        </w:tc>
      </w:tr>
      <w:tr>
        <w:trPr>
          <w:trHeight w:val="154"/>
        </w:trPr>
        <w:tc>
          <w:tcPr>
            <w:tcW w:w="5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GP Coverage ratio of IOLs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12.1%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13.8%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21.1%</w:t>
            </w:r>
          </w:p>
        </w:tc>
        <w:tc>
          <w:tcPr>
            <w:tcW w:w="88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color w:val="auto"/>
                <w:w w:val="99"/>
              </w:rPr>
              <w:t>725 bps</w:t>
            </w:r>
          </w:p>
        </w:tc>
        <w:tc>
          <w:tcPr>
            <w:tcW w:w="158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color w:val="auto"/>
                <w:w w:val="99"/>
              </w:rPr>
              <w:t>897 bps</w:t>
            </w:r>
          </w:p>
        </w:tc>
      </w:tr>
    </w:tbl>
    <w:p>
      <w:pPr>
        <w:spacing w:after="0" w:line="16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(1) Government Programs (GP) include Reactiva Peru, FAE-Mype and Impulso MyPeru.</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22" w:right="319" w:bottom="1440" w:gutter="0" w:footer="0" w:header="0"/>
        </w:sectPr>
      </w:pPr>
    </w:p>
    <w:bookmarkStart w:id="58" w:name="page59"/>
    <w:bookmarkEnd w:id="58"/>
    <w:p>
      <w:pPr>
        <w:jc w:val="right"/>
        <w:ind w:right="420"/>
        <w:spacing w:after="0"/>
        <w:tabs>
          <w:tab w:leader="none" w:pos="8300" w:val="left"/>
          <w:tab w:leader="none" w:pos="37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Portfolio Quality Ratios by Segment</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126365</wp:posOffset>
            </wp:positionV>
            <wp:extent cx="5419090" cy="19970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1909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126365</wp:posOffset>
            </wp:positionV>
            <wp:extent cx="5419090" cy="21596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19090" cy="215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87"/>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59" w:name="page60"/>
    <w:bookmarkEnd w:id="59"/>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4102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126365</wp:posOffset>
            </wp:positionV>
            <wp:extent cx="5419090" cy="20440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19090" cy="2044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126365</wp:posOffset>
            </wp:positionV>
            <wp:extent cx="5419090" cy="2167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19090"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96" w:right="319" w:bottom="1440" w:gutter="0" w:footer="0" w:header="0"/>
        </w:sectPr>
      </w:pPr>
    </w:p>
    <w:bookmarkStart w:id="60" w:name="page61"/>
    <w:bookmarkEnd w:id="60"/>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125730</wp:posOffset>
            </wp:positionV>
            <wp:extent cx="5419090" cy="2167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19090"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126365</wp:posOffset>
            </wp:positionV>
            <wp:extent cx="5419090" cy="21132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19090" cy="211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61" w:name="page62"/>
    <w:bookmarkEnd w:id="61"/>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126365</wp:posOffset>
            </wp:positionV>
            <wp:extent cx="5419090" cy="21132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19090" cy="211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126365</wp:posOffset>
            </wp:positionV>
            <wp:extent cx="5419090" cy="2500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19090" cy="250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62" w:name="page63"/>
    <w:bookmarkEnd w:id="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1160" w:type="dxa"/>
            <w:vAlign w:val="bottom"/>
            <w:tcBorders>
              <w:left w:val="single" w:sz="8" w:color="auto"/>
              <w:right w:val="single" w:sz="8" w:color="auto"/>
            </w:tcBorders>
            <w:shd w:val="clear" w:color="auto" w:fill="000000"/>
          </w:tcPr>
          <w:p>
            <w:pPr>
              <w:spacing w:after="0"/>
              <w:rPr>
                <w:sz w:val="24"/>
                <w:szCs w:val="24"/>
                <w:color w:val="auto"/>
              </w:rPr>
            </w:pPr>
          </w:p>
        </w:tc>
        <w:tc>
          <w:tcPr>
            <w:tcW w:w="4160" w:type="dxa"/>
            <w:vAlign w:val="bottom"/>
            <w:gridSpan w:val="4"/>
            <w:shd w:val="clear" w:color="auto" w:fill="000000"/>
          </w:tcPr>
          <w:p>
            <w:pPr>
              <w:jc w:val="right"/>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3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4260" w:type="dxa"/>
            <w:vAlign w:val="bottom"/>
            <w:tcBorders>
              <w:right w:val="single" w:sz="8" w:color="auto"/>
            </w:tcBorders>
            <w:gridSpan w:val="6"/>
            <w:shd w:val="clear" w:color="auto" w:fill="000000"/>
          </w:tcPr>
          <w:p>
            <w:pPr>
              <w:ind w:left="520"/>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shd w:val="clear" w:color="auto" w:fill="000000"/>
          </w:tcPr>
          <w:p>
            <w:pPr>
              <w:spacing w:after="0"/>
              <w:rPr>
                <w:sz w:val="17"/>
                <w:szCs w:val="17"/>
                <w:color w:val="auto"/>
              </w:rPr>
            </w:pPr>
          </w:p>
        </w:tc>
        <w:tc>
          <w:tcPr>
            <w:tcW w:w="1680" w:type="dxa"/>
            <w:vAlign w:val="bottom"/>
            <w:shd w:val="clear" w:color="auto" w:fill="000000"/>
          </w:tcPr>
          <w:p>
            <w:pPr>
              <w:spacing w:after="0"/>
              <w:rPr>
                <w:sz w:val="17"/>
                <w:szCs w:val="17"/>
                <w:color w:val="auto"/>
              </w:rPr>
            </w:pPr>
          </w:p>
        </w:tc>
        <w:tc>
          <w:tcPr>
            <w:tcW w:w="120" w:type="dxa"/>
            <w:vAlign w:val="bottom"/>
            <w:tcBorders>
              <w:right w:val="single" w:sz="8" w:color="auto"/>
            </w:tcBorders>
            <w:shd w:val="clear" w:color="auto" w:fill="000000"/>
          </w:tcPr>
          <w:p>
            <w:pPr>
              <w:spacing w:after="0"/>
              <w:rPr>
                <w:sz w:val="17"/>
                <w:szCs w:val="17"/>
                <w:color w:val="auto"/>
              </w:rPr>
            </w:pPr>
          </w:p>
        </w:tc>
        <w:tc>
          <w:tcPr>
            <w:tcW w:w="1200" w:type="dxa"/>
            <w:vAlign w:val="bottom"/>
            <w:shd w:val="clear" w:color="auto" w:fill="000000"/>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340" w:type="dxa"/>
            <w:vAlign w:val="bottom"/>
            <w:tcBorders>
              <w:right w:val="single" w:sz="8" w:color="auto"/>
            </w:tcBorders>
            <w:shd w:val="clear" w:color="auto" w:fill="000000"/>
          </w:tcPr>
          <w:p>
            <w:pPr>
              <w:spacing w:after="0"/>
              <w:rPr>
                <w:sz w:val="17"/>
                <w:szCs w:val="17"/>
                <w:color w:val="auto"/>
              </w:rPr>
            </w:pPr>
          </w:p>
        </w:tc>
        <w:tc>
          <w:tcPr>
            <w:tcW w:w="540" w:type="dxa"/>
            <w:vAlign w:val="bottom"/>
            <w:tcBorders>
              <w:right w:val="single" w:sz="8" w:color="auto"/>
            </w:tcBorders>
            <w:shd w:val="clear" w:color="auto" w:fill="000000"/>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1060" w:type="dxa"/>
            <w:vAlign w:val="bottom"/>
            <w:tcBorders>
              <w:right w:val="single" w:sz="8" w:color="auto"/>
            </w:tcBorders>
            <w:shd w:val="clear" w:color="auto" w:fill="000000"/>
          </w:tcPr>
          <w:p>
            <w:pPr>
              <w:spacing w:after="0"/>
              <w:rPr>
                <w:sz w:val="17"/>
                <w:szCs w:val="17"/>
                <w:color w:val="auto"/>
              </w:rPr>
            </w:pPr>
          </w:p>
        </w:tc>
        <w:tc>
          <w:tcPr>
            <w:tcW w:w="1080" w:type="dxa"/>
            <w:vAlign w:val="bottom"/>
            <w:tcBorders>
              <w:right w:val="single" w:sz="8" w:color="auto"/>
            </w:tcBorders>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840" w:type="dxa"/>
            <w:vAlign w:val="bottom"/>
            <w:tcBorders>
              <w:right w:val="single" w:sz="8" w:color="auto"/>
            </w:tcBorders>
            <w:shd w:val="clear" w:color="auto" w:fill="000000"/>
          </w:tcPr>
          <w:p>
            <w:pPr>
              <w:spacing w:after="0"/>
              <w:rPr>
                <w:sz w:val="17"/>
                <w:szCs w:val="17"/>
                <w:color w:val="auto"/>
              </w:rPr>
            </w:pPr>
          </w:p>
        </w:tc>
        <w:tc>
          <w:tcPr>
            <w:tcW w:w="80" w:type="dxa"/>
            <w:vAlign w:val="bottom"/>
            <w:tcBorders>
              <w:right w:val="single" w:sz="8" w:color="auto"/>
            </w:tcBorders>
            <w:shd w:val="clear" w:color="auto" w:fill="000000"/>
          </w:tcPr>
          <w:p>
            <w:pPr>
              <w:spacing w:after="0"/>
              <w:rPr>
                <w:sz w:val="17"/>
                <w:szCs w:val="17"/>
                <w:color w:val="auto"/>
              </w:rPr>
            </w:pPr>
          </w:p>
        </w:tc>
        <w:tc>
          <w:tcPr>
            <w:tcW w:w="104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840" w:type="dxa"/>
            <w:vAlign w:val="bottom"/>
            <w:tcBorders>
              <w:left w:val="single" w:sz="8" w:color="E93BAB"/>
            </w:tcBorders>
            <w:gridSpan w:val="2"/>
            <w:shd w:val="clear" w:color="auto" w:fill="E93BAB"/>
          </w:tcPr>
          <w:p>
            <w:pPr>
              <w:ind w:left="40"/>
              <w:spacing w:after="0"/>
              <w:rPr>
                <w:sz w:val="20"/>
                <w:szCs w:val="20"/>
                <w:color w:val="auto"/>
              </w:rPr>
            </w:pPr>
            <w:r>
              <w:rPr>
                <w:rFonts w:ascii="Arial" w:cs="Arial" w:eastAsia="Arial" w:hAnsi="Arial"/>
                <w:sz w:val="18"/>
                <w:szCs w:val="18"/>
                <w:b w:val="1"/>
                <w:bCs w:val="1"/>
                <w:color w:val="FFFFFF"/>
              </w:rPr>
              <w:t>12. Appendix</w:t>
            </w:r>
          </w:p>
        </w:tc>
        <w:tc>
          <w:tcPr>
            <w:tcW w:w="120" w:type="dxa"/>
            <w:vAlign w:val="bottom"/>
            <w:tcBorders>
              <w:right w:val="single" w:sz="8" w:color="E93BAB"/>
            </w:tcBorders>
            <w:shd w:val="clear" w:color="auto" w:fill="E93BAB"/>
          </w:tcPr>
          <w:p>
            <w:pPr>
              <w:spacing w:after="0"/>
              <w:rPr>
                <w:sz w:val="24"/>
                <w:szCs w:val="24"/>
                <w:color w:val="auto"/>
              </w:rPr>
            </w:pPr>
          </w:p>
        </w:tc>
        <w:tc>
          <w:tcPr>
            <w:tcW w:w="1200" w:type="dxa"/>
            <w:vAlign w:val="bottom"/>
            <w:shd w:val="clear" w:color="auto" w:fill="E93BAB"/>
          </w:tcPr>
          <w:p>
            <w:pPr>
              <w:spacing w:after="0"/>
              <w:rPr>
                <w:sz w:val="24"/>
                <w:szCs w:val="24"/>
                <w:color w:val="auto"/>
              </w:rPr>
            </w:pPr>
          </w:p>
        </w:tc>
        <w:tc>
          <w:tcPr>
            <w:tcW w:w="1160" w:type="dxa"/>
            <w:vAlign w:val="bottom"/>
            <w:shd w:val="clear" w:color="auto" w:fill="E93BAB"/>
          </w:tcPr>
          <w:p>
            <w:pPr>
              <w:spacing w:after="0"/>
              <w:rPr>
                <w:sz w:val="24"/>
                <w:szCs w:val="24"/>
                <w:color w:val="auto"/>
              </w:rPr>
            </w:pPr>
          </w:p>
        </w:tc>
        <w:tc>
          <w:tcPr>
            <w:tcW w:w="340" w:type="dxa"/>
            <w:vAlign w:val="bottom"/>
            <w:tcBorders>
              <w:right w:val="single" w:sz="8" w:color="E93BAB"/>
            </w:tcBorders>
            <w:shd w:val="clear" w:color="auto" w:fill="E93BAB"/>
          </w:tcPr>
          <w:p>
            <w:pPr>
              <w:spacing w:after="0"/>
              <w:rPr>
                <w:sz w:val="24"/>
                <w:szCs w:val="24"/>
                <w:color w:val="auto"/>
              </w:rPr>
            </w:pPr>
          </w:p>
        </w:tc>
        <w:tc>
          <w:tcPr>
            <w:tcW w:w="540" w:type="dxa"/>
            <w:vAlign w:val="bottom"/>
            <w:tcBorders>
              <w:right w:val="single" w:sz="8" w:color="E93BAB"/>
            </w:tcBorders>
            <w:shd w:val="clear" w:color="auto" w:fill="E93BAB"/>
          </w:tcPr>
          <w:p>
            <w:pPr>
              <w:spacing w:after="0"/>
              <w:rPr>
                <w:sz w:val="24"/>
                <w:szCs w:val="24"/>
                <w:color w:val="auto"/>
              </w:rPr>
            </w:pPr>
          </w:p>
        </w:tc>
        <w:tc>
          <w:tcPr>
            <w:tcW w:w="220" w:type="dxa"/>
            <w:vAlign w:val="bottom"/>
            <w:shd w:val="clear" w:color="auto" w:fill="E93BAB"/>
          </w:tcPr>
          <w:p>
            <w:pPr>
              <w:spacing w:after="0"/>
              <w:rPr>
                <w:sz w:val="24"/>
                <w:szCs w:val="24"/>
                <w:color w:val="auto"/>
              </w:rPr>
            </w:pPr>
          </w:p>
        </w:tc>
        <w:tc>
          <w:tcPr>
            <w:tcW w:w="580" w:type="dxa"/>
            <w:vAlign w:val="bottom"/>
            <w:shd w:val="clear" w:color="auto" w:fill="E93BAB"/>
          </w:tcPr>
          <w:p>
            <w:pPr>
              <w:spacing w:after="0"/>
              <w:rPr>
                <w:sz w:val="24"/>
                <w:szCs w:val="24"/>
                <w:color w:val="auto"/>
              </w:rPr>
            </w:pPr>
          </w:p>
        </w:tc>
        <w:tc>
          <w:tcPr>
            <w:tcW w:w="1060" w:type="dxa"/>
            <w:vAlign w:val="bottom"/>
            <w:tcBorders>
              <w:right w:val="single" w:sz="8" w:color="E93BAB"/>
            </w:tcBorders>
            <w:shd w:val="clear" w:color="auto" w:fill="E93BAB"/>
          </w:tcPr>
          <w:p>
            <w:pPr>
              <w:spacing w:after="0"/>
              <w:rPr>
                <w:sz w:val="24"/>
                <w:szCs w:val="24"/>
                <w:color w:val="auto"/>
              </w:rPr>
            </w:pPr>
          </w:p>
        </w:tc>
        <w:tc>
          <w:tcPr>
            <w:tcW w:w="1080" w:type="dxa"/>
            <w:vAlign w:val="bottom"/>
            <w:tcBorders>
              <w:right w:val="single" w:sz="8" w:color="E93BAB"/>
            </w:tcBorders>
            <w:shd w:val="clear" w:color="auto" w:fill="E93BAB"/>
          </w:tcPr>
          <w:p>
            <w:pPr>
              <w:spacing w:after="0"/>
              <w:rPr>
                <w:sz w:val="24"/>
                <w:szCs w:val="24"/>
                <w:color w:val="auto"/>
              </w:rPr>
            </w:pPr>
          </w:p>
        </w:tc>
        <w:tc>
          <w:tcPr>
            <w:tcW w:w="160" w:type="dxa"/>
            <w:vAlign w:val="bottom"/>
            <w:shd w:val="clear" w:color="auto" w:fill="E93BAB"/>
          </w:tcPr>
          <w:p>
            <w:pPr>
              <w:spacing w:after="0"/>
              <w:rPr>
                <w:sz w:val="24"/>
                <w:szCs w:val="24"/>
                <w:color w:val="auto"/>
              </w:rPr>
            </w:pPr>
          </w:p>
        </w:tc>
        <w:tc>
          <w:tcPr>
            <w:tcW w:w="840" w:type="dxa"/>
            <w:vAlign w:val="bottom"/>
            <w:tcBorders>
              <w:right w:val="single" w:sz="8" w:color="E93BAB"/>
            </w:tcBorders>
            <w:shd w:val="clear" w:color="auto" w:fill="E93BAB"/>
          </w:tcPr>
          <w:p>
            <w:pPr>
              <w:spacing w:after="0"/>
              <w:rPr>
                <w:sz w:val="24"/>
                <w:szCs w:val="24"/>
                <w:color w:val="auto"/>
              </w:rPr>
            </w:pPr>
          </w:p>
        </w:tc>
        <w:tc>
          <w:tcPr>
            <w:tcW w:w="80" w:type="dxa"/>
            <w:vAlign w:val="bottom"/>
            <w:tcBorders>
              <w:right w:val="single" w:sz="8" w:color="E93BAB"/>
            </w:tcBorders>
            <w:shd w:val="clear" w:color="auto" w:fill="E93BAB"/>
          </w:tcPr>
          <w:p>
            <w:pPr>
              <w:spacing w:after="0"/>
              <w:rPr>
                <w:sz w:val="24"/>
                <w:szCs w:val="24"/>
                <w:color w:val="auto"/>
              </w:rPr>
            </w:pPr>
          </w:p>
        </w:tc>
        <w:tc>
          <w:tcPr>
            <w:tcW w:w="1040" w:type="dxa"/>
            <w:vAlign w:val="bottom"/>
            <w:tcBorders>
              <w:right w:val="single" w:sz="8" w:color="E93BAB"/>
            </w:tcBorders>
            <w:shd w:val="clear" w:color="auto" w:fill="E93BAB"/>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160" w:type="dxa"/>
            <w:vAlign w:val="bottom"/>
            <w:tcBorders>
              <w:left w:val="single" w:sz="8" w:color="E93BAB"/>
              <w:right w:val="single" w:sz="8" w:color="E93BAB"/>
            </w:tcBorders>
            <w:shd w:val="clear" w:color="auto" w:fill="E93BAB"/>
          </w:tcPr>
          <w:p>
            <w:pPr>
              <w:spacing w:after="0"/>
              <w:rPr>
                <w:sz w:val="8"/>
                <w:szCs w:val="8"/>
                <w:color w:val="auto"/>
              </w:rPr>
            </w:pPr>
          </w:p>
        </w:tc>
        <w:tc>
          <w:tcPr>
            <w:tcW w:w="1680" w:type="dxa"/>
            <w:vAlign w:val="bottom"/>
            <w:shd w:val="clear" w:color="auto" w:fill="E93BAB"/>
          </w:tcPr>
          <w:p>
            <w:pPr>
              <w:spacing w:after="0"/>
              <w:rPr>
                <w:sz w:val="8"/>
                <w:szCs w:val="8"/>
                <w:color w:val="auto"/>
              </w:rPr>
            </w:pPr>
          </w:p>
        </w:tc>
        <w:tc>
          <w:tcPr>
            <w:tcW w:w="120" w:type="dxa"/>
            <w:vAlign w:val="bottom"/>
            <w:tcBorders>
              <w:right w:val="single" w:sz="8" w:color="E93BAB"/>
            </w:tcBorders>
            <w:shd w:val="clear" w:color="auto" w:fill="E93BAB"/>
          </w:tcPr>
          <w:p>
            <w:pPr>
              <w:spacing w:after="0"/>
              <w:rPr>
                <w:sz w:val="8"/>
                <w:szCs w:val="8"/>
                <w:color w:val="auto"/>
              </w:rPr>
            </w:pPr>
          </w:p>
        </w:tc>
        <w:tc>
          <w:tcPr>
            <w:tcW w:w="1200" w:type="dxa"/>
            <w:vAlign w:val="bottom"/>
            <w:shd w:val="clear" w:color="auto" w:fill="E93BAB"/>
          </w:tcPr>
          <w:p>
            <w:pPr>
              <w:spacing w:after="0"/>
              <w:rPr>
                <w:sz w:val="8"/>
                <w:szCs w:val="8"/>
                <w:color w:val="auto"/>
              </w:rPr>
            </w:pPr>
          </w:p>
        </w:tc>
        <w:tc>
          <w:tcPr>
            <w:tcW w:w="1160" w:type="dxa"/>
            <w:vAlign w:val="bottom"/>
            <w:shd w:val="clear" w:color="auto" w:fill="E93BAB"/>
          </w:tcPr>
          <w:p>
            <w:pPr>
              <w:spacing w:after="0"/>
              <w:rPr>
                <w:sz w:val="8"/>
                <w:szCs w:val="8"/>
                <w:color w:val="auto"/>
              </w:rPr>
            </w:pPr>
          </w:p>
        </w:tc>
        <w:tc>
          <w:tcPr>
            <w:tcW w:w="340" w:type="dxa"/>
            <w:vAlign w:val="bottom"/>
            <w:tcBorders>
              <w:right w:val="single" w:sz="8" w:color="E93BAB"/>
            </w:tcBorders>
            <w:shd w:val="clear" w:color="auto" w:fill="E93BAB"/>
          </w:tcPr>
          <w:p>
            <w:pPr>
              <w:spacing w:after="0"/>
              <w:rPr>
                <w:sz w:val="8"/>
                <w:szCs w:val="8"/>
                <w:color w:val="auto"/>
              </w:rPr>
            </w:pPr>
          </w:p>
        </w:tc>
        <w:tc>
          <w:tcPr>
            <w:tcW w:w="540" w:type="dxa"/>
            <w:vAlign w:val="bottom"/>
            <w:tcBorders>
              <w:right w:val="single" w:sz="8" w:color="E93BAB"/>
            </w:tcBorders>
            <w:shd w:val="clear" w:color="auto" w:fill="E93BAB"/>
          </w:tcPr>
          <w:p>
            <w:pPr>
              <w:spacing w:after="0"/>
              <w:rPr>
                <w:sz w:val="8"/>
                <w:szCs w:val="8"/>
                <w:color w:val="auto"/>
              </w:rPr>
            </w:pPr>
          </w:p>
        </w:tc>
        <w:tc>
          <w:tcPr>
            <w:tcW w:w="220" w:type="dxa"/>
            <w:vAlign w:val="bottom"/>
            <w:shd w:val="clear" w:color="auto" w:fill="E93BAB"/>
          </w:tcPr>
          <w:p>
            <w:pPr>
              <w:spacing w:after="0"/>
              <w:rPr>
                <w:sz w:val="8"/>
                <w:szCs w:val="8"/>
                <w:color w:val="auto"/>
              </w:rPr>
            </w:pPr>
          </w:p>
        </w:tc>
        <w:tc>
          <w:tcPr>
            <w:tcW w:w="580" w:type="dxa"/>
            <w:vAlign w:val="bottom"/>
            <w:shd w:val="clear" w:color="auto" w:fill="E93BAB"/>
          </w:tcPr>
          <w:p>
            <w:pPr>
              <w:spacing w:after="0"/>
              <w:rPr>
                <w:sz w:val="8"/>
                <w:szCs w:val="8"/>
                <w:color w:val="auto"/>
              </w:rPr>
            </w:pPr>
          </w:p>
        </w:tc>
        <w:tc>
          <w:tcPr>
            <w:tcW w:w="1060" w:type="dxa"/>
            <w:vAlign w:val="bottom"/>
            <w:tcBorders>
              <w:right w:val="single" w:sz="8" w:color="E93BAB"/>
            </w:tcBorders>
            <w:shd w:val="clear" w:color="auto" w:fill="E93BAB"/>
          </w:tcPr>
          <w:p>
            <w:pPr>
              <w:spacing w:after="0"/>
              <w:rPr>
                <w:sz w:val="8"/>
                <w:szCs w:val="8"/>
                <w:color w:val="auto"/>
              </w:rPr>
            </w:pPr>
          </w:p>
        </w:tc>
        <w:tc>
          <w:tcPr>
            <w:tcW w:w="1080" w:type="dxa"/>
            <w:vAlign w:val="bottom"/>
            <w:tcBorders>
              <w:right w:val="single" w:sz="8" w:color="E93BAB"/>
            </w:tcBorders>
            <w:shd w:val="clear" w:color="auto" w:fill="E93BAB"/>
          </w:tcPr>
          <w:p>
            <w:pPr>
              <w:spacing w:after="0"/>
              <w:rPr>
                <w:sz w:val="8"/>
                <w:szCs w:val="8"/>
                <w:color w:val="auto"/>
              </w:rPr>
            </w:pPr>
          </w:p>
        </w:tc>
        <w:tc>
          <w:tcPr>
            <w:tcW w:w="160" w:type="dxa"/>
            <w:vAlign w:val="bottom"/>
            <w:shd w:val="clear" w:color="auto" w:fill="E93BAB"/>
          </w:tcPr>
          <w:p>
            <w:pPr>
              <w:spacing w:after="0"/>
              <w:rPr>
                <w:sz w:val="8"/>
                <w:szCs w:val="8"/>
                <w:color w:val="auto"/>
              </w:rPr>
            </w:pPr>
          </w:p>
        </w:tc>
        <w:tc>
          <w:tcPr>
            <w:tcW w:w="840" w:type="dxa"/>
            <w:vAlign w:val="bottom"/>
            <w:tcBorders>
              <w:right w:val="single" w:sz="8" w:color="E93BAB"/>
            </w:tcBorders>
            <w:shd w:val="clear" w:color="auto" w:fill="E93BAB"/>
          </w:tcPr>
          <w:p>
            <w:pPr>
              <w:spacing w:after="0"/>
              <w:rPr>
                <w:sz w:val="8"/>
                <w:szCs w:val="8"/>
                <w:color w:val="auto"/>
              </w:rPr>
            </w:pPr>
          </w:p>
        </w:tc>
        <w:tc>
          <w:tcPr>
            <w:tcW w:w="80" w:type="dxa"/>
            <w:vAlign w:val="bottom"/>
            <w:tcBorders>
              <w:right w:val="single" w:sz="8" w:color="E93BAB"/>
            </w:tcBorders>
            <w:shd w:val="clear" w:color="auto" w:fill="E93BAB"/>
          </w:tcPr>
          <w:p>
            <w:pPr>
              <w:spacing w:after="0"/>
              <w:rPr>
                <w:sz w:val="8"/>
                <w:szCs w:val="8"/>
                <w:color w:val="auto"/>
              </w:rPr>
            </w:pPr>
          </w:p>
        </w:tc>
        <w:tc>
          <w:tcPr>
            <w:tcW w:w="1040" w:type="dxa"/>
            <w:vAlign w:val="bottom"/>
            <w:tcBorders>
              <w:right w:val="single" w:sz="8" w:color="E93BAB"/>
            </w:tcBorders>
            <w:shd w:val="clear" w:color="auto" w:fill="E93BAB"/>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12.4 Net Interest Income (NII)</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60" w:type="dxa"/>
            <w:vAlign w:val="bottom"/>
            <w:gridSpan w:val="4"/>
          </w:tcPr>
          <w:p>
            <w:pPr>
              <w:ind w:left="940"/>
              <w:spacing w:after="0"/>
              <w:rPr>
                <w:sz w:val="20"/>
                <w:szCs w:val="20"/>
                <w:color w:val="auto"/>
              </w:rPr>
            </w:pPr>
            <w:r>
              <w:rPr>
                <w:rFonts w:ascii="Arial" w:cs="Arial" w:eastAsia="Arial" w:hAnsi="Arial"/>
                <w:sz w:val="16"/>
                <w:szCs w:val="16"/>
                <w:b w:val="1"/>
                <w:bCs w:val="1"/>
                <w:color w:val="auto"/>
              </w:rPr>
              <w:t>NII Summary</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840" w:type="dxa"/>
            <w:vAlign w:val="bottom"/>
            <w:tcBorders>
              <w:left w:val="single" w:sz="8" w:color="auto"/>
            </w:tcBorders>
            <w:gridSpan w:val="2"/>
            <w:shd w:val="clear" w:color="auto" w:fill="2AD2C9"/>
          </w:tcPr>
          <w:p>
            <w:pPr>
              <w:ind w:left="60"/>
              <w:spacing w:after="0" w:line="139" w:lineRule="exact"/>
              <w:rPr>
                <w:sz w:val="20"/>
                <w:szCs w:val="20"/>
                <w:color w:val="auto"/>
              </w:rPr>
            </w:pPr>
            <w:r>
              <w:rPr>
                <w:rFonts w:ascii="Arial" w:cs="Arial" w:eastAsia="Arial" w:hAnsi="Arial"/>
                <w:sz w:val="13"/>
                <w:szCs w:val="13"/>
                <w:b w:val="1"/>
                <w:bCs w:val="1"/>
                <w:color w:val="FFFFFF"/>
              </w:rPr>
              <w:t>Net interest income</w:t>
            </w:r>
          </w:p>
        </w:tc>
        <w:tc>
          <w:tcPr>
            <w:tcW w:w="120" w:type="dxa"/>
            <w:vAlign w:val="bottom"/>
            <w:tcBorders>
              <w:right w:val="single" w:sz="8" w:color="auto"/>
            </w:tcBorders>
            <w:shd w:val="clear" w:color="auto" w:fill="2AD2C9"/>
          </w:tcPr>
          <w:p>
            <w:pPr>
              <w:spacing w:after="0"/>
              <w:rPr>
                <w:sz w:val="12"/>
                <w:szCs w:val="12"/>
                <w:color w:val="auto"/>
              </w:rPr>
            </w:pPr>
          </w:p>
        </w:tc>
        <w:tc>
          <w:tcPr>
            <w:tcW w:w="1200" w:type="dxa"/>
            <w:vAlign w:val="bottom"/>
            <w:shd w:val="clear" w:color="auto" w:fill="2AD2C9"/>
          </w:tcPr>
          <w:p>
            <w:pPr>
              <w:spacing w:after="0"/>
              <w:rPr>
                <w:sz w:val="12"/>
                <w:szCs w:val="12"/>
                <w:color w:val="auto"/>
              </w:rPr>
            </w:pPr>
          </w:p>
        </w:tc>
        <w:tc>
          <w:tcPr>
            <w:tcW w:w="1160" w:type="dxa"/>
            <w:vAlign w:val="bottom"/>
            <w:shd w:val="clear" w:color="auto" w:fill="2AD2C9"/>
          </w:tcPr>
          <w:p>
            <w:pPr>
              <w:jc w:val="right"/>
              <w:ind w:right="454"/>
              <w:spacing w:after="0" w:line="139" w:lineRule="exact"/>
              <w:rPr>
                <w:sz w:val="20"/>
                <w:szCs w:val="20"/>
                <w:color w:val="auto"/>
              </w:rPr>
            </w:pPr>
            <w:r>
              <w:rPr>
                <w:rFonts w:ascii="Arial" w:cs="Arial" w:eastAsia="Arial" w:hAnsi="Arial"/>
                <w:sz w:val="13"/>
                <w:szCs w:val="13"/>
                <w:b w:val="1"/>
                <w:bCs w:val="1"/>
                <w:color w:val="FFFFFF"/>
              </w:rPr>
              <w:t>Quarter</w:t>
            </w:r>
          </w:p>
        </w:tc>
        <w:tc>
          <w:tcPr>
            <w:tcW w:w="340" w:type="dxa"/>
            <w:vAlign w:val="bottom"/>
            <w:tcBorders>
              <w:right w:val="single" w:sz="8" w:color="2AD2C9"/>
            </w:tcBorders>
            <w:shd w:val="clear" w:color="auto" w:fill="2AD2C9"/>
          </w:tcPr>
          <w:p>
            <w:pPr>
              <w:spacing w:after="0"/>
              <w:rPr>
                <w:sz w:val="12"/>
                <w:szCs w:val="12"/>
                <w:color w:val="auto"/>
              </w:rPr>
            </w:pPr>
          </w:p>
        </w:tc>
        <w:tc>
          <w:tcPr>
            <w:tcW w:w="540" w:type="dxa"/>
            <w:vAlign w:val="bottom"/>
            <w:tcBorders>
              <w:right w:val="single" w:sz="8" w:color="auto"/>
            </w:tcBorders>
            <w:shd w:val="clear" w:color="auto" w:fill="2AD2C9"/>
          </w:tcPr>
          <w:p>
            <w:pPr>
              <w:spacing w:after="0"/>
              <w:rPr>
                <w:sz w:val="12"/>
                <w:szCs w:val="12"/>
                <w:color w:val="auto"/>
              </w:rPr>
            </w:pPr>
          </w:p>
        </w:tc>
        <w:tc>
          <w:tcPr>
            <w:tcW w:w="220" w:type="dxa"/>
            <w:vAlign w:val="bottom"/>
            <w:shd w:val="clear" w:color="auto" w:fill="2AD2C9"/>
          </w:tcPr>
          <w:p>
            <w:pPr>
              <w:spacing w:after="0"/>
              <w:rPr>
                <w:sz w:val="12"/>
                <w:szCs w:val="12"/>
                <w:color w:val="auto"/>
              </w:rPr>
            </w:pPr>
          </w:p>
        </w:tc>
        <w:tc>
          <w:tcPr>
            <w:tcW w:w="1640" w:type="dxa"/>
            <w:vAlign w:val="bottom"/>
            <w:tcBorders>
              <w:right w:val="single" w:sz="8" w:color="auto"/>
            </w:tcBorders>
            <w:gridSpan w:val="2"/>
            <w:shd w:val="clear" w:color="auto" w:fill="2AD2C9"/>
          </w:tcPr>
          <w:p>
            <w:pPr>
              <w:ind w:left="400"/>
              <w:spacing w:after="0" w:line="139" w:lineRule="exact"/>
              <w:rPr>
                <w:sz w:val="20"/>
                <w:szCs w:val="20"/>
                <w:color w:val="auto"/>
              </w:rPr>
            </w:pPr>
            <w:r>
              <w:rPr>
                <w:rFonts w:ascii="Arial" w:cs="Arial" w:eastAsia="Arial" w:hAnsi="Arial"/>
                <w:sz w:val="13"/>
                <w:szCs w:val="13"/>
                <w:b w:val="1"/>
                <w:bCs w:val="1"/>
                <w:color w:val="FFFFFF"/>
              </w:rPr>
              <w:t>% change</w:t>
            </w:r>
          </w:p>
        </w:tc>
        <w:tc>
          <w:tcPr>
            <w:tcW w:w="1240" w:type="dxa"/>
            <w:vAlign w:val="bottom"/>
            <w:gridSpan w:val="2"/>
            <w:shd w:val="clear" w:color="auto" w:fill="2AD2C9"/>
          </w:tcPr>
          <w:p>
            <w:pPr>
              <w:ind w:left="900"/>
              <w:spacing w:after="0" w:line="139" w:lineRule="exact"/>
              <w:rPr>
                <w:sz w:val="20"/>
                <w:szCs w:val="20"/>
                <w:color w:val="auto"/>
              </w:rPr>
            </w:pPr>
            <w:r>
              <w:rPr>
                <w:rFonts w:ascii="Arial" w:cs="Arial" w:eastAsia="Arial" w:hAnsi="Arial"/>
                <w:sz w:val="13"/>
                <w:szCs w:val="13"/>
                <w:b w:val="1"/>
                <w:bCs w:val="1"/>
                <w:color w:val="FFFFFF"/>
                <w:w w:val="98"/>
              </w:rPr>
              <w:t>As of</w:t>
            </w:r>
          </w:p>
        </w:tc>
        <w:tc>
          <w:tcPr>
            <w:tcW w:w="840" w:type="dxa"/>
            <w:vAlign w:val="bottom"/>
            <w:tcBorders>
              <w:right w:val="single" w:sz="8" w:color="2AD2C9"/>
            </w:tcBorders>
            <w:shd w:val="clear" w:color="auto" w:fill="2AD2C9"/>
          </w:tcPr>
          <w:p>
            <w:pPr>
              <w:spacing w:after="0"/>
              <w:rPr>
                <w:sz w:val="12"/>
                <w:szCs w:val="12"/>
                <w:color w:val="auto"/>
              </w:rPr>
            </w:pPr>
          </w:p>
        </w:tc>
        <w:tc>
          <w:tcPr>
            <w:tcW w:w="80" w:type="dxa"/>
            <w:vAlign w:val="bottom"/>
            <w:tcBorders>
              <w:right w:val="single" w:sz="8" w:color="auto"/>
            </w:tcBorders>
            <w:shd w:val="clear" w:color="auto" w:fill="2AD2C9"/>
          </w:tcPr>
          <w:p>
            <w:pPr>
              <w:spacing w:after="0"/>
              <w:rPr>
                <w:sz w:val="12"/>
                <w:szCs w:val="12"/>
                <w:color w:val="auto"/>
              </w:rPr>
            </w:pPr>
          </w:p>
        </w:tc>
        <w:tc>
          <w:tcPr>
            <w:tcW w:w="1040" w:type="dxa"/>
            <w:vAlign w:val="bottom"/>
            <w:tcBorders>
              <w:right w:val="single" w:sz="8" w:color="auto"/>
            </w:tcBorders>
            <w:shd w:val="clear" w:color="auto" w:fill="2AD2C9"/>
          </w:tcPr>
          <w:p>
            <w:pPr>
              <w:ind w:left="200"/>
              <w:spacing w:after="0" w:line="139" w:lineRule="exact"/>
              <w:rPr>
                <w:sz w:val="20"/>
                <w:szCs w:val="20"/>
                <w:color w:val="auto"/>
              </w:rPr>
            </w:pPr>
            <w:r>
              <w:rPr>
                <w:rFonts w:ascii="Arial" w:cs="Arial" w:eastAsia="Arial" w:hAnsi="Arial"/>
                <w:sz w:val="13"/>
                <w:szCs w:val="13"/>
                <w:b w:val="1"/>
                <w:bCs w:val="1"/>
                <w:color w:val="FFFFFF"/>
              </w:rPr>
              <w:t>change %</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bottom w:val="single" w:sz="8" w:color="auto"/>
            </w:tcBorders>
            <w:gridSpan w:val="2"/>
            <w:shd w:val="clear" w:color="auto" w:fill="2AD2C9"/>
          </w:tcPr>
          <w:p>
            <w:pPr>
              <w:ind w:left="60"/>
              <w:spacing w:after="0" w:line="146" w:lineRule="exact"/>
              <w:rPr>
                <w:sz w:val="20"/>
                <w:szCs w:val="20"/>
                <w:color w:val="auto"/>
              </w:rPr>
            </w:pPr>
            <w:r>
              <w:rPr>
                <w:rFonts w:ascii="Arial" w:cs="Arial" w:eastAsia="Arial" w:hAnsi="Arial"/>
                <w:sz w:val="13"/>
                <w:szCs w:val="13"/>
                <w:b w:val="1"/>
                <w:bCs w:val="1"/>
                <w:color w:val="FFFFFF"/>
              </w:rPr>
              <w:t>S/ 000</w:t>
            </w:r>
          </w:p>
        </w:tc>
        <w:tc>
          <w:tcPr>
            <w:tcW w:w="120" w:type="dxa"/>
            <w:vAlign w:val="bottom"/>
            <w:tcBorders>
              <w:bottom w:val="single" w:sz="8" w:color="auto"/>
              <w:right w:val="single" w:sz="8" w:color="auto"/>
            </w:tcBorders>
            <w:shd w:val="clear" w:color="auto" w:fill="2AD2C9"/>
          </w:tcPr>
          <w:p>
            <w:pPr>
              <w:spacing w:after="0"/>
              <w:rPr>
                <w:sz w:val="12"/>
                <w:szCs w:val="12"/>
                <w:color w:val="auto"/>
              </w:rPr>
            </w:pPr>
          </w:p>
        </w:tc>
        <w:tc>
          <w:tcPr>
            <w:tcW w:w="1200" w:type="dxa"/>
            <w:vAlign w:val="bottom"/>
            <w:tcBorders>
              <w:bottom w:val="single" w:sz="8" w:color="auto"/>
            </w:tcBorders>
            <w:shd w:val="clear" w:color="auto" w:fill="2AD2C9"/>
          </w:tcPr>
          <w:p>
            <w:pPr>
              <w:jc w:val="right"/>
              <w:ind w:right="434"/>
              <w:spacing w:after="0" w:line="146" w:lineRule="exact"/>
              <w:rPr>
                <w:sz w:val="20"/>
                <w:szCs w:val="20"/>
                <w:color w:val="auto"/>
              </w:rPr>
            </w:pPr>
            <w:r>
              <w:rPr>
                <w:rFonts w:ascii="Arial" w:cs="Arial" w:eastAsia="Arial" w:hAnsi="Arial"/>
                <w:sz w:val="13"/>
                <w:szCs w:val="13"/>
                <w:b w:val="1"/>
                <w:bCs w:val="1"/>
                <w:color w:val="FFFFFF"/>
              </w:rPr>
              <w:t>4Q22</w:t>
            </w:r>
          </w:p>
        </w:tc>
        <w:tc>
          <w:tcPr>
            <w:tcW w:w="1160" w:type="dxa"/>
            <w:vAlign w:val="bottom"/>
            <w:tcBorders>
              <w:bottom w:val="single" w:sz="8" w:color="auto"/>
            </w:tcBorders>
            <w:shd w:val="clear" w:color="auto" w:fill="2AD2C9"/>
          </w:tcPr>
          <w:p>
            <w:pPr>
              <w:jc w:val="right"/>
              <w:ind w:right="534"/>
              <w:spacing w:after="0" w:line="146" w:lineRule="exact"/>
              <w:rPr>
                <w:sz w:val="20"/>
                <w:szCs w:val="20"/>
                <w:color w:val="auto"/>
              </w:rPr>
            </w:pPr>
            <w:r>
              <w:rPr>
                <w:rFonts w:ascii="Arial" w:cs="Arial" w:eastAsia="Arial" w:hAnsi="Arial"/>
                <w:sz w:val="13"/>
                <w:szCs w:val="13"/>
                <w:b w:val="1"/>
                <w:bCs w:val="1"/>
                <w:color w:val="FFFFFF"/>
              </w:rPr>
              <w:t>3Q23</w:t>
            </w:r>
          </w:p>
        </w:tc>
        <w:tc>
          <w:tcPr>
            <w:tcW w:w="880" w:type="dxa"/>
            <w:vAlign w:val="bottom"/>
            <w:tcBorders>
              <w:bottom w:val="single" w:sz="8" w:color="auto"/>
              <w:right w:val="single" w:sz="8" w:color="auto"/>
            </w:tcBorders>
            <w:gridSpan w:val="2"/>
            <w:shd w:val="clear" w:color="auto" w:fill="2AD2C9"/>
          </w:tcPr>
          <w:p>
            <w:pPr>
              <w:jc w:val="right"/>
              <w:ind w:right="335"/>
              <w:spacing w:after="0" w:line="146" w:lineRule="exact"/>
              <w:rPr>
                <w:sz w:val="20"/>
                <w:szCs w:val="20"/>
                <w:color w:val="auto"/>
              </w:rPr>
            </w:pPr>
            <w:r>
              <w:rPr>
                <w:rFonts w:ascii="Arial" w:cs="Arial" w:eastAsia="Arial" w:hAnsi="Arial"/>
                <w:sz w:val="13"/>
                <w:szCs w:val="13"/>
                <w:b w:val="1"/>
                <w:bCs w:val="1"/>
                <w:color w:val="FFFFFF"/>
              </w:rPr>
              <w:t>4Q23</w:t>
            </w:r>
          </w:p>
        </w:tc>
        <w:tc>
          <w:tcPr>
            <w:tcW w:w="220" w:type="dxa"/>
            <w:vAlign w:val="bottom"/>
            <w:tcBorders>
              <w:bottom w:val="single" w:sz="8" w:color="auto"/>
            </w:tcBorders>
            <w:shd w:val="clear" w:color="auto" w:fill="2AD2C9"/>
          </w:tcPr>
          <w:p>
            <w:pPr>
              <w:spacing w:after="0"/>
              <w:rPr>
                <w:sz w:val="12"/>
                <w:szCs w:val="12"/>
                <w:color w:val="auto"/>
              </w:rPr>
            </w:pPr>
          </w:p>
        </w:tc>
        <w:tc>
          <w:tcPr>
            <w:tcW w:w="580" w:type="dxa"/>
            <w:vAlign w:val="bottom"/>
            <w:tcBorders>
              <w:bottom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b w:val="1"/>
                <w:bCs w:val="1"/>
                <w:color w:val="FFFFFF"/>
              </w:rPr>
              <w:t>QoQ</w:t>
            </w:r>
          </w:p>
        </w:tc>
        <w:tc>
          <w:tcPr>
            <w:tcW w:w="1060" w:type="dxa"/>
            <w:vAlign w:val="bottom"/>
            <w:tcBorders>
              <w:bottom w:val="single" w:sz="8" w:color="auto"/>
              <w:right w:val="single" w:sz="8" w:color="auto"/>
            </w:tcBorders>
            <w:shd w:val="clear" w:color="auto" w:fill="2AD2C9"/>
          </w:tcPr>
          <w:p>
            <w:pPr>
              <w:ind w:left="460"/>
              <w:spacing w:after="0" w:line="146" w:lineRule="exact"/>
              <w:rPr>
                <w:sz w:val="20"/>
                <w:szCs w:val="20"/>
                <w:color w:val="auto"/>
              </w:rPr>
            </w:pPr>
            <w:r>
              <w:rPr>
                <w:rFonts w:ascii="Arial" w:cs="Arial" w:eastAsia="Arial" w:hAnsi="Arial"/>
                <w:sz w:val="13"/>
                <w:szCs w:val="13"/>
                <w:b w:val="1"/>
                <w:bCs w:val="1"/>
                <w:color w:val="FFFFFF"/>
              </w:rPr>
              <w:t>YoY</w:t>
            </w:r>
          </w:p>
        </w:tc>
        <w:tc>
          <w:tcPr>
            <w:tcW w:w="1080" w:type="dxa"/>
            <w:vAlign w:val="bottom"/>
            <w:tcBorders>
              <w:bottom w:val="single" w:sz="8" w:color="auto"/>
              <w:right w:val="single" w:sz="8" w:color="2AD2C9"/>
            </w:tcBorders>
            <w:shd w:val="clear" w:color="auto" w:fill="2AD2C9"/>
          </w:tcPr>
          <w:p>
            <w:pPr>
              <w:jc w:val="right"/>
              <w:ind w:right="335"/>
              <w:spacing w:after="0" w:line="146" w:lineRule="exact"/>
              <w:rPr>
                <w:sz w:val="20"/>
                <w:szCs w:val="20"/>
                <w:color w:val="auto"/>
              </w:rPr>
            </w:pPr>
            <w:r>
              <w:rPr>
                <w:rFonts w:ascii="Arial" w:cs="Arial" w:eastAsia="Arial" w:hAnsi="Arial"/>
                <w:sz w:val="13"/>
                <w:szCs w:val="13"/>
                <w:b w:val="1"/>
                <w:bCs w:val="1"/>
                <w:color w:val="FFFFFF"/>
              </w:rPr>
              <w:t>2022</w:t>
            </w:r>
          </w:p>
        </w:tc>
        <w:tc>
          <w:tcPr>
            <w:tcW w:w="160" w:type="dxa"/>
            <w:vAlign w:val="bottom"/>
            <w:tcBorders>
              <w:bottom w:val="single" w:sz="8" w:color="auto"/>
            </w:tcBorders>
            <w:shd w:val="clear" w:color="auto" w:fill="2AD2C9"/>
          </w:tcPr>
          <w:p>
            <w:pPr>
              <w:spacing w:after="0"/>
              <w:rPr>
                <w:sz w:val="12"/>
                <w:szCs w:val="12"/>
                <w:color w:val="auto"/>
              </w:rPr>
            </w:pPr>
          </w:p>
        </w:tc>
        <w:tc>
          <w:tcPr>
            <w:tcW w:w="840" w:type="dxa"/>
            <w:vAlign w:val="bottom"/>
            <w:tcBorders>
              <w:bottom w:val="single" w:sz="8" w:color="auto"/>
              <w:right w:val="single" w:sz="8" w:color="2AD2C9"/>
            </w:tcBorders>
            <w:shd w:val="clear" w:color="auto" w:fill="2AD2C9"/>
          </w:tcPr>
          <w:p>
            <w:pPr>
              <w:jc w:val="right"/>
              <w:ind w:right="255"/>
              <w:spacing w:after="0" w:line="146" w:lineRule="exact"/>
              <w:rPr>
                <w:sz w:val="20"/>
                <w:szCs w:val="20"/>
                <w:color w:val="auto"/>
              </w:rPr>
            </w:pPr>
            <w:r>
              <w:rPr>
                <w:rFonts w:ascii="Arial" w:cs="Arial" w:eastAsia="Arial" w:hAnsi="Arial"/>
                <w:sz w:val="13"/>
                <w:szCs w:val="13"/>
                <w:b w:val="1"/>
                <w:bCs w:val="1"/>
                <w:color w:val="FFFFFF"/>
              </w:rPr>
              <w:t>2023</w:t>
            </w:r>
          </w:p>
        </w:tc>
        <w:tc>
          <w:tcPr>
            <w:tcW w:w="80" w:type="dxa"/>
            <w:vAlign w:val="bottom"/>
            <w:tcBorders>
              <w:bottom w:val="single" w:sz="8" w:color="auto"/>
              <w:right w:val="single" w:sz="8" w:color="auto"/>
            </w:tcBorders>
            <w:shd w:val="clear" w:color="auto" w:fill="2AD2C9"/>
          </w:tcPr>
          <w:p>
            <w:pPr>
              <w:spacing w:after="0"/>
              <w:rPr>
                <w:sz w:val="12"/>
                <w:szCs w:val="12"/>
                <w:color w:val="auto"/>
              </w:rPr>
            </w:pPr>
          </w:p>
        </w:tc>
        <w:tc>
          <w:tcPr>
            <w:tcW w:w="1040" w:type="dxa"/>
            <w:vAlign w:val="bottom"/>
            <w:tcBorders>
              <w:bottom w:val="single" w:sz="8" w:color="auto"/>
              <w:right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8"/>
              </w:rPr>
              <w:t>2023 / 2022</w:t>
            </w:r>
          </w:p>
        </w:tc>
        <w:tc>
          <w:tcPr>
            <w:tcW w:w="0" w:type="dxa"/>
            <w:vAlign w:val="bottom"/>
          </w:tcPr>
          <w:p>
            <w:pPr>
              <w:spacing w:after="0"/>
              <w:rPr>
                <w:sz w:val="1"/>
                <w:szCs w:val="1"/>
                <w:color w:val="auto"/>
              </w:rPr>
            </w:pPr>
          </w:p>
        </w:tc>
      </w:tr>
      <w:tr>
        <w:trPr>
          <w:trHeight w:val="131"/>
        </w:trPr>
        <w:tc>
          <w:tcPr>
            <w:tcW w:w="2840" w:type="dxa"/>
            <w:vAlign w:val="bottom"/>
            <w:tcBorders>
              <w:left w:val="single" w:sz="8" w:color="auto"/>
            </w:tcBorders>
            <w:gridSpan w:val="2"/>
          </w:tcPr>
          <w:p>
            <w:pPr>
              <w:ind w:left="60"/>
              <w:spacing w:after="0" w:line="131" w:lineRule="exact"/>
              <w:rPr>
                <w:sz w:val="20"/>
                <w:szCs w:val="20"/>
                <w:color w:val="auto"/>
              </w:rPr>
            </w:pPr>
            <w:r>
              <w:rPr>
                <w:rFonts w:ascii="Arial" w:cs="Arial" w:eastAsia="Arial" w:hAnsi="Arial"/>
                <w:sz w:val="13"/>
                <w:szCs w:val="13"/>
                <w:b w:val="1"/>
                <w:bCs w:val="1"/>
                <w:color w:val="auto"/>
              </w:rPr>
              <w:t>Interest income</w:t>
            </w:r>
          </w:p>
        </w:tc>
        <w:tc>
          <w:tcPr>
            <w:tcW w:w="120" w:type="dxa"/>
            <w:vAlign w:val="bottom"/>
            <w:tcBorders>
              <w:right w:val="single" w:sz="8" w:color="auto"/>
            </w:tcBorders>
          </w:tcPr>
          <w:p>
            <w:pPr>
              <w:spacing w:after="0"/>
              <w:rPr>
                <w:sz w:val="11"/>
                <w:szCs w:val="11"/>
                <w:color w:val="auto"/>
              </w:rPr>
            </w:pPr>
          </w:p>
        </w:tc>
        <w:tc>
          <w:tcPr>
            <w:tcW w:w="1200" w:type="dxa"/>
            <w:vAlign w:val="bottom"/>
          </w:tcPr>
          <w:p>
            <w:pPr>
              <w:jc w:val="right"/>
              <w:ind w:right="134"/>
              <w:spacing w:after="0" w:line="131" w:lineRule="exact"/>
              <w:rPr>
                <w:sz w:val="20"/>
                <w:szCs w:val="20"/>
                <w:color w:val="auto"/>
              </w:rPr>
            </w:pPr>
            <w:r>
              <w:rPr>
                <w:rFonts w:ascii="Arial" w:cs="Arial" w:eastAsia="Arial" w:hAnsi="Arial"/>
                <w:sz w:val="13"/>
                <w:szCs w:val="13"/>
                <w:b w:val="1"/>
                <w:bCs w:val="1"/>
                <w:color w:val="auto"/>
              </w:rPr>
              <w:t>4,362,139</w:t>
            </w:r>
          </w:p>
        </w:tc>
        <w:tc>
          <w:tcPr>
            <w:tcW w:w="1160" w:type="dxa"/>
            <w:vAlign w:val="bottom"/>
          </w:tcPr>
          <w:p>
            <w:pPr>
              <w:jc w:val="right"/>
              <w:ind w:right="234"/>
              <w:spacing w:after="0" w:line="131" w:lineRule="exact"/>
              <w:rPr>
                <w:sz w:val="20"/>
                <w:szCs w:val="20"/>
                <w:color w:val="auto"/>
              </w:rPr>
            </w:pPr>
            <w:r>
              <w:rPr>
                <w:rFonts w:ascii="Arial" w:cs="Arial" w:eastAsia="Arial" w:hAnsi="Arial"/>
                <w:sz w:val="13"/>
                <w:szCs w:val="13"/>
                <w:b w:val="1"/>
                <w:bCs w:val="1"/>
                <w:color w:val="auto"/>
              </w:rPr>
              <w:t>4,819,101</w:t>
            </w:r>
          </w:p>
        </w:tc>
        <w:tc>
          <w:tcPr>
            <w:tcW w:w="880" w:type="dxa"/>
            <w:vAlign w:val="bottom"/>
            <w:tcBorders>
              <w:right w:val="single" w:sz="8" w:color="auto"/>
            </w:tcBorders>
            <w:gridSpan w:val="2"/>
          </w:tcPr>
          <w:p>
            <w:pPr>
              <w:jc w:val="right"/>
              <w:ind w:right="35"/>
              <w:spacing w:after="0" w:line="131" w:lineRule="exact"/>
              <w:rPr>
                <w:sz w:val="20"/>
                <w:szCs w:val="20"/>
                <w:color w:val="auto"/>
              </w:rPr>
            </w:pPr>
            <w:r>
              <w:rPr>
                <w:rFonts w:ascii="Arial" w:cs="Arial" w:eastAsia="Arial" w:hAnsi="Arial"/>
                <w:sz w:val="13"/>
                <w:szCs w:val="13"/>
                <w:b w:val="1"/>
                <w:bCs w:val="1"/>
                <w:color w:val="auto"/>
              </w:rPr>
              <w:t>4,870,042</w:t>
            </w:r>
          </w:p>
        </w:tc>
        <w:tc>
          <w:tcPr>
            <w:tcW w:w="220" w:type="dxa"/>
            <w:vAlign w:val="bottom"/>
          </w:tcPr>
          <w:p>
            <w:pPr>
              <w:spacing w:after="0"/>
              <w:rPr>
                <w:sz w:val="11"/>
                <w:szCs w:val="11"/>
                <w:color w:val="auto"/>
              </w:rPr>
            </w:pPr>
          </w:p>
        </w:tc>
        <w:tc>
          <w:tcPr>
            <w:tcW w:w="580" w:type="dxa"/>
            <w:vAlign w:val="bottom"/>
          </w:tcPr>
          <w:p>
            <w:pPr>
              <w:jc w:val="center"/>
              <w:ind w:right="55"/>
              <w:spacing w:after="0" w:line="131" w:lineRule="exact"/>
              <w:rPr>
                <w:sz w:val="20"/>
                <w:szCs w:val="20"/>
                <w:color w:val="auto"/>
              </w:rPr>
            </w:pPr>
            <w:r>
              <w:rPr>
                <w:rFonts w:ascii="Arial" w:cs="Arial" w:eastAsia="Arial" w:hAnsi="Arial"/>
                <w:sz w:val="13"/>
                <w:szCs w:val="13"/>
                <w:b w:val="1"/>
                <w:bCs w:val="1"/>
                <w:color w:val="auto"/>
              </w:rPr>
              <w:t>1.1%</w:t>
            </w:r>
          </w:p>
        </w:tc>
        <w:tc>
          <w:tcPr>
            <w:tcW w:w="1060" w:type="dxa"/>
            <w:vAlign w:val="bottom"/>
            <w:tcBorders>
              <w:right w:val="single" w:sz="8" w:color="auto"/>
            </w:tcBorders>
          </w:tcPr>
          <w:p>
            <w:pPr>
              <w:jc w:val="center"/>
              <w:ind w:left="34"/>
              <w:spacing w:after="0" w:line="131" w:lineRule="exact"/>
              <w:rPr>
                <w:sz w:val="20"/>
                <w:szCs w:val="20"/>
                <w:color w:val="auto"/>
              </w:rPr>
            </w:pPr>
            <w:r>
              <w:rPr>
                <w:rFonts w:ascii="Arial" w:cs="Arial" w:eastAsia="Arial" w:hAnsi="Arial"/>
                <w:sz w:val="13"/>
                <w:szCs w:val="13"/>
                <w:b w:val="1"/>
                <w:bCs w:val="1"/>
                <w:color w:val="auto"/>
                <w:w w:val="97"/>
              </w:rPr>
              <w:t>11.6%</w:t>
            </w:r>
          </w:p>
        </w:tc>
        <w:tc>
          <w:tcPr>
            <w:tcW w:w="1080" w:type="dxa"/>
            <w:vAlign w:val="bottom"/>
          </w:tcPr>
          <w:p>
            <w:pPr>
              <w:jc w:val="right"/>
              <w:ind w:right="35"/>
              <w:spacing w:after="0" w:line="131" w:lineRule="exact"/>
              <w:rPr>
                <w:sz w:val="20"/>
                <w:szCs w:val="20"/>
                <w:color w:val="auto"/>
              </w:rPr>
            </w:pPr>
            <w:r>
              <w:rPr>
                <w:rFonts w:ascii="Arial" w:cs="Arial" w:eastAsia="Arial" w:hAnsi="Arial"/>
                <w:sz w:val="13"/>
                <w:szCs w:val="13"/>
                <w:b w:val="1"/>
                <w:bCs w:val="1"/>
                <w:color w:val="auto"/>
              </w:rPr>
              <w:t>15,011,282</w:t>
            </w:r>
          </w:p>
        </w:tc>
        <w:tc>
          <w:tcPr>
            <w:tcW w:w="16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18,798,495</w:t>
            </w:r>
          </w:p>
        </w:tc>
        <w:tc>
          <w:tcPr>
            <w:tcW w:w="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rPr>
              <w:t>25.2%</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180"/>
              <w:spacing w:after="0" w:line="146" w:lineRule="exact"/>
              <w:rPr>
                <w:sz w:val="20"/>
                <w:szCs w:val="20"/>
                <w:color w:val="auto"/>
              </w:rPr>
            </w:pPr>
            <w:r>
              <w:rPr>
                <w:rFonts w:ascii="Arial" w:cs="Arial" w:eastAsia="Arial" w:hAnsi="Arial"/>
                <w:sz w:val="13"/>
                <w:szCs w:val="13"/>
                <w:color w:val="auto"/>
              </w:rPr>
              <w:t>Interest on loans</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3,515,083</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3,853,361</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3,907,705</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rPr>
              <w:t>1.4%</w:t>
            </w:r>
          </w:p>
        </w:tc>
        <w:tc>
          <w:tcPr>
            <w:tcW w:w="1060" w:type="dxa"/>
            <w:vAlign w:val="bottom"/>
            <w:tcBorders>
              <w:right w:val="single" w:sz="8" w:color="auto"/>
            </w:tcBorders>
          </w:tcPr>
          <w:p>
            <w:pPr>
              <w:jc w:val="center"/>
              <w:ind w:left="34"/>
              <w:spacing w:after="0" w:line="146" w:lineRule="exact"/>
              <w:rPr>
                <w:sz w:val="20"/>
                <w:szCs w:val="20"/>
                <w:color w:val="auto"/>
              </w:rPr>
            </w:pPr>
            <w:r>
              <w:rPr>
                <w:rFonts w:ascii="Arial" w:cs="Arial" w:eastAsia="Arial" w:hAnsi="Arial"/>
                <w:sz w:val="13"/>
                <w:szCs w:val="13"/>
                <w:color w:val="auto"/>
                <w:w w:val="97"/>
              </w:rPr>
              <w:t>11.2%</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12,419,281</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15,044,863</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180"/>
              <w:spacing w:after="0" w:line="146" w:lineRule="exact"/>
              <w:rPr>
                <w:sz w:val="20"/>
                <w:szCs w:val="20"/>
                <w:color w:val="auto"/>
              </w:rPr>
            </w:pPr>
            <w:r>
              <w:rPr>
                <w:rFonts w:ascii="Arial" w:cs="Arial" w:eastAsia="Arial" w:hAnsi="Arial"/>
                <w:sz w:val="13"/>
                <w:szCs w:val="13"/>
                <w:color w:val="auto"/>
              </w:rPr>
              <w:t>Dividends on investments</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3,725</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10,464</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11,647</w:t>
            </w:r>
          </w:p>
        </w:tc>
        <w:tc>
          <w:tcPr>
            <w:tcW w:w="220" w:type="dxa"/>
            <w:vAlign w:val="bottom"/>
          </w:tcPr>
          <w:p>
            <w:pPr>
              <w:spacing w:after="0"/>
              <w:rPr>
                <w:sz w:val="12"/>
                <w:szCs w:val="12"/>
                <w:color w:val="auto"/>
              </w:rPr>
            </w:pPr>
          </w:p>
        </w:tc>
        <w:tc>
          <w:tcPr>
            <w:tcW w:w="580" w:type="dxa"/>
            <w:vAlign w:val="bottom"/>
          </w:tcPr>
          <w:p>
            <w:pPr>
              <w:jc w:val="center"/>
              <w:ind w:right="75"/>
              <w:spacing w:after="0" w:line="146" w:lineRule="exact"/>
              <w:rPr>
                <w:sz w:val="20"/>
                <w:szCs w:val="20"/>
                <w:color w:val="auto"/>
              </w:rPr>
            </w:pPr>
            <w:r>
              <w:rPr>
                <w:rFonts w:ascii="Arial" w:cs="Arial" w:eastAsia="Arial" w:hAnsi="Arial"/>
                <w:sz w:val="13"/>
                <w:szCs w:val="13"/>
                <w:color w:val="auto"/>
                <w:w w:val="97"/>
              </w:rPr>
              <w:t>11.3%</w:t>
            </w:r>
          </w:p>
        </w:tc>
        <w:tc>
          <w:tcPr>
            <w:tcW w:w="1060" w:type="dxa"/>
            <w:vAlign w:val="bottom"/>
            <w:tcBorders>
              <w:right w:val="single" w:sz="8" w:color="auto"/>
            </w:tcBorders>
          </w:tcPr>
          <w:p>
            <w:pPr>
              <w:jc w:val="center"/>
              <w:ind w:left="34"/>
              <w:spacing w:after="0" w:line="146" w:lineRule="exact"/>
              <w:rPr>
                <w:sz w:val="20"/>
                <w:szCs w:val="20"/>
                <w:color w:val="auto"/>
              </w:rPr>
            </w:pPr>
            <w:r>
              <w:rPr>
                <w:rFonts w:ascii="Arial" w:cs="Arial" w:eastAsia="Arial" w:hAnsi="Arial"/>
                <w:sz w:val="13"/>
                <w:szCs w:val="13"/>
                <w:color w:val="auto"/>
                <w:w w:val="99"/>
              </w:rPr>
              <w:t>212.7%</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29,226</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46,080</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180"/>
              <w:spacing w:after="0" w:line="146" w:lineRule="exact"/>
              <w:rPr>
                <w:sz w:val="20"/>
                <w:szCs w:val="20"/>
                <w:color w:val="auto"/>
              </w:rPr>
            </w:pPr>
            <w:r>
              <w:rPr>
                <w:rFonts w:ascii="Arial" w:cs="Arial" w:eastAsia="Arial" w:hAnsi="Arial"/>
                <w:sz w:val="13"/>
                <w:szCs w:val="13"/>
                <w:color w:val="auto"/>
              </w:rPr>
              <w:t>Interest on deposits with banks</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238,132</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289,934</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279,446</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w w:val="99"/>
              </w:rPr>
              <w:t>-3.6%</w:t>
            </w:r>
          </w:p>
        </w:tc>
        <w:tc>
          <w:tcPr>
            <w:tcW w:w="1060" w:type="dxa"/>
            <w:vAlign w:val="bottom"/>
            <w:tcBorders>
              <w:right w:val="single" w:sz="8" w:color="auto"/>
            </w:tcBorders>
          </w:tcPr>
          <w:p>
            <w:pPr>
              <w:jc w:val="center"/>
              <w:ind w:left="34"/>
              <w:spacing w:after="0" w:line="146" w:lineRule="exact"/>
              <w:rPr>
                <w:sz w:val="20"/>
                <w:szCs w:val="20"/>
                <w:color w:val="auto"/>
              </w:rPr>
            </w:pPr>
            <w:r>
              <w:rPr>
                <w:rFonts w:ascii="Arial" w:cs="Arial" w:eastAsia="Arial" w:hAnsi="Arial"/>
                <w:sz w:val="13"/>
                <w:szCs w:val="13"/>
                <w:color w:val="auto"/>
                <w:w w:val="97"/>
              </w:rPr>
              <w:t>17.3%</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467,388</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1,133,210</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142.5%</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180"/>
              <w:spacing w:after="0" w:line="146" w:lineRule="exact"/>
              <w:rPr>
                <w:sz w:val="20"/>
                <w:szCs w:val="20"/>
                <w:color w:val="auto"/>
              </w:rPr>
            </w:pPr>
            <w:r>
              <w:rPr>
                <w:rFonts w:ascii="Arial" w:cs="Arial" w:eastAsia="Arial" w:hAnsi="Arial"/>
                <w:sz w:val="13"/>
                <w:szCs w:val="13"/>
                <w:color w:val="auto"/>
              </w:rPr>
              <w:t>Interest on securities</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560,287</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641,370</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643,737</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rPr>
              <w:t>0.4%</w:t>
            </w:r>
          </w:p>
        </w:tc>
        <w:tc>
          <w:tcPr>
            <w:tcW w:w="1060" w:type="dxa"/>
            <w:vAlign w:val="bottom"/>
            <w:tcBorders>
              <w:right w:val="single" w:sz="8" w:color="auto"/>
            </w:tcBorders>
          </w:tcPr>
          <w:p>
            <w:pPr>
              <w:jc w:val="center"/>
              <w:ind w:left="34"/>
              <w:spacing w:after="0" w:line="146" w:lineRule="exact"/>
              <w:rPr>
                <w:sz w:val="20"/>
                <w:szCs w:val="20"/>
                <w:color w:val="auto"/>
              </w:rPr>
            </w:pPr>
            <w:r>
              <w:rPr>
                <w:rFonts w:ascii="Arial" w:cs="Arial" w:eastAsia="Arial" w:hAnsi="Arial"/>
                <w:sz w:val="13"/>
                <w:szCs w:val="13"/>
                <w:color w:val="auto"/>
                <w:w w:val="97"/>
              </w:rPr>
              <w:t>14.9%</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2,016,217</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2,489,327</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180"/>
              <w:spacing w:after="0" w:line="146" w:lineRule="exact"/>
              <w:rPr>
                <w:sz w:val="20"/>
                <w:szCs w:val="20"/>
                <w:color w:val="auto"/>
              </w:rPr>
            </w:pPr>
            <w:r>
              <w:rPr>
                <w:rFonts w:ascii="Arial" w:cs="Arial" w:eastAsia="Arial" w:hAnsi="Arial"/>
                <w:sz w:val="13"/>
                <w:szCs w:val="13"/>
                <w:color w:val="auto"/>
              </w:rPr>
              <w:t>Other interest income</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44,912</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23,972</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27,507</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rPr>
              <w:t>14.7%</w:t>
            </w:r>
          </w:p>
        </w:tc>
        <w:tc>
          <w:tcPr>
            <w:tcW w:w="1060" w:type="dxa"/>
            <w:vAlign w:val="bottom"/>
            <w:tcBorders>
              <w:right w:val="single" w:sz="8" w:color="auto"/>
            </w:tcBorders>
          </w:tcPr>
          <w:p>
            <w:pPr>
              <w:jc w:val="center"/>
              <w:ind w:left="14"/>
              <w:spacing w:after="0" w:line="146" w:lineRule="exact"/>
              <w:rPr>
                <w:sz w:val="20"/>
                <w:szCs w:val="20"/>
                <w:color w:val="auto"/>
              </w:rPr>
            </w:pPr>
            <w:r>
              <w:rPr>
                <w:rFonts w:ascii="Arial" w:cs="Arial" w:eastAsia="Arial" w:hAnsi="Arial"/>
                <w:sz w:val="13"/>
                <w:szCs w:val="13"/>
                <w:color w:val="auto"/>
              </w:rPr>
              <w:t>-38.8%</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79,170</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85,015</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60"/>
              <w:spacing w:after="0" w:line="146" w:lineRule="exact"/>
              <w:rPr>
                <w:sz w:val="20"/>
                <w:szCs w:val="20"/>
                <w:color w:val="auto"/>
              </w:rPr>
            </w:pPr>
            <w:r>
              <w:rPr>
                <w:rFonts w:ascii="Arial" w:cs="Arial" w:eastAsia="Arial" w:hAnsi="Arial"/>
                <w:sz w:val="13"/>
                <w:szCs w:val="13"/>
                <w:b w:val="1"/>
                <w:bCs w:val="1"/>
                <w:color w:val="auto"/>
              </w:rPr>
              <w:t>Interest expense</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14"/>
              <w:spacing w:after="0" w:line="146" w:lineRule="exact"/>
              <w:rPr>
                <w:sz w:val="20"/>
                <w:szCs w:val="20"/>
                <w:color w:val="auto"/>
              </w:rPr>
            </w:pPr>
            <w:r>
              <w:rPr>
                <w:rFonts w:ascii="Arial" w:cs="Arial" w:eastAsia="Arial" w:hAnsi="Arial"/>
                <w:sz w:val="13"/>
                <w:szCs w:val="13"/>
                <w:b w:val="1"/>
                <w:bCs w:val="1"/>
                <w:color w:val="auto"/>
              </w:rPr>
              <w:t>(1,221,735)</w:t>
            </w:r>
          </w:p>
        </w:tc>
        <w:tc>
          <w:tcPr>
            <w:tcW w:w="116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(1,565,058)</w:t>
            </w:r>
          </w:p>
        </w:tc>
        <w:tc>
          <w:tcPr>
            <w:tcW w:w="880" w:type="dxa"/>
            <w:vAlign w:val="bottom"/>
            <w:tcBorders>
              <w:right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(1,522,358)</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w w:val="99"/>
              </w:rPr>
              <w:t>-2.7%</w:t>
            </w:r>
          </w:p>
        </w:tc>
        <w:tc>
          <w:tcPr>
            <w:tcW w:w="1060" w:type="dxa"/>
            <w:vAlign w:val="bottom"/>
            <w:tcBorders>
              <w:right w:val="single" w:sz="8" w:color="auto"/>
            </w:tcBorders>
          </w:tcPr>
          <w:p>
            <w:pPr>
              <w:jc w:val="center"/>
              <w:ind w:left="34"/>
              <w:spacing w:after="0" w:line="146" w:lineRule="exact"/>
              <w:rPr>
                <w:sz w:val="20"/>
                <w:szCs w:val="20"/>
                <w:color w:val="auto"/>
              </w:rPr>
            </w:pPr>
            <w:r>
              <w:rPr>
                <w:rFonts w:ascii="Arial" w:cs="Arial" w:eastAsia="Arial" w:hAnsi="Arial"/>
                <w:sz w:val="13"/>
                <w:szCs w:val="13"/>
                <w:color w:val="auto"/>
                <w:w w:val="97"/>
              </w:rPr>
              <w:t>24.6%</w:t>
            </w:r>
          </w:p>
        </w:tc>
        <w:tc>
          <w:tcPr>
            <w:tcW w:w="108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(3,919,664)</w:t>
            </w:r>
          </w:p>
        </w:tc>
        <w:tc>
          <w:tcPr>
            <w:tcW w:w="16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60"/>
              <w:spacing w:after="0" w:line="146" w:lineRule="exact"/>
              <w:rPr>
                <w:sz w:val="20"/>
                <w:szCs w:val="20"/>
                <w:color w:val="auto"/>
              </w:rPr>
            </w:pPr>
            <w:r>
              <w:rPr>
                <w:rFonts w:ascii="Arial" w:cs="Arial" w:eastAsia="Arial" w:hAnsi="Arial"/>
                <w:sz w:val="13"/>
                <w:szCs w:val="13"/>
                <w:b w:val="1"/>
                <w:bCs w:val="1"/>
                <w:color w:val="auto"/>
              </w:rPr>
              <w:t>(5,860,523)</w:t>
            </w: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49.5%</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180"/>
              <w:spacing w:after="0" w:line="146" w:lineRule="exact"/>
              <w:rPr>
                <w:sz w:val="20"/>
                <w:szCs w:val="20"/>
                <w:color w:val="auto"/>
              </w:rPr>
            </w:pPr>
            <w:r>
              <w:rPr>
                <w:rFonts w:ascii="Arial" w:cs="Arial" w:eastAsia="Arial" w:hAnsi="Arial"/>
                <w:sz w:val="13"/>
                <w:szCs w:val="13"/>
                <w:b w:val="1"/>
                <w:bCs w:val="1"/>
                <w:color w:val="auto"/>
              </w:rPr>
              <w:t>Interest expense (excluding Net Insurance</w:t>
            </w:r>
          </w:p>
        </w:tc>
        <w:tc>
          <w:tcPr>
            <w:tcW w:w="120" w:type="dxa"/>
            <w:vAlign w:val="bottom"/>
            <w:tcBorders>
              <w:right w:val="single" w:sz="8" w:color="auto"/>
            </w:tcBorders>
          </w:tcPr>
          <w:p>
            <w:pPr>
              <w:spacing w:after="0"/>
              <w:rPr>
                <w:sz w:val="12"/>
                <w:szCs w:val="12"/>
                <w:color w:val="auto"/>
              </w:rPr>
            </w:pPr>
          </w:p>
        </w:tc>
        <w:tc>
          <w:tcPr>
            <w:tcW w:w="120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rPr>
              <w:t>(1,118,966)</w:t>
            </w:r>
          </w:p>
        </w:tc>
        <w:tc>
          <w:tcPr>
            <w:tcW w:w="116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(1,448,593)</w:t>
            </w:r>
          </w:p>
        </w:tc>
        <w:tc>
          <w:tcPr>
            <w:tcW w:w="8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(1,402,925)</w:t>
            </w:r>
          </w:p>
        </w:tc>
        <w:tc>
          <w:tcPr>
            <w:tcW w:w="220" w:type="dxa"/>
            <w:vAlign w:val="bottom"/>
          </w:tcPr>
          <w:p>
            <w:pPr>
              <w:spacing w:after="0"/>
              <w:rPr>
                <w:sz w:val="12"/>
                <w:szCs w:val="12"/>
                <w:color w:val="auto"/>
              </w:rPr>
            </w:pPr>
          </w:p>
        </w:tc>
        <w:tc>
          <w:tcPr>
            <w:tcW w:w="5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9"/>
              </w:rPr>
              <w:t>-3.2%</w:t>
            </w:r>
          </w:p>
        </w:tc>
        <w:tc>
          <w:tcPr>
            <w:tcW w:w="1060" w:type="dxa"/>
            <w:vAlign w:val="bottom"/>
            <w:tcBorders>
              <w:right w:val="single" w:sz="8" w:color="auto"/>
            </w:tcBorders>
            <w:vMerge w:val="restart"/>
          </w:tcPr>
          <w:p>
            <w:pPr>
              <w:jc w:val="center"/>
              <w:ind w:left="34"/>
              <w:spacing w:after="0"/>
              <w:rPr>
                <w:sz w:val="20"/>
                <w:szCs w:val="20"/>
                <w:color w:val="auto"/>
              </w:rPr>
            </w:pPr>
            <w:r>
              <w:rPr>
                <w:rFonts w:ascii="Arial" w:cs="Arial" w:eastAsia="Arial" w:hAnsi="Arial"/>
                <w:sz w:val="13"/>
                <w:szCs w:val="13"/>
                <w:b w:val="1"/>
                <w:bCs w:val="1"/>
                <w:color w:val="auto"/>
                <w:w w:val="97"/>
              </w:rPr>
              <w:t>25.4%</w:t>
            </w: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(3,493,187)</w:t>
            </w:r>
          </w:p>
        </w:tc>
        <w:tc>
          <w:tcPr>
            <w:tcW w:w="16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(5,393,709)</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54.4%</w:t>
            </w:r>
          </w:p>
        </w:tc>
        <w:tc>
          <w:tcPr>
            <w:tcW w:w="0" w:type="dxa"/>
            <w:vAlign w:val="bottom"/>
          </w:tcPr>
          <w:p>
            <w:pPr>
              <w:spacing w:after="0"/>
              <w:rPr>
                <w:sz w:val="1"/>
                <w:szCs w:val="1"/>
                <w:color w:val="auto"/>
              </w:rPr>
            </w:pPr>
          </w:p>
        </w:tc>
      </w:tr>
      <w:tr>
        <w:trPr>
          <w:trHeight w:val="104"/>
        </w:trPr>
        <w:tc>
          <w:tcPr>
            <w:tcW w:w="2840" w:type="dxa"/>
            <w:vAlign w:val="bottom"/>
            <w:tcBorders>
              <w:left w:val="single" w:sz="8" w:color="auto"/>
            </w:tcBorders>
            <w:gridSpan w:val="2"/>
            <w:vMerge w:val="restart"/>
          </w:tcPr>
          <w:p>
            <w:pPr>
              <w:ind w:left="180"/>
              <w:spacing w:after="0" w:line="146" w:lineRule="exact"/>
              <w:rPr>
                <w:sz w:val="20"/>
                <w:szCs w:val="20"/>
                <w:color w:val="auto"/>
              </w:rPr>
            </w:pPr>
            <w:r>
              <w:rPr>
                <w:rFonts w:ascii="Arial" w:cs="Arial" w:eastAsia="Arial" w:hAnsi="Arial"/>
                <w:sz w:val="13"/>
                <w:szCs w:val="13"/>
                <w:b w:val="1"/>
                <w:bCs w:val="1"/>
                <w:color w:val="auto"/>
              </w:rPr>
              <w:t>Financial Expenses)</w:t>
            </w:r>
          </w:p>
        </w:tc>
        <w:tc>
          <w:tcPr>
            <w:tcW w:w="120" w:type="dxa"/>
            <w:vAlign w:val="bottom"/>
            <w:tcBorders>
              <w:right w:val="single" w:sz="8" w:color="auto"/>
            </w:tcBorders>
          </w:tcPr>
          <w:p>
            <w:pPr>
              <w:spacing w:after="0"/>
              <w:rPr>
                <w:sz w:val="9"/>
                <w:szCs w:val="9"/>
                <w:color w:val="auto"/>
              </w:rPr>
            </w:pPr>
          </w:p>
        </w:tc>
        <w:tc>
          <w:tcPr>
            <w:tcW w:w="12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80" w:type="dxa"/>
            <w:vAlign w:val="bottom"/>
            <w:tcBorders>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840" w:type="dxa"/>
            <w:vAlign w:val="bottom"/>
            <w:tcBorders>
              <w:left w:val="single" w:sz="8" w:color="auto"/>
            </w:tcBorders>
            <w:gridSpan w:val="2"/>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260"/>
              <w:spacing w:after="0" w:line="146" w:lineRule="exact"/>
              <w:rPr>
                <w:sz w:val="20"/>
                <w:szCs w:val="20"/>
                <w:color w:val="auto"/>
              </w:rPr>
            </w:pPr>
            <w:r>
              <w:rPr>
                <w:rFonts w:ascii="Arial" w:cs="Arial" w:eastAsia="Arial" w:hAnsi="Arial"/>
                <w:sz w:val="13"/>
                <w:szCs w:val="13"/>
                <w:color w:val="auto"/>
              </w:rPr>
              <w:t>Interest on deposits</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582,237</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859,659</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827,124</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w w:val="99"/>
              </w:rPr>
              <w:t>-3.8%</w:t>
            </w:r>
          </w:p>
        </w:tc>
        <w:tc>
          <w:tcPr>
            <w:tcW w:w="1060" w:type="dxa"/>
            <w:vAlign w:val="bottom"/>
            <w:tcBorders>
              <w:right w:val="single" w:sz="8" w:color="auto"/>
            </w:tcBorders>
          </w:tcPr>
          <w:p>
            <w:pPr>
              <w:jc w:val="center"/>
              <w:ind w:left="34"/>
              <w:spacing w:after="0" w:line="146" w:lineRule="exact"/>
              <w:rPr>
                <w:sz w:val="20"/>
                <w:szCs w:val="20"/>
                <w:color w:val="auto"/>
              </w:rPr>
            </w:pPr>
            <w:r>
              <w:rPr>
                <w:rFonts w:ascii="Arial" w:cs="Arial" w:eastAsia="Arial" w:hAnsi="Arial"/>
                <w:sz w:val="13"/>
                <w:szCs w:val="13"/>
                <w:color w:val="auto"/>
                <w:w w:val="97"/>
              </w:rPr>
              <w:t>42.1%</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1,688,245</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3,141,307</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86.1%</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260"/>
              <w:spacing w:after="0" w:line="146" w:lineRule="exact"/>
              <w:rPr>
                <w:sz w:val="20"/>
                <w:szCs w:val="20"/>
                <w:color w:val="auto"/>
              </w:rPr>
            </w:pPr>
            <w:r>
              <w:rPr>
                <w:rFonts w:ascii="Arial" w:cs="Arial" w:eastAsia="Arial" w:hAnsi="Arial"/>
                <w:sz w:val="13"/>
                <w:szCs w:val="13"/>
                <w:color w:val="auto"/>
              </w:rPr>
              <w:t>Interest on borrowed funds</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239,425</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325,619</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297,260</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w w:val="99"/>
              </w:rPr>
              <w:t>-8.7%</w:t>
            </w:r>
          </w:p>
        </w:tc>
        <w:tc>
          <w:tcPr>
            <w:tcW w:w="1060" w:type="dxa"/>
            <w:vAlign w:val="bottom"/>
            <w:tcBorders>
              <w:right w:val="single" w:sz="8" w:color="auto"/>
            </w:tcBorders>
          </w:tcPr>
          <w:p>
            <w:pPr>
              <w:jc w:val="center"/>
              <w:ind w:left="34"/>
              <w:spacing w:after="0" w:line="146" w:lineRule="exact"/>
              <w:rPr>
                <w:sz w:val="20"/>
                <w:szCs w:val="20"/>
                <w:color w:val="auto"/>
              </w:rPr>
            </w:pPr>
            <w:r>
              <w:rPr>
                <w:rFonts w:ascii="Arial" w:cs="Arial" w:eastAsia="Arial" w:hAnsi="Arial"/>
                <w:sz w:val="13"/>
                <w:szCs w:val="13"/>
                <w:color w:val="auto"/>
                <w:w w:val="97"/>
              </w:rPr>
              <w:t>24.2%</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683,078</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1,158,666</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69.6%</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260"/>
              <w:spacing w:after="0" w:line="146" w:lineRule="exact"/>
              <w:rPr>
                <w:sz w:val="20"/>
                <w:szCs w:val="20"/>
                <w:color w:val="auto"/>
              </w:rPr>
            </w:pPr>
            <w:r>
              <w:rPr>
                <w:rFonts w:ascii="Arial" w:cs="Arial" w:eastAsia="Arial" w:hAnsi="Arial"/>
                <w:sz w:val="13"/>
                <w:szCs w:val="13"/>
                <w:color w:val="auto"/>
              </w:rPr>
              <w:t>Interest on bonds and subordinated notes</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170,772</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149,449</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152,960</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rPr>
              <w:t>2.3%</w:t>
            </w:r>
          </w:p>
        </w:tc>
        <w:tc>
          <w:tcPr>
            <w:tcW w:w="1060" w:type="dxa"/>
            <w:vAlign w:val="bottom"/>
            <w:tcBorders>
              <w:right w:val="single" w:sz="8" w:color="auto"/>
            </w:tcBorders>
          </w:tcPr>
          <w:p>
            <w:pPr>
              <w:jc w:val="center"/>
              <w:ind w:left="14"/>
              <w:spacing w:after="0" w:line="146" w:lineRule="exact"/>
              <w:rPr>
                <w:sz w:val="20"/>
                <w:szCs w:val="20"/>
                <w:color w:val="auto"/>
              </w:rPr>
            </w:pPr>
            <w:r>
              <w:rPr>
                <w:rFonts w:ascii="Arial" w:cs="Arial" w:eastAsia="Arial" w:hAnsi="Arial"/>
                <w:sz w:val="13"/>
                <w:szCs w:val="13"/>
                <w:color w:val="auto"/>
              </w:rPr>
              <w:t>-10.4%</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728,218</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634,299</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260"/>
              <w:spacing w:after="0" w:line="146" w:lineRule="exact"/>
              <w:rPr>
                <w:sz w:val="20"/>
                <w:szCs w:val="20"/>
                <w:color w:val="auto"/>
              </w:rPr>
            </w:pPr>
            <w:r>
              <w:rPr>
                <w:rFonts w:ascii="Arial" w:cs="Arial" w:eastAsia="Arial" w:hAnsi="Arial"/>
                <w:sz w:val="13"/>
                <w:szCs w:val="13"/>
                <w:color w:val="auto"/>
              </w:rPr>
              <w:t>Other interest expense</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126,532</w:t>
            </w:r>
          </w:p>
        </w:tc>
        <w:tc>
          <w:tcPr>
            <w:tcW w:w="116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113,866</w:t>
            </w:r>
          </w:p>
        </w:tc>
        <w:tc>
          <w:tcPr>
            <w:tcW w:w="880" w:type="dxa"/>
            <w:vAlign w:val="bottom"/>
            <w:tcBorders>
              <w:right w:val="single" w:sz="8" w:color="auto"/>
            </w:tcBorders>
            <w:gridSpan w:val="2"/>
          </w:tcPr>
          <w:p>
            <w:pPr>
              <w:jc w:val="right"/>
              <w:ind w:right="35"/>
              <w:spacing w:after="0" w:line="146" w:lineRule="exact"/>
              <w:rPr>
                <w:sz w:val="20"/>
                <w:szCs w:val="20"/>
                <w:color w:val="auto"/>
              </w:rPr>
            </w:pPr>
            <w:r>
              <w:rPr>
                <w:rFonts w:ascii="Arial" w:cs="Arial" w:eastAsia="Arial" w:hAnsi="Arial"/>
                <w:sz w:val="13"/>
                <w:szCs w:val="13"/>
                <w:color w:val="auto"/>
              </w:rPr>
              <w:t>125,581</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color w:val="auto"/>
              </w:rPr>
              <w:t>10.3%</w:t>
            </w:r>
          </w:p>
        </w:tc>
        <w:tc>
          <w:tcPr>
            <w:tcW w:w="1060" w:type="dxa"/>
            <w:vAlign w:val="bottom"/>
            <w:tcBorders>
              <w:right w:val="single" w:sz="8" w:color="auto"/>
            </w:tcBorders>
          </w:tcPr>
          <w:p>
            <w:pPr>
              <w:jc w:val="center"/>
              <w:ind w:left="14"/>
              <w:spacing w:after="0" w:line="146" w:lineRule="exact"/>
              <w:rPr>
                <w:sz w:val="20"/>
                <w:szCs w:val="20"/>
                <w:color w:val="auto"/>
              </w:rPr>
            </w:pPr>
            <w:r>
              <w:rPr>
                <w:rFonts w:ascii="Arial" w:cs="Arial" w:eastAsia="Arial" w:hAnsi="Arial"/>
                <w:sz w:val="13"/>
                <w:szCs w:val="13"/>
                <w:color w:val="auto"/>
                <w:w w:val="99"/>
              </w:rPr>
              <w:t>-0.8%</w:t>
            </w:r>
          </w:p>
        </w:tc>
        <w:tc>
          <w:tcPr>
            <w:tcW w:w="1080" w:type="dxa"/>
            <w:vAlign w:val="bottom"/>
          </w:tcPr>
          <w:p>
            <w:pPr>
              <w:jc w:val="right"/>
              <w:ind w:right="35"/>
              <w:spacing w:after="0" w:line="146" w:lineRule="exact"/>
              <w:rPr>
                <w:sz w:val="20"/>
                <w:szCs w:val="20"/>
                <w:color w:val="auto"/>
              </w:rPr>
            </w:pPr>
            <w:r>
              <w:rPr>
                <w:rFonts w:ascii="Arial" w:cs="Arial" w:eastAsia="Arial" w:hAnsi="Arial"/>
                <w:sz w:val="13"/>
                <w:szCs w:val="13"/>
                <w:color w:val="auto"/>
              </w:rPr>
              <w:t>393,646</w:t>
            </w:r>
          </w:p>
        </w:tc>
        <w:tc>
          <w:tcPr>
            <w:tcW w:w="16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459,437</w:t>
            </w:r>
          </w:p>
        </w:tc>
        <w:tc>
          <w:tcPr>
            <w:tcW w:w="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180"/>
              <w:spacing w:after="0" w:line="146" w:lineRule="exact"/>
              <w:rPr>
                <w:sz w:val="20"/>
                <w:szCs w:val="20"/>
                <w:color w:val="auto"/>
              </w:rPr>
            </w:pPr>
            <w:r>
              <w:rPr>
                <w:rFonts w:ascii="Arial" w:cs="Arial" w:eastAsia="Arial" w:hAnsi="Arial"/>
                <w:sz w:val="13"/>
                <w:szCs w:val="13"/>
                <w:b w:val="1"/>
                <w:bCs w:val="1"/>
                <w:color w:val="auto"/>
              </w:rPr>
              <w:t>Net Insurance Financial Expenses</w:t>
            </w:r>
          </w:p>
        </w:tc>
        <w:tc>
          <w:tcPr>
            <w:tcW w:w="120" w:type="dxa"/>
            <w:vAlign w:val="bottom"/>
            <w:tcBorders>
              <w:right w:val="single" w:sz="8" w:color="auto"/>
            </w:tcBorders>
          </w:tcPr>
          <w:p>
            <w:pPr>
              <w:spacing w:after="0"/>
              <w:rPr>
                <w:sz w:val="12"/>
                <w:szCs w:val="12"/>
                <w:color w:val="auto"/>
              </w:rPr>
            </w:pPr>
          </w:p>
        </w:tc>
        <w:tc>
          <w:tcPr>
            <w:tcW w:w="1200" w:type="dxa"/>
            <w:vAlign w:val="bottom"/>
          </w:tcPr>
          <w:p>
            <w:pPr>
              <w:jc w:val="right"/>
              <w:ind w:right="114"/>
              <w:spacing w:after="0" w:line="146" w:lineRule="exact"/>
              <w:rPr>
                <w:sz w:val="20"/>
                <w:szCs w:val="20"/>
                <w:color w:val="auto"/>
              </w:rPr>
            </w:pPr>
            <w:r>
              <w:rPr>
                <w:rFonts w:ascii="Arial" w:cs="Arial" w:eastAsia="Arial" w:hAnsi="Arial"/>
                <w:sz w:val="13"/>
                <w:szCs w:val="13"/>
                <w:b w:val="1"/>
                <w:bCs w:val="1"/>
                <w:color w:val="auto"/>
              </w:rPr>
              <w:t>(102,769)</w:t>
            </w:r>
          </w:p>
        </w:tc>
        <w:tc>
          <w:tcPr>
            <w:tcW w:w="116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(116,465)</w:t>
            </w:r>
          </w:p>
        </w:tc>
        <w:tc>
          <w:tcPr>
            <w:tcW w:w="880" w:type="dxa"/>
            <w:vAlign w:val="bottom"/>
            <w:tcBorders>
              <w:right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(119,433)</w:t>
            </w:r>
          </w:p>
        </w:tc>
        <w:tc>
          <w:tcPr>
            <w:tcW w:w="220" w:type="dxa"/>
            <w:vAlign w:val="bottom"/>
          </w:tcPr>
          <w:p>
            <w:pPr>
              <w:spacing w:after="0"/>
              <w:rPr>
                <w:sz w:val="12"/>
                <w:szCs w:val="12"/>
                <w:color w:val="auto"/>
              </w:rPr>
            </w:pPr>
          </w:p>
        </w:tc>
        <w:tc>
          <w:tcPr>
            <w:tcW w:w="58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rPr>
              <w:t>2.5%</w:t>
            </w:r>
          </w:p>
        </w:tc>
        <w:tc>
          <w:tcPr>
            <w:tcW w:w="1060" w:type="dxa"/>
            <w:vAlign w:val="bottom"/>
            <w:tcBorders>
              <w:right w:val="single" w:sz="8" w:color="auto"/>
            </w:tcBorders>
          </w:tcPr>
          <w:p>
            <w:pPr>
              <w:jc w:val="center"/>
              <w:ind w:left="34"/>
              <w:spacing w:after="0" w:line="146" w:lineRule="exact"/>
              <w:rPr>
                <w:sz w:val="20"/>
                <w:szCs w:val="20"/>
                <w:color w:val="auto"/>
              </w:rPr>
            </w:pPr>
            <w:r>
              <w:rPr>
                <w:rFonts w:ascii="Arial" w:cs="Arial" w:eastAsia="Arial" w:hAnsi="Arial"/>
                <w:sz w:val="13"/>
                <w:szCs w:val="13"/>
                <w:b w:val="1"/>
                <w:bCs w:val="1"/>
                <w:color w:val="auto"/>
                <w:w w:val="97"/>
              </w:rPr>
              <w:t>16.2%</w:t>
            </w:r>
          </w:p>
        </w:tc>
        <w:tc>
          <w:tcPr>
            <w:tcW w:w="108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(426,477)</w:t>
            </w:r>
          </w:p>
        </w:tc>
        <w:tc>
          <w:tcPr>
            <w:tcW w:w="16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60"/>
              <w:spacing w:after="0" w:line="146" w:lineRule="exact"/>
              <w:rPr>
                <w:sz w:val="20"/>
                <w:szCs w:val="20"/>
                <w:color w:val="auto"/>
              </w:rPr>
            </w:pPr>
            <w:r>
              <w:rPr>
                <w:rFonts w:ascii="Arial" w:cs="Arial" w:eastAsia="Arial" w:hAnsi="Arial"/>
                <w:sz w:val="13"/>
                <w:szCs w:val="13"/>
                <w:b w:val="1"/>
                <w:bCs w:val="1"/>
                <w:color w:val="auto"/>
              </w:rPr>
              <w:t>(466,814)</w:t>
            </w: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9.5%</w:t>
            </w:r>
          </w:p>
        </w:tc>
        <w:tc>
          <w:tcPr>
            <w:tcW w:w="0" w:type="dxa"/>
            <w:vAlign w:val="bottom"/>
          </w:tcPr>
          <w:p>
            <w:pPr>
              <w:spacing w:after="0"/>
              <w:rPr>
                <w:sz w:val="1"/>
                <w:szCs w:val="1"/>
                <w:color w:val="auto"/>
              </w:rPr>
            </w:pPr>
          </w:p>
        </w:tc>
      </w:tr>
      <w:tr>
        <w:trPr>
          <w:trHeight w:val="154"/>
        </w:trPr>
        <w:tc>
          <w:tcPr>
            <w:tcW w:w="2840" w:type="dxa"/>
            <w:vAlign w:val="bottom"/>
            <w:tcBorders>
              <w:left w:val="single" w:sz="8" w:color="auto"/>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Net interest income</w:t>
            </w:r>
          </w:p>
        </w:tc>
        <w:tc>
          <w:tcPr>
            <w:tcW w:w="1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3,140,404</w:t>
            </w: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3,254,043</w:t>
            </w:r>
          </w:p>
        </w:tc>
        <w:tc>
          <w:tcPr>
            <w:tcW w:w="880" w:type="dxa"/>
            <w:vAlign w:val="bottom"/>
            <w:tcBorders>
              <w:bottom w:val="single" w:sz="8" w:color="auto"/>
              <w:right w:val="single" w:sz="8" w:color="auto"/>
            </w:tcBorders>
            <w:gridSpan w:val="2"/>
          </w:tcPr>
          <w:p>
            <w:pPr>
              <w:jc w:val="right"/>
              <w:ind w:right="35"/>
              <w:spacing w:after="0"/>
              <w:rPr>
                <w:sz w:val="20"/>
                <w:szCs w:val="20"/>
                <w:color w:val="auto"/>
              </w:rPr>
            </w:pPr>
            <w:r>
              <w:rPr>
                <w:rFonts w:ascii="Arial" w:cs="Arial" w:eastAsia="Arial" w:hAnsi="Arial"/>
                <w:sz w:val="13"/>
                <w:szCs w:val="13"/>
                <w:b w:val="1"/>
                <w:bCs w:val="1"/>
                <w:color w:val="auto"/>
              </w:rPr>
              <w:t>3,347,684</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rPr>
              <w:t>2.9%</w:t>
            </w:r>
          </w:p>
        </w:tc>
        <w:tc>
          <w:tcPr>
            <w:tcW w:w="10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6.6%</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11,091,618</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12,937,972</w:t>
            </w:r>
          </w:p>
        </w:tc>
        <w:tc>
          <w:tcPr>
            <w:tcW w:w="8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16.6%</w:t>
            </w:r>
          </w:p>
        </w:tc>
        <w:tc>
          <w:tcPr>
            <w:tcW w:w="0" w:type="dxa"/>
            <w:vAlign w:val="bottom"/>
          </w:tcPr>
          <w:p>
            <w:pPr>
              <w:spacing w:after="0"/>
              <w:rPr>
                <w:sz w:val="1"/>
                <w:szCs w:val="1"/>
                <w:color w:val="auto"/>
              </w:rPr>
            </w:pPr>
          </w:p>
        </w:tc>
      </w:tr>
      <w:tr>
        <w:trPr>
          <w:trHeight w:val="138"/>
        </w:trPr>
        <w:tc>
          <w:tcPr>
            <w:tcW w:w="2840" w:type="dxa"/>
            <w:vAlign w:val="bottom"/>
            <w:tcBorders>
              <w:left w:val="single" w:sz="8" w:color="auto"/>
              <w:bottom w:val="single" w:sz="8" w:color="auto"/>
            </w:tcBorders>
            <w:gridSpan w:val="2"/>
          </w:tcPr>
          <w:p>
            <w:pPr>
              <w:ind w:left="60"/>
              <w:spacing w:after="0" w:line="139" w:lineRule="exact"/>
              <w:rPr>
                <w:sz w:val="20"/>
                <w:szCs w:val="20"/>
                <w:color w:val="auto"/>
              </w:rPr>
            </w:pPr>
            <w:r>
              <w:rPr>
                <w:rFonts w:ascii="Arial" w:cs="Arial" w:eastAsia="Arial" w:hAnsi="Arial"/>
                <w:sz w:val="13"/>
                <w:szCs w:val="13"/>
                <w:b w:val="1"/>
                <w:bCs w:val="1"/>
                <w:color w:val="auto"/>
              </w:rPr>
              <w:t>Risk-adjusted Net interest income</w:t>
            </w:r>
          </w:p>
        </w:tc>
        <w:tc>
          <w:tcPr>
            <w:tcW w:w="12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jc w:val="right"/>
              <w:ind w:right="134"/>
              <w:spacing w:after="0" w:line="139" w:lineRule="exact"/>
              <w:rPr>
                <w:sz w:val="20"/>
                <w:szCs w:val="20"/>
                <w:color w:val="auto"/>
              </w:rPr>
            </w:pPr>
            <w:r>
              <w:rPr>
                <w:rFonts w:ascii="Arial" w:cs="Arial" w:eastAsia="Arial" w:hAnsi="Arial"/>
                <w:sz w:val="13"/>
                <w:szCs w:val="13"/>
                <w:b w:val="1"/>
                <w:bCs w:val="1"/>
                <w:color w:val="auto"/>
              </w:rPr>
              <w:t>2,409,723</w:t>
            </w:r>
          </w:p>
        </w:tc>
        <w:tc>
          <w:tcPr>
            <w:tcW w:w="1160" w:type="dxa"/>
            <w:vAlign w:val="bottom"/>
            <w:tcBorders>
              <w:bottom w:val="single" w:sz="8" w:color="auto"/>
            </w:tcBorders>
          </w:tcPr>
          <w:p>
            <w:pPr>
              <w:jc w:val="right"/>
              <w:ind w:right="234"/>
              <w:spacing w:after="0" w:line="139" w:lineRule="exact"/>
              <w:rPr>
                <w:sz w:val="20"/>
                <w:szCs w:val="20"/>
                <w:color w:val="auto"/>
              </w:rPr>
            </w:pPr>
            <w:r>
              <w:rPr>
                <w:rFonts w:ascii="Arial" w:cs="Arial" w:eastAsia="Arial" w:hAnsi="Arial"/>
                <w:sz w:val="13"/>
                <w:szCs w:val="13"/>
                <w:b w:val="1"/>
                <w:bCs w:val="1"/>
                <w:color w:val="auto"/>
              </w:rPr>
              <w:t>2,336,401</w:t>
            </w:r>
          </w:p>
        </w:tc>
        <w:tc>
          <w:tcPr>
            <w:tcW w:w="880" w:type="dxa"/>
            <w:vAlign w:val="bottom"/>
            <w:tcBorders>
              <w:bottom w:val="single" w:sz="8" w:color="auto"/>
              <w:right w:val="single" w:sz="8" w:color="auto"/>
            </w:tcBorders>
            <w:gridSpan w:val="2"/>
          </w:tcPr>
          <w:p>
            <w:pPr>
              <w:jc w:val="right"/>
              <w:ind w:right="35"/>
              <w:spacing w:after="0" w:line="139" w:lineRule="exact"/>
              <w:rPr>
                <w:sz w:val="20"/>
                <w:szCs w:val="20"/>
                <w:color w:val="auto"/>
              </w:rPr>
            </w:pPr>
            <w:r>
              <w:rPr>
                <w:rFonts w:ascii="Arial" w:cs="Arial" w:eastAsia="Arial" w:hAnsi="Arial"/>
                <w:sz w:val="13"/>
                <w:szCs w:val="13"/>
                <w:b w:val="1"/>
                <w:bCs w:val="1"/>
                <w:color w:val="auto"/>
              </w:rPr>
              <w:t>2,174,230</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5"/>
              <w:spacing w:after="0" w:line="139" w:lineRule="exact"/>
              <w:rPr>
                <w:sz w:val="20"/>
                <w:szCs w:val="20"/>
                <w:color w:val="auto"/>
              </w:rPr>
            </w:pPr>
            <w:r>
              <w:rPr>
                <w:rFonts w:ascii="Arial" w:cs="Arial" w:eastAsia="Arial" w:hAnsi="Arial"/>
                <w:sz w:val="13"/>
                <w:szCs w:val="13"/>
                <w:b w:val="1"/>
                <w:bCs w:val="1"/>
                <w:color w:val="auto"/>
                <w:w w:val="99"/>
              </w:rPr>
              <w:t>-6.9%</w:t>
            </w:r>
          </w:p>
        </w:tc>
        <w:tc>
          <w:tcPr>
            <w:tcW w:w="1060" w:type="dxa"/>
            <w:vAlign w:val="bottom"/>
            <w:tcBorders>
              <w:bottom w:val="single" w:sz="8" w:color="auto"/>
              <w:right w:val="single" w:sz="8" w:color="auto"/>
            </w:tcBorders>
          </w:tcPr>
          <w:p>
            <w:pPr>
              <w:jc w:val="center"/>
              <w:ind w:left="14"/>
              <w:spacing w:after="0" w:line="139" w:lineRule="exact"/>
              <w:rPr>
                <w:sz w:val="20"/>
                <w:szCs w:val="20"/>
                <w:color w:val="auto"/>
              </w:rPr>
            </w:pPr>
            <w:r>
              <w:rPr>
                <w:rFonts w:ascii="Arial" w:cs="Arial" w:eastAsia="Arial" w:hAnsi="Arial"/>
                <w:sz w:val="13"/>
                <w:szCs w:val="13"/>
                <w:b w:val="1"/>
                <w:bCs w:val="1"/>
                <w:color w:val="auto"/>
                <w:w w:val="99"/>
              </w:rPr>
              <w:t>-9.8%</w:t>
            </w:r>
          </w:p>
        </w:tc>
        <w:tc>
          <w:tcPr>
            <w:tcW w:w="108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9,280,080</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9,315,627</w:t>
            </w:r>
          </w:p>
        </w:tc>
        <w:tc>
          <w:tcPr>
            <w:tcW w:w="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0.4%</w:t>
            </w:r>
          </w:p>
        </w:tc>
        <w:tc>
          <w:tcPr>
            <w:tcW w:w="0" w:type="dxa"/>
            <w:vAlign w:val="bottom"/>
          </w:tcPr>
          <w:p>
            <w:pPr>
              <w:spacing w:after="0"/>
              <w:rPr>
                <w:sz w:val="1"/>
                <w:szCs w:val="1"/>
                <w:color w:val="auto"/>
              </w:rPr>
            </w:pPr>
          </w:p>
        </w:tc>
      </w:tr>
      <w:tr>
        <w:trPr>
          <w:trHeight w:val="138"/>
        </w:trPr>
        <w:tc>
          <w:tcPr>
            <w:tcW w:w="2840" w:type="dxa"/>
            <w:vAlign w:val="bottom"/>
            <w:tcBorders>
              <w:left w:val="single" w:sz="8" w:color="auto"/>
              <w:bottom w:val="single" w:sz="8" w:color="auto"/>
            </w:tcBorders>
            <w:gridSpan w:val="2"/>
          </w:tcPr>
          <w:p>
            <w:pPr>
              <w:ind w:left="60"/>
              <w:spacing w:after="0" w:line="139" w:lineRule="exact"/>
              <w:rPr>
                <w:sz w:val="20"/>
                <w:szCs w:val="20"/>
                <w:color w:val="auto"/>
              </w:rPr>
            </w:pPr>
            <w:r>
              <w:rPr>
                <w:rFonts w:ascii="Arial" w:cs="Arial" w:eastAsia="Arial" w:hAnsi="Arial"/>
                <w:sz w:val="13"/>
                <w:szCs w:val="13"/>
                <w:color w:val="auto"/>
              </w:rPr>
              <w:t>Average interest earning assets</w:t>
            </w:r>
          </w:p>
        </w:tc>
        <w:tc>
          <w:tcPr>
            <w:tcW w:w="12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jc w:val="right"/>
              <w:ind w:right="134"/>
              <w:spacing w:after="0" w:line="139" w:lineRule="exact"/>
              <w:rPr>
                <w:sz w:val="20"/>
                <w:szCs w:val="20"/>
                <w:color w:val="auto"/>
              </w:rPr>
            </w:pPr>
            <w:r>
              <w:rPr>
                <w:rFonts w:ascii="Arial" w:cs="Arial" w:eastAsia="Arial" w:hAnsi="Arial"/>
                <w:sz w:val="13"/>
                <w:szCs w:val="13"/>
                <w:color w:val="auto"/>
              </w:rPr>
              <w:t>225,604,596</w:t>
            </w:r>
          </w:p>
        </w:tc>
        <w:tc>
          <w:tcPr>
            <w:tcW w:w="1160" w:type="dxa"/>
            <w:vAlign w:val="bottom"/>
            <w:tcBorders>
              <w:bottom w:val="single" w:sz="8" w:color="auto"/>
            </w:tcBorders>
          </w:tcPr>
          <w:p>
            <w:pPr>
              <w:jc w:val="right"/>
              <w:ind w:right="234"/>
              <w:spacing w:after="0" w:line="139" w:lineRule="exact"/>
              <w:rPr>
                <w:sz w:val="20"/>
                <w:szCs w:val="20"/>
                <w:color w:val="auto"/>
              </w:rPr>
            </w:pPr>
            <w:r>
              <w:rPr>
                <w:rFonts w:ascii="Arial" w:cs="Arial" w:eastAsia="Arial" w:hAnsi="Arial"/>
                <w:sz w:val="13"/>
                <w:szCs w:val="13"/>
                <w:color w:val="auto"/>
              </w:rPr>
              <w:t>220,724,334</w:t>
            </w:r>
          </w:p>
        </w:tc>
        <w:tc>
          <w:tcPr>
            <w:tcW w:w="880" w:type="dxa"/>
            <w:vAlign w:val="bottom"/>
            <w:tcBorders>
              <w:bottom w:val="single" w:sz="8" w:color="auto"/>
              <w:right w:val="single" w:sz="8" w:color="auto"/>
            </w:tcBorders>
            <w:gridSpan w:val="2"/>
          </w:tcPr>
          <w:p>
            <w:pPr>
              <w:jc w:val="right"/>
              <w:ind w:right="35"/>
              <w:spacing w:after="0" w:line="139" w:lineRule="exact"/>
              <w:rPr>
                <w:sz w:val="20"/>
                <w:szCs w:val="20"/>
                <w:color w:val="auto"/>
              </w:rPr>
            </w:pPr>
            <w:r>
              <w:rPr>
                <w:rFonts w:ascii="Arial" w:cs="Arial" w:eastAsia="Arial" w:hAnsi="Arial"/>
                <w:sz w:val="13"/>
                <w:szCs w:val="13"/>
                <w:color w:val="auto"/>
              </w:rPr>
              <w:t>223,502,057</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5"/>
              <w:spacing w:after="0" w:line="139" w:lineRule="exact"/>
              <w:rPr>
                <w:sz w:val="20"/>
                <w:szCs w:val="20"/>
                <w:color w:val="auto"/>
              </w:rPr>
            </w:pPr>
            <w:r>
              <w:rPr>
                <w:rFonts w:ascii="Arial" w:cs="Arial" w:eastAsia="Arial" w:hAnsi="Arial"/>
                <w:sz w:val="13"/>
                <w:szCs w:val="13"/>
                <w:color w:val="auto"/>
              </w:rPr>
              <w:t>1.3%</w:t>
            </w:r>
          </w:p>
        </w:tc>
        <w:tc>
          <w:tcPr>
            <w:tcW w:w="1060" w:type="dxa"/>
            <w:vAlign w:val="bottom"/>
            <w:tcBorders>
              <w:bottom w:val="single" w:sz="8" w:color="auto"/>
              <w:right w:val="single" w:sz="8" w:color="auto"/>
            </w:tcBorders>
          </w:tcPr>
          <w:p>
            <w:pPr>
              <w:jc w:val="center"/>
              <w:ind w:left="14"/>
              <w:spacing w:after="0" w:line="139" w:lineRule="exact"/>
              <w:rPr>
                <w:sz w:val="20"/>
                <w:szCs w:val="20"/>
                <w:color w:val="auto"/>
              </w:rPr>
            </w:pPr>
            <w:r>
              <w:rPr>
                <w:rFonts w:ascii="Arial" w:cs="Arial" w:eastAsia="Arial" w:hAnsi="Arial"/>
                <w:sz w:val="13"/>
                <w:szCs w:val="13"/>
                <w:color w:val="auto"/>
                <w:w w:val="99"/>
              </w:rPr>
              <w:t>-0.9%</w:t>
            </w:r>
          </w:p>
        </w:tc>
        <w:tc>
          <w:tcPr>
            <w:tcW w:w="108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226,384,489</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223,196,576</w:t>
            </w:r>
          </w:p>
        </w:tc>
        <w:tc>
          <w:tcPr>
            <w:tcW w:w="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-1.4%</w:t>
            </w:r>
          </w:p>
        </w:tc>
        <w:tc>
          <w:tcPr>
            <w:tcW w:w="0" w:type="dxa"/>
            <w:vAlign w:val="bottom"/>
          </w:tcPr>
          <w:p>
            <w:pPr>
              <w:spacing w:after="0"/>
              <w:rPr>
                <w:sz w:val="1"/>
                <w:szCs w:val="1"/>
                <w:color w:val="auto"/>
              </w:rPr>
            </w:pPr>
          </w:p>
        </w:tc>
      </w:tr>
      <w:tr>
        <w:trPr>
          <w:trHeight w:val="116"/>
        </w:trPr>
        <w:tc>
          <w:tcPr>
            <w:tcW w:w="2840" w:type="dxa"/>
            <w:vAlign w:val="bottom"/>
            <w:tcBorders>
              <w:left w:val="single" w:sz="8" w:color="auto"/>
            </w:tcBorders>
            <w:gridSpan w:val="2"/>
          </w:tcPr>
          <w:p>
            <w:pPr>
              <w:ind w:left="60"/>
              <w:spacing w:after="0" w:line="116" w:lineRule="exact"/>
              <w:rPr>
                <w:sz w:val="20"/>
                <w:szCs w:val="20"/>
                <w:color w:val="auto"/>
              </w:rPr>
            </w:pPr>
            <w:r>
              <w:rPr>
                <w:rFonts w:ascii="Arial" w:cs="Arial" w:eastAsia="Arial" w:hAnsi="Arial"/>
                <w:sz w:val="9"/>
                <w:szCs w:val="9"/>
                <w:b w:val="1"/>
                <w:bCs w:val="1"/>
                <w:color w:val="auto"/>
              </w:rPr>
              <w:t xml:space="preserve">Net interest margin </w:t>
            </w:r>
            <w:r>
              <w:rPr>
                <w:rFonts w:ascii="Arial" w:cs="Arial" w:eastAsia="Arial" w:hAnsi="Arial"/>
                <w:sz w:val="13"/>
                <w:szCs w:val="13"/>
                <w:color w:val="auto"/>
                <w:vertAlign w:val="superscript"/>
              </w:rPr>
              <w:t>(1)</w:t>
            </w:r>
          </w:p>
        </w:tc>
        <w:tc>
          <w:tcPr>
            <w:tcW w:w="120" w:type="dxa"/>
            <w:vAlign w:val="bottom"/>
            <w:tcBorders>
              <w:right w:val="single" w:sz="8" w:color="auto"/>
            </w:tcBorders>
          </w:tcPr>
          <w:p>
            <w:pPr>
              <w:spacing w:after="0"/>
              <w:rPr>
                <w:sz w:val="10"/>
                <w:szCs w:val="10"/>
                <w:color w:val="auto"/>
              </w:rPr>
            </w:pPr>
          </w:p>
        </w:tc>
        <w:tc>
          <w:tcPr>
            <w:tcW w:w="1200" w:type="dxa"/>
            <w:vAlign w:val="bottom"/>
          </w:tcPr>
          <w:p>
            <w:pPr>
              <w:jc w:val="right"/>
              <w:ind w:right="54"/>
              <w:spacing w:after="0" w:line="116" w:lineRule="exact"/>
              <w:rPr>
                <w:sz w:val="20"/>
                <w:szCs w:val="20"/>
                <w:color w:val="auto"/>
              </w:rPr>
            </w:pPr>
            <w:r>
              <w:rPr>
                <w:rFonts w:ascii="Arial" w:cs="Arial" w:eastAsia="Arial" w:hAnsi="Arial"/>
                <w:sz w:val="13"/>
                <w:szCs w:val="13"/>
                <w:b w:val="1"/>
                <w:bCs w:val="1"/>
                <w:color w:val="auto"/>
              </w:rPr>
              <w:t>5.75%</w:t>
            </w:r>
          </w:p>
        </w:tc>
        <w:tc>
          <w:tcPr>
            <w:tcW w:w="1160" w:type="dxa"/>
            <w:vAlign w:val="bottom"/>
          </w:tcPr>
          <w:p>
            <w:pPr>
              <w:jc w:val="right"/>
              <w:ind w:right="154"/>
              <w:spacing w:after="0" w:line="116" w:lineRule="exact"/>
              <w:rPr>
                <w:sz w:val="20"/>
                <w:szCs w:val="20"/>
                <w:color w:val="auto"/>
              </w:rPr>
            </w:pPr>
            <w:r>
              <w:rPr>
                <w:rFonts w:ascii="Arial" w:cs="Arial" w:eastAsia="Arial" w:hAnsi="Arial"/>
                <w:sz w:val="13"/>
                <w:szCs w:val="13"/>
                <w:b w:val="1"/>
                <w:bCs w:val="1"/>
                <w:color w:val="auto"/>
              </w:rPr>
              <w:t>6.11%</w:t>
            </w:r>
          </w:p>
        </w:tc>
        <w:tc>
          <w:tcPr>
            <w:tcW w:w="8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b w:val="1"/>
                <w:bCs w:val="1"/>
                <w:color w:val="auto"/>
              </w:rPr>
              <w:t>6.21%</w:t>
            </w:r>
          </w:p>
        </w:tc>
        <w:tc>
          <w:tcPr>
            <w:tcW w:w="220" w:type="dxa"/>
            <w:vAlign w:val="bottom"/>
          </w:tcPr>
          <w:p>
            <w:pPr>
              <w:spacing w:after="0"/>
              <w:rPr>
                <w:sz w:val="10"/>
                <w:szCs w:val="10"/>
                <w:color w:val="auto"/>
              </w:rPr>
            </w:pPr>
          </w:p>
        </w:tc>
        <w:tc>
          <w:tcPr>
            <w:tcW w:w="580" w:type="dxa"/>
            <w:vAlign w:val="bottom"/>
          </w:tcPr>
          <w:p>
            <w:pPr>
              <w:jc w:val="center"/>
              <w:ind w:right="15"/>
              <w:spacing w:after="0" w:line="116" w:lineRule="exact"/>
              <w:rPr>
                <w:sz w:val="20"/>
                <w:szCs w:val="20"/>
                <w:color w:val="auto"/>
              </w:rPr>
            </w:pPr>
            <w:r>
              <w:rPr>
                <w:rFonts w:ascii="Arial" w:cs="Arial" w:eastAsia="Arial" w:hAnsi="Arial"/>
                <w:sz w:val="13"/>
                <w:szCs w:val="13"/>
                <w:b w:val="1"/>
                <w:bCs w:val="1"/>
                <w:color w:val="auto"/>
              </w:rPr>
              <w:t>10bps</w:t>
            </w:r>
          </w:p>
        </w:tc>
        <w:tc>
          <w:tcPr>
            <w:tcW w:w="1060" w:type="dxa"/>
            <w:vAlign w:val="bottom"/>
            <w:tcBorders>
              <w:right w:val="single" w:sz="8" w:color="auto"/>
            </w:tcBorders>
          </w:tcPr>
          <w:p>
            <w:pPr>
              <w:jc w:val="center"/>
              <w:ind w:left="74"/>
              <w:spacing w:after="0" w:line="116" w:lineRule="exact"/>
              <w:rPr>
                <w:sz w:val="20"/>
                <w:szCs w:val="20"/>
                <w:color w:val="auto"/>
              </w:rPr>
            </w:pPr>
            <w:r>
              <w:rPr>
                <w:rFonts w:ascii="Arial" w:cs="Arial" w:eastAsia="Arial" w:hAnsi="Arial"/>
                <w:sz w:val="13"/>
                <w:szCs w:val="13"/>
                <w:b w:val="1"/>
                <w:bCs w:val="1"/>
                <w:color w:val="auto"/>
                <w:w w:val="95"/>
              </w:rPr>
              <w:t>46bps</w:t>
            </w:r>
          </w:p>
        </w:tc>
        <w:tc>
          <w:tcPr>
            <w:tcW w:w="108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5.09%</w:t>
            </w:r>
          </w:p>
        </w:tc>
        <w:tc>
          <w:tcPr>
            <w:tcW w:w="16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20"/>
              <w:spacing w:after="0" w:line="116" w:lineRule="exact"/>
              <w:rPr>
                <w:sz w:val="20"/>
                <w:szCs w:val="20"/>
                <w:color w:val="auto"/>
              </w:rPr>
            </w:pPr>
            <w:r>
              <w:rPr>
                <w:rFonts w:ascii="Arial" w:cs="Arial" w:eastAsia="Arial" w:hAnsi="Arial"/>
                <w:sz w:val="13"/>
                <w:szCs w:val="13"/>
                <w:b w:val="1"/>
                <w:bCs w:val="1"/>
                <w:color w:val="auto"/>
              </w:rPr>
              <w:t>6.01%</w:t>
            </w:r>
          </w:p>
        </w:tc>
        <w:tc>
          <w:tcPr>
            <w:tcW w:w="10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92bps</w:t>
            </w:r>
          </w:p>
        </w:tc>
        <w:tc>
          <w:tcPr>
            <w:tcW w:w="0" w:type="dxa"/>
            <w:vAlign w:val="bottom"/>
          </w:tcPr>
          <w:p>
            <w:pPr>
              <w:spacing w:after="0"/>
              <w:rPr>
                <w:sz w:val="1"/>
                <w:szCs w:val="1"/>
                <w:color w:val="auto"/>
              </w:rPr>
            </w:pPr>
          </w:p>
        </w:tc>
      </w:tr>
      <w:tr>
        <w:trPr>
          <w:trHeight w:val="161"/>
        </w:trPr>
        <w:tc>
          <w:tcPr>
            <w:tcW w:w="2840" w:type="dxa"/>
            <w:vAlign w:val="bottom"/>
            <w:tcBorders>
              <w:left w:val="single" w:sz="8" w:color="auto"/>
            </w:tcBorders>
            <w:gridSpan w:val="2"/>
          </w:tcPr>
          <w:p>
            <w:pPr>
              <w:ind w:left="60"/>
              <w:spacing w:after="0" w:line="161" w:lineRule="exact"/>
              <w:rPr>
                <w:sz w:val="20"/>
                <w:szCs w:val="20"/>
                <w:color w:val="auto"/>
              </w:rPr>
            </w:pPr>
            <w:r>
              <w:rPr>
                <w:rFonts w:ascii="Arial" w:cs="Arial" w:eastAsia="Arial" w:hAnsi="Arial"/>
                <w:sz w:val="11"/>
                <w:szCs w:val="11"/>
                <w:b w:val="1"/>
                <w:bCs w:val="1"/>
                <w:color w:val="auto"/>
              </w:rPr>
              <w:t xml:space="preserve">Risk-adjusted Net interest margin </w:t>
            </w:r>
            <w:r>
              <w:rPr>
                <w:rFonts w:ascii="Arial" w:cs="Arial" w:eastAsia="Arial" w:hAnsi="Arial"/>
                <w:sz w:val="18"/>
                <w:szCs w:val="18"/>
                <w:color w:val="auto"/>
                <w:vertAlign w:val="superscript"/>
              </w:rPr>
              <w:t>(1)</w:t>
            </w:r>
          </w:p>
        </w:tc>
        <w:tc>
          <w:tcPr>
            <w:tcW w:w="120" w:type="dxa"/>
            <w:vAlign w:val="bottom"/>
            <w:tcBorders>
              <w:right w:val="single" w:sz="8" w:color="auto"/>
            </w:tcBorders>
          </w:tcPr>
          <w:p>
            <w:pPr>
              <w:spacing w:after="0"/>
              <w:rPr>
                <w:sz w:val="14"/>
                <w:szCs w:val="14"/>
                <w:color w:val="auto"/>
              </w:rPr>
            </w:pPr>
          </w:p>
        </w:tc>
        <w:tc>
          <w:tcPr>
            <w:tcW w:w="1200" w:type="dxa"/>
            <w:vAlign w:val="bottom"/>
          </w:tcPr>
          <w:p>
            <w:pPr>
              <w:jc w:val="right"/>
              <w:ind w:right="54"/>
              <w:spacing w:after="0"/>
              <w:rPr>
                <w:sz w:val="20"/>
                <w:szCs w:val="20"/>
                <w:color w:val="auto"/>
              </w:rPr>
            </w:pPr>
            <w:r>
              <w:rPr>
                <w:rFonts w:ascii="Arial" w:cs="Arial" w:eastAsia="Arial" w:hAnsi="Arial"/>
                <w:sz w:val="13"/>
                <w:szCs w:val="13"/>
                <w:b w:val="1"/>
                <w:bCs w:val="1"/>
                <w:color w:val="auto"/>
              </w:rPr>
              <w:t>4.45%</w:t>
            </w:r>
          </w:p>
        </w:tc>
        <w:tc>
          <w:tcPr>
            <w:tcW w:w="1160" w:type="dxa"/>
            <w:vAlign w:val="bottom"/>
          </w:tcPr>
          <w:p>
            <w:pPr>
              <w:jc w:val="right"/>
              <w:ind w:right="154"/>
              <w:spacing w:after="0"/>
              <w:rPr>
                <w:sz w:val="20"/>
                <w:szCs w:val="20"/>
                <w:color w:val="auto"/>
              </w:rPr>
            </w:pPr>
            <w:r>
              <w:rPr>
                <w:rFonts w:ascii="Arial" w:cs="Arial" w:eastAsia="Arial" w:hAnsi="Arial"/>
                <w:sz w:val="13"/>
                <w:szCs w:val="13"/>
                <w:b w:val="1"/>
                <w:bCs w:val="1"/>
                <w:color w:val="auto"/>
              </w:rPr>
              <w:t>4.45%</w:t>
            </w:r>
          </w:p>
        </w:tc>
        <w:tc>
          <w:tcPr>
            <w:tcW w:w="8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4.10%</w:t>
            </w:r>
          </w:p>
        </w:tc>
        <w:tc>
          <w:tcPr>
            <w:tcW w:w="22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3"/>
                <w:szCs w:val="13"/>
                <w:b w:val="1"/>
                <w:bCs w:val="1"/>
                <w:color w:val="auto"/>
              </w:rPr>
              <w:t>-35bps</w:t>
            </w:r>
          </w:p>
        </w:tc>
        <w:tc>
          <w:tcPr>
            <w:tcW w:w="1060" w:type="dxa"/>
            <w:vAlign w:val="bottom"/>
            <w:tcBorders>
              <w:right w:val="single" w:sz="8" w:color="auto"/>
            </w:tcBorders>
          </w:tcPr>
          <w:p>
            <w:pPr>
              <w:jc w:val="center"/>
              <w:ind w:left="54"/>
              <w:spacing w:after="0"/>
              <w:rPr>
                <w:sz w:val="20"/>
                <w:szCs w:val="20"/>
                <w:color w:val="auto"/>
              </w:rPr>
            </w:pPr>
            <w:r>
              <w:rPr>
                <w:rFonts w:ascii="Arial" w:cs="Arial" w:eastAsia="Arial" w:hAnsi="Arial"/>
                <w:sz w:val="13"/>
                <w:szCs w:val="13"/>
                <w:b w:val="1"/>
                <w:bCs w:val="1"/>
                <w:color w:val="auto"/>
              </w:rPr>
              <w:t>-35bps</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4.29%</w:t>
            </w:r>
          </w:p>
        </w:tc>
        <w:tc>
          <w:tcPr>
            <w:tcW w:w="160" w:type="dxa"/>
            <w:vAlign w:val="bottom"/>
          </w:tcPr>
          <w:p>
            <w:pPr>
              <w:spacing w:after="0"/>
              <w:rPr>
                <w:sz w:val="14"/>
                <w:szCs w:val="14"/>
                <w:color w:val="auto"/>
              </w:rPr>
            </w:pPr>
          </w:p>
        </w:tc>
        <w:tc>
          <w:tcPr>
            <w:tcW w:w="9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4.38%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9bps</w:t>
            </w:r>
          </w:p>
        </w:tc>
        <w:tc>
          <w:tcPr>
            <w:tcW w:w="0" w:type="dxa"/>
            <w:vAlign w:val="bottom"/>
          </w:tcPr>
          <w:p>
            <w:pPr>
              <w:spacing w:after="0"/>
              <w:rPr>
                <w:sz w:val="1"/>
                <w:szCs w:val="1"/>
                <w:color w:val="auto"/>
              </w:rPr>
            </w:pPr>
          </w:p>
        </w:tc>
      </w:tr>
      <w:tr>
        <w:trPr>
          <w:trHeight w:val="146"/>
        </w:trPr>
        <w:tc>
          <w:tcPr>
            <w:tcW w:w="2840" w:type="dxa"/>
            <w:vAlign w:val="bottom"/>
            <w:tcBorders>
              <w:left w:val="single" w:sz="8" w:color="auto"/>
            </w:tcBorders>
            <w:gridSpan w:val="2"/>
          </w:tcPr>
          <w:p>
            <w:pPr>
              <w:ind w:left="60"/>
              <w:spacing w:after="0" w:line="146" w:lineRule="exact"/>
              <w:rPr>
                <w:sz w:val="20"/>
                <w:szCs w:val="20"/>
                <w:color w:val="auto"/>
              </w:rPr>
            </w:pPr>
            <w:r>
              <w:rPr>
                <w:rFonts w:ascii="Arial" w:cs="Arial" w:eastAsia="Arial" w:hAnsi="Arial"/>
                <w:sz w:val="13"/>
                <w:szCs w:val="13"/>
                <w:b w:val="1"/>
                <w:bCs w:val="1"/>
                <w:color w:val="auto"/>
              </w:rPr>
              <w:t>Net provisions for loan losses / Net interest</w:t>
            </w:r>
          </w:p>
        </w:tc>
        <w:tc>
          <w:tcPr>
            <w:tcW w:w="120" w:type="dxa"/>
            <w:vAlign w:val="bottom"/>
            <w:tcBorders>
              <w:right w:val="single" w:sz="8" w:color="auto"/>
            </w:tcBorders>
          </w:tcPr>
          <w:p>
            <w:pPr>
              <w:spacing w:after="0"/>
              <w:rPr>
                <w:sz w:val="12"/>
                <w:szCs w:val="12"/>
                <w:color w:val="auto"/>
              </w:rPr>
            </w:pPr>
          </w:p>
        </w:tc>
        <w:tc>
          <w:tcPr>
            <w:tcW w:w="120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23.27%</w:t>
            </w:r>
          </w:p>
        </w:tc>
        <w:tc>
          <w:tcPr>
            <w:tcW w:w="116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28.20%</w:t>
            </w:r>
          </w:p>
        </w:tc>
        <w:tc>
          <w:tcPr>
            <w:tcW w:w="8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35.05%</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16.33%</w:t>
            </w:r>
          </w:p>
        </w:tc>
        <w:tc>
          <w:tcPr>
            <w:tcW w:w="16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28.00%</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1167bps</w:t>
            </w:r>
          </w:p>
        </w:tc>
        <w:tc>
          <w:tcPr>
            <w:tcW w:w="0" w:type="dxa"/>
            <w:vAlign w:val="bottom"/>
          </w:tcPr>
          <w:p>
            <w:pPr>
              <w:spacing w:after="0"/>
              <w:rPr>
                <w:sz w:val="1"/>
                <w:szCs w:val="1"/>
                <w:color w:val="auto"/>
              </w:rPr>
            </w:pPr>
          </w:p>
        </w:tc>
      </w:tr>
      <w:tr>
        <w:trPr>
          <w:trHeight w:val="104"/>
        </w:trPr>
        <w:tc>
          <w:tcPr>
            <w:tcW w:w="2840" w:type="dxa"/>
            <w:vAlign w:val="bottom"/>
            <w:tcBorders>
              <w:lef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income</w:t>
            </w:r>
          </w:p>
        </w:tc>
        <w:tc>
          <w:tcPr>
            <w:tcW w:w="120" w:type="dxa"/>
            <w:vAlign w:val="bottom"/>
            <w:tcBorders>
              <w:right w:val="single" w:sz="8" w:color="auto"/>
            </w:tcBorders>
          </w:tcPr>
          <w:p>
            <w:pPr>
              <w:spacing w:after="0"/>
              <w:rPr>
                <w:sz w:val="9"/>
                <w:szCs w:val="9"/>
                <w:color w:val="auto"/>
              </w:rPr>
            </w:pPr>
          </w:p>
        </w:tc>
        <w:tc>
          <w:tcPr>
            <w:tcW w:w="12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80" w:type="dxa"/>
            <w:vAlign w:val="bottom"/>
            <w:tcBorders>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restart"/>
          </w:tcPr>
          <w:p>
            <w:pPr>
              <w:jc w:val="center"/>
              <w:ind w:right="15"/>
              <w:spacing w:after="0"/>
              <w:rPr>
                <w:sz w:val="20"/>
                <w:szCs w:val="20"/>
                <w:color w:val="auto"/>
              </w:rPr>
            </w:pPr>
            <w:r>
              <w:rPr>
                <w:rFonts w:ascii="Arial" w:cs="Arial" w:eastAsia="Arial" w:hAnsi="Arial"/>
                <w:sz w:val="13"/>
                <w:szCs w:val="13"/>
                <w:b w:val="1"/>
                <w:bCs w:val="1"/>
                <w:color w:val="auto"/>
              </w:rPr>
              <w:t>685bps</w:t>
            </w:r>
          </w:p>
        </w:tc>
        <w:tc>
          <w:tcPr>
            <w:tcW w:w="1060" w:type="dxa"/>
            <w:vAlign w:val="bottom"/>
            <w:tcBorders>
              <w:right w:val="single" w:sz="8" w:color="auto"/>
            </w:tcBorders>
            <w:vMerge w:val="restart"/>
          </w:tcPr>
          <w:p>
            <w:pPr>
              <w:jc w:val="center"/>
              <w:ind w:left="74"/>
              <w:spacing w:after="0"/>
              <w:rPr>
                <w:sz w:val="20"/>
                <w:szCs w:val="20"/>
                <w:color w:val="auto"/>
              </w:rPr>
            </w:pPr>
            <w:r>
              <w:rPr>
                <w:rFonts w:ascii="Arial" w:cs="Arial" w:eastAsia="Arial" w:hAnsi="Arial"/>
                <w:sz w:val="13"/>
                <w:szCs w:val="13"/>
                <w:b w:val="1"/>
                <w:bCs w:val="1"/>
                <w:color w:val="auto"/>
                <w:w w:val="99"/>
              </w:rPr>
              <w:t>1178bps</w:t>
            </w: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840" w:type="dxa"/>
            <w:vAlign w:val="bottom"/>
            <w:tcBorders>
              <w:left w:val="single" w:sz="8" w:color="auto"/>
              <w:bottom w:val="single" w:sz="8" w:color="auto"/>
            </w:tcBorders>
            <w:gridSpan w:val="2"/>
            <w:vMerge w:val="continue"/>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320" w:type="dxa"/>
            <w:vAlign w:val="bottom"/>
            <w:gridSpan w:val="5"/>
          </w:tcPr>
          <w:p>
            <w:pPr>
              <w:spacing w:after="0"/>
              <w:rPr>
                <w:sz w:val="20"/>
                <w:szCs w:val="20"/>
                <w:color w:val="auto"/>
              </w:rPr>
            </w:pPr>
            <w:r>
              <w:rPr>
                <w:rFonts w:ascii="Arial" w:cs="Arial" w:eastAsia="Arial" w:hAnsi="Arial"/>
                <w:sz w:val="11"/>
                <w:szCs w:val="11"/>
                <w:color w:val="auto"/>
              </w:rPr>
              <w:t>(1) Annualized. For further detail on the new NIM calculation due to IFRS17, please refer to Annex 12.1.8</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gridSpan w:val="7"/>
          </w:tcPr>
          <w:p>
            <w:pPr>
              <w:ind w:left="260"/>
              <w:spacing w:after="0"/>
              <w:rPr>
                <w:sz w:val="20"/>
                <w:szCs w:val="20"/>
                <w:color w:val="auto"/>
              </w:rPr>
            </w:pPr>
            <w:r>
              <w:rPr>
                <w:rFonts w:ascii="Arial" w:cs="Arial" w:eastAsia="Arial" w:hAnsi="Arial"/>
                <w:sz w:val="16"/>
                <w:szCs w:val="16"/>
                <w:b w:val="1"/>
                <w:bCs w:val="1"/>
                <w:color w:val="auto"/>
              </w:rPr>
              <w:t>Net Interest Margin (NIM) and Risk Adjusted NIM by subsidiary</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60" w:type="dxa"/>
            <w:vAlign w:val="bottom"/>
            <w:tcBorders>
              <w:right w:val="single" w:sz="8" w:color="auto"/>
            </w:tcBorders>
          </w:tcPr>
          <w:p>
            <w:pPr>
              <w:spacing w:after="0"/>
              <w:rPr>
                <w:sz w:val="15"/>
                <w:szCs w:val="15"/>
                <w:color w:val="auto"/>
              </w:rPr>
            </w:pPr>
          </w:p>
        </w:tc>
        <w:tc>
          <w:tcPr>
            <w:tcW w:w="1680" w:type="dxa"/>
            <w:vAlign w:val="bottom"/>
            <w:shd w:val="clear" w:color="auto" w:fill="2AD2C9"/>
          </w:tcPr>
          <w:p>
            <w:pPr>
              <w:spacing w:after="0"/>
              <w:rPr>
                <w:sz w:val="15"/>
                <w:szCs w:val="15"/>
                <w:color w:val="auto"/>
              </w:rPr>
            </w:pPr>
          </w:p>
        </w:tc>
        <w:tc>
          <w:tcPr>
            <w:tcW w:w="1320" w:type="dxa"/>
            <w:vAlign w:val="bottom"/>
            <w:gridSpan w:val="2"/>
            <w:vMerge w:val="restart"/>
            <w:shd w:val="clear" w:color="auto" w:fill="2AD2C9"/>
          </w:tcPr>
          <w:p>
            <w:pPr>
              <w:jc w:val="right"/>
              <w:ind w:right="234"/>
              <w:spacing w:after="0"/>
              <w:rPr>
                <w:sz w:val="20"/>
                <w:szCs w:val="20"/>
                <w:color w:val="auto"/>
              </w:rPr>
            </w:pPr>
            <w:r>
              <w:rPr>
                <w:rFonts w:ascii="Arial" w:cs="Arial" w:eastAsia="Arial" w:hAnsi="Arial"/>
                <w:sz w:val="13"/>
                <w:szCs w:val="13"/>
                <w:b w:val="1"/>
                <w:bCs w:val="1"/>
                <w:color w:val="FFFFFF"/>
              </w:rPr>
              <w:t>NIM Breakdown</w:t>
            </w:r>
          </w:p>
        </w:tc>
        <w:tc>
          <w:tcPr>
            <w:tcW w:w="1160" w:type="dxa"/>
            <w:vAlign w:val="bottom"/>
            <w:shd w:val="clear" w:color="auto" w:fill="2AD2C9"/>
          </w:tcPr>
          <w:p>
            <w:pPr>
              <w:spacing w:after="0"/>
              <w:rPr>
                <w:sz w:val="15"/>
                <w:szCs w:val="15"/>
                <w:color w:val="auto"/>
              </w:rPr>
            </w:pPr>
          </w:p>
        </w:tc>
        <w:tc>
          <w:tcPr>
            <w:tcW w:w="340" w:type="dxa"/>
            <w:vAlign w:val="bottom"/>
            <w:tcBorders>
              <w:right w:val="single" w:sz="8" w:color="auto"/>
            </w:tcBorders>
            <w:shd w:val="clear" w:color="auto" w:fill="2AD2C9"/>
          </w:tcPr>
          <w:p>
            <w:pPr>
              <w:spacing w:after="0"/>
              <w:rPr>
                <w:sz w:val="15"/>
                <w:szCs w:val="15"/>
                <w:color w:val="auto"/>
              </w:rPr>
            </w:pPr>
          </w:p>
        </w:tc>
        <w:tc>
          <w:tcPr>
            <w:tcW w:w="1340" w:type="dxa"/>
            <w:vAlign w:val="bottom"/>
            <w:gridSpan w:val="3"/>
            <w:shd w:val="clear" w:color="auto" w:fill="2AD2C9"/>
          </w:tcPr>
          <w:p>
            <w:pPr>
              <w:jc w:val="center"/>
              <w:ind w:right="155"/>
              <w:spacing w:after="0"/>
              <w:rPr>
                <w:sz w:val="20"/>
                <w:szCs w:val="20"/>
                <w:color w:val="auto"/>
              </w:rPr>
            </w:pPr>
            <w:r>
              <w:rPr>
                <w:rFonts w:ascii="Arial" w:cs="Arial" w:eastAsia="Arial" w:hAnsi="Arial"/>
                <w:sz w:val="13"/>
                <w:szCs w:val="13"/>
                <w:b w:val="1"/>
                <w:bCs w:val="1"/>
                <w:color w:val="FFFFFF"/>
              </w:rPr>
              <w:t>BCP Stand-</w:t>
            </w:r>
          </w:p>
        </w:tc>
        <w:tc>
          <w:tcPr>
            <w:tcW w:w="1060" w:type="dxa"/>
            <w:vAlign w:val="bottom"/>
            <w:tcBorders>
              <w:right w:val="single" w:sz="8" w:color="2AD2C9"/>
            </w:tcBorders>
            <w:vMerge w:val="restart"/>
            <w:shd w:val="clear" w:color="auto" w:fill="2AD2C9"/>
          </w:tcPr>
          <w:p>
            <w:pPr>
              <w:jc w:val="center"/>
              <w:ind w:right="234"/>
              <w:spacing w:after="0"/>
              <w:rPr>
                <w:sz w:val="20"/>
                <w:szCs w:val="20"/>
                <w:color w:val="auto"/>
              </w:rPr>
            </w:pPr>
            <w:r>
              <w:rPr>
                <w:rFonts w:ascii="Arial" w:cs="Arial" w:eastAsia="Arial" w:hAnsi="Arial"/>
                <w:sz w:val="13"/>
                <w:szCs w:val="13"/>
                <w:b w:val="1"/>
                <w:bCs w:val="1"/>
                <w:color w:val="FFFFFF"/>
                <w:w w:val="98"/>
              </w:rPr>
              <w:t>Mibanco</w:t>
            </w:r>
          </w:p>
        </w:tc>
        <w:tc>
          <w:tcPr>
            <w:tcW w:w="1080" w:type="dxa"/>
            <w:vAlign w:val="bottom"/>
            <w:tcBorders>
              <w:right w:val="single" w:sz="8" w:color="auto"/>
            </w:tcBorders>
            <w:vMerge w:val="restart"/>
            <w:shd w:val="clear" w:color="auto" w:fill="2AD2C9"/>
          </w:tcPr>
          <w:p>
            <w:pPr>
              <w:jc w:val="right"/>
              <w:ind w:right="155"/>
              <w:spacing w:after="0"/>
              <w:rPr>
                <w:sz w:val="20"/>
                <w:szCs w:val="20"/>
                <w:color w:val="auto"/>
              </w:rPr>
            </w:pPr>
            <w:r>
              <w:rPr>
                <w:rFonts w:ascii="Arial" w:cs="Arial" w:eastAsia="Arial" w:hAnsi="Arial"/>
                <w:sz w:val="13"/>
                <w:szCs w:val="13"/>
                <w:b w:val="1"/>
                <w:bCs w:val="1"/>
                <w:color w:val="FFFFFF"/>
              </w:rPr>
              <w:t>BCP Bolivia</w:t>
            </w:r>
          </w:p>
        </w:tc>
        <w:tc>
          <w:tcPr>
            <w:tcW w:w="160" w:type="dxa"/>
            <w:vAlign w:val="bottom"/>
            <w:shd w:val="clear" w:color="auto" w:fill="2AD2C9"/>
          </w:tcPr>
          <w:p>
            <w:pPr>
              <w:spacing w:after="0"/>
              <w:rPr>
                <w:sz w:val="15"/>
                <w:szCs w:val="15"/>
                <w:color w:val="auto"/>
              </w:rPr>
            </w:pPr>
          </w:p>
        </w:tc>
        <w:tc>
          <w:tcPr>
            <w:tcW w:w="840" w:type="dxa"/>
            <w:vAlign w:val="bottom"/>
            <w:tcBorders>
              <w:right w:val="single" w:sz="8" w:color="auto"/>
            </w:tcBorders>
            <w:vMerge w:val="restart"/>
            <w:shd w:val="clear" w:color="auto" w:fill="2AD2C9"/>
          </w:tcPr>
          <w:p>
            <w:pPr>
              <w:jc w:val="right"/>
              <w:ind w:right="155"/>
              <w:spacing w:after="0"/>
              <w:rPr>
                <w:sz w:val="20"/>
                <w:szCs w:val="20"/>
                <w:color w:val="auto"/>
              </w:rPr>
            </w:pPr>
            <w:r>
              <w:rPr>
                <w:rFonts w:ascii="Arial" w:cs="Arial" w:eastAsia="Arial" w:hAnsi="Arial"/>
                <w:sz w:val="13"/>
                <w:szCs w:val="13"/>
                <w:b w:val="1"/>
                <w:bCs w:val="1"/>
                <w:color w:val="FFFFFF"/>
                <w:w w:val="97"/>
              </w:rPr>
              <w:t>Credicorp</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tcPr>
          <w:p>
            <w:pPr>
              <w:spacing w:after="0"/>
              <w:rPr>
                <w:sz w:val="9"/>
                <w:szCs w:val="9"/>
                <w:color w:val="auto"/>
              </w:rPr>
            </w:pPr>
          </w:p>
        </w:tc>
        <w:tc>
          <w:tcPr>
            <w:tcW w:w="1680" w:type="dxa"/>
            <w:vAlign w:val="bottom"/>
            <w:shd w:val="clear" w:color="auto" w:fill="2AD2C9"/>
          </w:tcPr>
          <w:p>
            <w:pPr>
              <w:spacing w:after="0"/>
              <w:rPr>
                <w:sz w:val="9"/>
                <w:szCs w:val="9"/>
                <w:color w:val="auto"/>
              </w:rPr>
            </w:pPr>
          </w:p>
        </w:tc>
        <w:tc>
          <w:tcPr>
            <w:tcW w:w="1320" w:type="dxa"/>
            <w:vAlign w:val="bottom"/>
            <w:gridSpan w:val="2"/>
            <w:vMerge w:val="continue"/>
            <w:shd w:val="clear" w:color="auto" w:fill="2AD2C9"/>
          </w:tcPr>
          <w:p>
            <w:pPr>
              <w:spacing w:after="0"/>
              <w:rPr>
                <w:sz w:val="9"/>
                <w:szCs w:val="9"/>
                <w:color w:val="auto"/>
              </w:rPr>
            </w:pPr>
          </w:p>
        </w:tc>
        <w:tc>
          <w:tcPr>
            <w:tcW w:w="1160" w:type="dxa"/>
            <w:vAlign w:val="bottom"/>
            <w:shd w:val="clear" w:color="auto" w:fill="2AD2C9"/>
          </w:tcPr>
          <w:p>
            <w:pPr>
              <w:spacing w:after="0"/>
              <w:rPr>
                <w:sz w:val="9"/>
                <w:szCs w:val="9"/>
                <w:color w:val="auto"/>
              </w:rPr>
            </w:pPr>
          </w:p>
        </w:tc>
        <w:tc>
          <w:tcPr>
            <w:tcW w:w="340" w:type="dxa"/>
            <w:vAlign w:val="bottom"/>
            <w:tcBorders>
              <w:right w:val="single" w:sz="8" w:color="auto"/>
            </w:tcBorders>
            <w:shd w:val="clear" w:color="auto" w:fill="2AD2C9"/>
          </w:tcPr>
          <w:p>
            <w:pPr>
              <w:spacing w:after="0"/>
              <w:rPr>
                <w:sz w:val="9"/>
                <w:szCs w:val="9"/>
                <w:color w:val="auto"/>
              </w:rPr>
            </w:pPr>
          </w:p>
        </w:tc>
        <w:tc>
          <w:tcPr>
            <w:tcW w:w="760" w:type="dxa"/>
            <w:vAlign w:val="bottom"/>
            <w:gridSpan w:val="2"/>
            <w:vMerge w:val="restart"/>
            <w:shd w:val="clear" w:color="auto" w:fill="2AD2C9"/>
          </w:tcPr>
          <w:p>
            <w:pPr>
              <w:jc w:val="center"/>
              <w:ind w:left="275"/>
              <w:spacing w:after="0"/>
              <w:rPr>
                <w:sz w:val="20"/>
                <w:szCs w:val="20"/>
                <w:color w:val="auto"/>
              </w:rPr>
            </w:pPr>
            <w:r>
              <w:rPr>
                <w:rFonts w:ascii="Arial" w:cs="Arial" w:eastAsia="Arial" w:hAnsi="Arial"/>
                <w:sz w:val="13"/>
                <w:szCs w:val="13"/>
                <w:b w:val="1"/>
                <w:bCs w:val="1"/>
                <w:color w:val="FFFFFF"/>
                <w:w w:val="99"/>
              </w:rPr>
              <w:t>alone</w:t>
            </w:r>
          </w:p>
        </w:tc>
        <w:tc>
          <w:tcPr>
            <w:tcW w:w="580" w:type="dxa"/>
            <w:vAlign w:val="bottom"/>
            <w:shd w:val="clear" w:color="auto" w:fill="2AD2C9"/>
          </w:tcPr>
          <w:p>
            <w:pPr>
              <w:spacing w:after="0"/>
              <w:rPr>
                <w:sz w:val="9"/>
                <w:szCs w:val="9"/>
                <w:color w:val="auto"/>
              </w:rPr>
            </w:pPr>
          </w:p>
        </w:tc>
        <w:tc>
          <w:tcPr>
            <w:tcW w:w="1060" w:type="dxa"/>
            <w:vAlign w:val="bottom"/>
            <w:tcBorders>
              <w:right w:val="single" w:sz="8" w:color="2AD2C9"/>
            </w:tcBorders>
            <w:vMerge w:val="continue"/>
            <w:shd w:val="clear" w:color="auto" w:fill="2AD2C9"/>
          </w:tcPr>
          <w:p>
            <w:pPr>
              <w:spacing w:after="0"/>
              <w:rPr>
                <w:sz w:val="9"/>
                <w:szCs w:val="9"/>
                <w:color w:val="auto"/>
              </w:rPr>
            </w:pPr>
          </w:p>
        </w:tc>
        <w:tc>
          <w:tcPr>
            <w:tcW w:w="1080" w:type="dxa"/>
            <w:vAlign w:val="bottom"/>
            <w:tcBorders>
              <w:right w:val="single" w:sz="8" w:color="auto"/>
            </w:tcBorders>
            <w:vMerge w:val="continue"/>
            <w:shd w:val="clear" w:color="auto" w:fill="2AD2C9"/>
          </w:tcPr>
          <w:p>
            <w:pPr>
              <w:spacing w:after="0"/>
              <w:rPr>
                <w:sz w:val="9"/>
                <w:szCs w:val="9"/>
                <w:color w:val="auto"/>
              </w:rPr>
            </w:pPr>
          </w:p>
        </w:tc>
        <w:tc>
          <w:tcPr>
            <w:tcW w:w="160" w:type="dxa"/>
            <w:vAlign w:val="bottom"/>
            <w:shd w:val="clear" w:color="auto" w:fill="2AD2C9"/>
          </w:tcPr>
          <w:p>
            <w:pPr>
              <w:spacing w:after="0"/>
              <w:rPr>
                <w:sz w:val="9"/>
                <w:szCs w:val="9"/>
                <w:color w:val="auto"/>
              </w:rPr>
            </w:pPr>
          </w:p>
        </w:tc>
        <w:tc>
          <w:tcPr>
            <w:tcW w:w="840" w:type="dxa"/>
            <w:vAlign w:val="bottom"/>
            <w:tcBorders>
              <w:right w:val="single" w:sz="8" w:color="auto"/>
            </w:tcBorders>
            <w:vMerge w:val="continue"/>
            <w:shd w:val="clear" w:color="auto" w:fill="2AD2C9"/>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160" w:type="dxa"/>
            <w:vAlign w:val="bottom"/>
            <w:tcBorders>
              <w:right w:val="single" w:sz="8" w:color="auto"/>
            </w:tcBorders>
          </w:tcPr>
          <w:p>
            <w:pPr>
              <w:spacing w:after="0"/>
              <w:rPr>
                <w:sz w:val="8"/>
                <w:szCs w:val="8"/>
                <w:color w:val="auto"/>
              </w:rPr>
            </w:pPr>
          </w:p>
        </w:tc>
        <w:tc>
          <w:tcPr>
            <w:tcW w:w="1680" w:type="dxa"/>
            <w:vAlign w:val="bottom"/>
            <w:tcBorders>
              <w:bottom w:val="single" w:sz="8" w:color="2AD2C9"/>
            </w:tcBorders>
            <w:shd w:val="clear" w:color="auto" w:fill="2AD2C9"/>
          </w:tcPr>
          <w:p>
            <w:pPr>
              <w:spacing w:after="0"/>
              <w:rPr>
                <w:sz w:val="8"/>
                <w:szCs w:val="8"/>
                <w:color w:val="auto"/>
              </w:rPr>
            </w:pPr>
          </w:p>
        </w:tc>
        <w:tc>
          <w:tcPr>
            <w:tcW w:w="120" w:type="dxa"/>
            <w:vAlign w:val="bottom"/>
            <w:tcBorders>
              <w:bottom w:val="single" w:sz="8" w:color="2AD2C9"/>
              <w:right w:val="single" w:sz="8" w:color="2AD2C9"/>
            </w:tcBorders>
            <w:shd w:val="clear" w:color="auto" w:fill="2AD2C9"/>
          </w:tcPr>
          <w:p>
            <w:pPr>
              <w:spacing w:after="0"/>
              <w:rPr>
                <w:sz w:val="8"/>
                <w:szCs w:val="8"/>
                <w:color w:val="auto"/>
              </w:rPr>
            </w:pPr>
          </w:p>
        </w:tc>
        <w:tc>
          <w:tcPr>
            <w:tcW w:w="1200" w:type="dxa"/>
            <w:vAlign w:val="bottom"/>
            <w:tcBorders>
              <w:bottom w:val="single" w:sz="8" w:color="2AD2C9"/>
            </w:tcBorders>
            <w:shd w:val="clear" w:color="auto" w:fill="2AD2C9"/>
          </w:tcPr>
          <w:p>
            <w:pPr>
              <w:spacing w:after="0"/>
              <w:rPr>
                <w:sz w:val="8"/>
                <w:szCs w:val="8"/>
                <w:color w:val="auto"/>
              </w:rPr>
            </w:pPr>
          </w:p>
        </w:tc>
        <w:tc>
          <w:tcPr>
            <w:tcW w:w="1160" w:type="dxa"/>
            <w:vAlign w:val="bottom"/>
            <w:tcBorders>
              <w:bottom w:val="single" w:sz="8" w:color="2AD2C9"/>
            </w:tcBorders>
            <w:shd w:val="clear" w:color="auto" w:fill="2AD2C9"/>
          </w:tcPr>
          <w:p>
            <w:pPr>
              <w:spacing w:after="0"/>
              <w:rPr>
                <w:sz w:val="8"/>
                <w:szCs w:val="8"/>
                <w:color w:val="auto"/>
              </w:rPr>
            </w:pPr>
          </w:p>
        </w:tc>
        <w:tc>
          <w:tcPr>
            <w:tcW w:w="340" w:type="dxa"/>
            <w:vAlign w:val="bottom"/>
            <w:tcBorders>
              <w:bottom w:val="single" w:sz="8" w:color="2AD2C9"/>
              <w:right w:val="single" w:sz="8" w:color="auto"/>
            </w:tcBorders>
            <w:shd w:val="clear" w:color="auto" w:fill="2AD2C9"/>
          </w:tcPr>
          <w:p>
            <w:pPr>
              <w:spacing w:after="0"/>
              <w:rPr>
                <w:sz w:val="8"/>
                <w:szCs w:val="8"/>
                <w:color w:val="auto"/>
              </w:rPr>
            </w:pPr>
          </w:p>
        </w:tc>
        <w:tc>
          <w:tcPr>
            <w:tcW w:w="760" w:type="dxa"/>
            <w:vAlign w:val="bottom"/>
            <w:tcBorders>
              <w:bottom w:val="single" w:sz="8" w:color="2AD2C9"/>
            </w:tcBorders>
            <w:gridSpan w:val="2"/>
            <w:vMerge w:val="continue"/>
            <w:shd w:val="clear" w:color="auto" w:fill="2AD2C9"/>
          </w:tcPr>
          <w:p>
            <w:pPr>
              <w:spacing w:after="0"/>
              <w:rPr>
                <w:sz w:val="8"/>
                <w:szCs w:val="8"/>
                <w:color w:val="auto"/>
              </w:rPr>
            </w:pPr>
          </w:p>
        </w:tc>
        <w:tc>
          <w:tcPr>
            <w:tcW w:w="580" w:type="dxa"/>
            <w:vAlign w:val="bottom"/>
            <w:tcBorders>
              <w:bottom w:val="single" w:sz="8" w:color="2AD2C9"/>
            </w:tcBorders>
            <w:shd w:val="clear" w:color="auto" w:fill="2AD2C9"/>
          </w:tcPr>
          <w:p>
            <w:pPr>
              <w:spacing w:after="0"/>
              <w:rPr>
                <w:sz w:val="8"/>
                <w:szCs w:val="8"/>
                <w:color w:val="auto"/>
              </w:rPr>
            </w:pPr>
          </w:p>
        </w:tc>
        <w:tc>
          <w:tcPr>
            <w:tcW w:w="1060" w:type="dxa"/>
            <w:vAlign w:val="bottom"/>
            <w:tcBorders>
              <w:bottom w:val="single" w:sz="8" w:color="2AD2C9"/>
              <w:right w:val="single" w:sz="8" w:color="2AD2C9"/>
            </w:tcBorders>
            <w:shd w:val="clear" w:color="auto" w:fill="2AD2C9"/>
          </w:tcPr>
          <w:p>
            <w:pPr>
              <w:spacing w:after="0"/>
              <w:rPr>
                <w:sz w:val="8"/>
                <w:szCs w:val="8"/>
                <w:color w:val="auto"/>
              </w:rPr>
            </w:pPr>
          </w:p>
        </w:tc>
        <w:tc>
          <w:tcPr>
            <w:tcW w:w="1080" w:type="dxa"/>
            <w:vAlign w:val="bottom"/>
            <w:tcBorders>
              <w:bottom w:val="single" w:sz="8" w:color="2AD2C9"/>
              <w:right w:val="single" w:sz="8" w:color="auto"/>
            </w:tcBorders>
            <w:shd w:val="clear" w:color="auto" w:fill="2AD2C9"/>
          </w:tcPr>
          <w:p>
            <w:pPr>
              <w:spacing w:after="0"/>
              <w:rPr>
                <w:sz w:val="8"/>
                <w:szCs w:val="8"/>
                <w:color w:val="auto"/>
              </w:rPr>
            </w:pPr>
          </w:p>
        </w:tc>
        <w:tc>
          <w:tcPr>
            <w:tcW w:w="160" w:type="dxa"/>
            <w:vAlign w:val="bottom"/>
            <w:tcBorders>
              <w:bottom w:val="single" w:sz="8" w:color="2AD2C9"/>
            </w:tcBorders>
            <w:shd w:val="clear" w:color="auto" w:fill="2AD2C9"/>
          </w:tcPr>
          <w:p>
            <w:pPr>
              <w:spacing w:after="0"/>
              <w:rPr>
                <w:sz w:val="8"/>
                <w:szCs w:val="8"/>
                <w:color w:val="auto"/>
              </w:rPr>
            </w:pPr>
          </w:p>
        </w:tc>
        <w:tc>
          <w:tcPr>
            <w:tcW w:w="840" w:type="dxa"/>
            <w:vAlign w:val="bottom"/>
            <w:tcBorders>
              <w:bottom w:val="single" w:sz="8" w:color="2AD2C9"/>
              <w:right w:val="single" w:sz="8" w:color="auto"/>
            </w:tcBorders>
            <w:shd w:val="clear" w:color="auto" w:fill="2AD2C9"/>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160" w:type="dxa"/>
            <w:vAlign w:val="bottom"/>
            <w:tcBorders>
              <w:right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4Q22</w:t>
            </w: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tcBorders>
            <w:gridSpan w:val="2"/>
          </w:tcPr>
          <w:p>
            <w:pPr>
              <w:jc w:val="center"/>
              <w:ind w:left="295"/>
              <w:spacing w:after="0"/>
              <w:rPr>
                <w:sz w:val="20"/>
                <w:szCs w:val="20"/>
                <w:color w:val="auto"/>
              </w:rPr>
            </w:pPr>
            <w:r>
              <w:rPr>
                <w:rFonts w:ascii="Arial" w:cs="Arial" w:eastAsia="Arial" w:hAnsi="Arial"/>
                <w:sz w:val="13"/>
                <w:szCs w:val="13"/>
                <w:color w:val="auto"/>
                <w:w w:val="97"/>
              </w:rPr>
              <w:t>5.41%</w:t>
            </w: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234"/>
              <w:spacing w:after="0"/>
              <w:rPr>
                <w:sz w:val="20"/>
                <w:szCs w:val="20"/>
                <w:color w:val="auto"/>
              </w:rPr>
            </w:pPr>
            <w:r>
              <w:rPr>
                <w:rFonts w:ascii="Arial" w:cs="Arial" w:eastAsia="Arial" w:hAnsi="Arial"/>
                <w:sz w:val="13"/>
                <w:szCs w:val="13"/>
                <w:color w:val="auto"/>
                <w:w w:val="99"/>
              </w:rPr>
              <w:t>12.73%</w:t>
            </w:r>
          </w:p>
        </w:tc>
        <w:tc>
          <w:tcPr>
            <w:tcW w:w="1080" w:type="dxa"/>
            <w:vAlign w:val="bottom"/>
            <w:tcBorders>
              <w:top w:val="single" w:sz="8" w:color="auto"/>
              <w:right w:val="single" w:sz="8" w:color="auto"/>
            </w:tcBorders>
          </w:tcPr>
          <w:p>
            <w:pPr>
              <w:jc w:val="right"/>
              <w:ind w:right="355"/>
              <w:spacing w:after="0"/>
              <w:rPr>
                <w:sz w:val="20"/>
                <w:szCs w:val="20"/>
                <w:color w:val="auto"/>
              </w:rPr>
            </w:pPr>
            <w:r>
              <w:rPr>
                <w:rFonts w:ascii="Arial" w:cs="Arial" w:eastAsia="Arial" w:hAnsi="Arial"/>
                <w:sz w:val="13"/>
                <w:szCs w:val="13"/>
                <w:color w:val="auto"/>
              </w:rPr>
              <w:t>2.71%</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5.75%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6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54"/>
              <w:spacing w:after="0"/>
              <w:rPr>
                <w:sz w:val="20"/>
                <w:szCs w:val="20"/>
                <w:color w:val="auto"/>
              </w:rPr>
            </w:pPr>
            <w:r>
              <w:rPr>
                <w:rFonts w:ascii="Arial" w:cs="Arial" w:eastAsia="Arial" w:hAnsi="Arial"/>
                <w:sz w:val="13"/>
                <w:szCs w:val="13"/>
                <w:b w:val="1"/>
                <w:bCs w:val="1"/>
                <w:color w:val="auto"/>
              </w:rPr>
              <w:t>3Q23</w:t>
            </w:r>
          </w:p>
        </w:tc>
        <w:tc>
          <w:tcPr>
            <w:tcW w:w="1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760" w:type="dxa"/>
            <w:vAlign w:val="bottom"/>
            <w:gridSpan w:val="2"/>
          </w:tcPr>
          <w:p>
            <w:pPr>
              <w:jc w:val="center"/>
              <w:ind w:left="295"/>
              <w:spacing w:after="0"/>
              <w:rPr>
                <w:sz w:val="20"/>
                <w:szCs w:val="20"/>
                <w:color w:val="auto"/>
              </w:rPr>
            </w:pPr>
            <w:r>
              <w:rPr>
                <w:rFonts w:ascii="Arial" w:cs="Arial" w:eastAsia="Arial" w:hAnsi="Arial"/>
                <w:sz w:val="13"/>
                <w:szCs w:val="13"/>
                <w:color w:val="auto"/>
                <w:w w:val="97"/>
              </w:rPr>
              <w:t>5.77%</w:t>
            </w:r>
          </w:p>
        </w:tc>
        <w:tc>
          <w:tcPr>
            <w:tcW w:w="580" w:type="dxa"/>
            <w:vAlign w:val="bottom"/>
          </w:tcPr>
          <w:p>
            <w:pPr>
              <w:spacing w:after="0"/>
              <w:rPr>
                <w:sz w:val="21"/>
                <w:szCs w:val="21"/>
                <w:color w:val="auto"/>
              </w:rPr>
            </w:pPr>
          </w:p>
        </w:tc>
        <w:tc>
          <w:tcPr>
            <w:tcW w:w="1060" w:type="dxa"/>
            <w:vAlign w:val="bottom"/>
          </w:tcPr>
          <w:p>
            <w:pPr>
              <w:jc w:val="center"/>
              <w:ind w:right="234"/>
              <w:spacing w:after="0"/>
              <w:rPr>
                <w:sz w:val="20"/>
                <w:szCs w:val="20"/>
                <w:color w:val="auto"/>
              </w:rPr>
            </w:pPr>
            <w:r>
              <w:rPr>
                <w:rFonts w:ascii="Arial" w:cs="Arial" w:eastAsia="Arial" w:hAnsi="Arial"/>
                <w:sz w:val="13"/>
                <w:szCs w:val="13"/>
                <w:color w:val="auto"/>
                <w:w w:val="99"/>
              </w:rPr>
              <w:t>13.64%</w:t>
            </w:r>
          </w:p>
        </w:tc>
        <w:tc>
          <w:tcPr>
            <w:tcW w:w="1080" w:type="dxa"/>
            <w:vAlign w:val="bottom"/>
            <w:tcBorders>
              <w:right w:val="single" w:sz="8" w:color="auto"/>
            </w:tcBorders>
          </w:tcPr>
          <w:p>
            <w:pPr>
              <w:jc w:val="right"/>
              <w:ind w:right="355"/>
              <w:spacing w:after="0"/>
              <w:rPr>
                <w:sz w:val="20"/>
                <w:szCs w:val="20"/>
                <w:color w:val="auto"/>
              </w:rPr>
            </w:pPr>
            <w:r>
              <w:rPr>
                <w:rFonts w:ascii="Arial" w:cs="Arial" w:eastAsia="Arial" w:hAnsi="Arial"/>
                <w:sz w:val="13"/>
                <w:szCs w:val="13"/>
                <w:color w:val="auto"/>
              </w:rPr>
              <w:t>2.87%</w:t>
            </w:r>
          </w:p>
        </w:tc>
        <w:tc>
          <w:tcPr>
            <w:tcW w:w="160" w:type="dxa"/>
            <w:vAlign w:val="bottom"/>
          </w:tcPr>
          <w:p>
            <w:pPr>
              <w:spacing w:after="0"/>
              <w:rPr>
                <w:sz w:val="21"/>
                <w:szCs w:val="21"/>
                <w:color w:val="auto"/>
              </w:rPr>
            </w:pPr>
          </w:p>
        </w:tc>
        <w:tc>
          <w:tcPr>
            <w:tcW w:w="840" w:type="dxa"/>
            <w:vAlign w:val="bottom"/>
            <w:tcBorders>
              <w:right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6.11%</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74"/>
              <w:spacing w:after="0"/>
              <w:rPr>
                <w:sz w:val="20"/>
                <w:szCs w:val="20"/>
                <w:color w:val="auto"/>
              </w:rPr>
            </w:pPr>
            <w:r>
              <w:rPr>
                <w:rFonts w:ascii="Arial" w:cs="Arial" w:eastAsia="Arial" w:hAnsi="Arial"/>
                <w:sz w:val="13"/>
                <w:szCs w:val="13"/>
                <w:b w:val="1"/>
                <w:bCs w:val="1"/>
                <w:color w:val="auto"/>
              </w:rPr>
              <w:t>4Q23</w:t>
            </w:r>
          </w:p>
        </w:tc>
        <w:tc>
          <w:tcPr>
            <w:tcW w:w="1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760" w:type="dxa"/>
            <w:vAlign w:val="bottom"/>
            <w:gridSpan w:val="2"/>
          </w:tcPr>
          <w:p>
            <w:pPr>
              <w:jc w:val="center"/>
              <w:ind w:left="295"/>
              <w:spacing w:after="0"/>
              <w:rPr>
                <w:sz w:val="20"/>
                <w:szCs w:val="20"/>
                <w:color w:val="auto"/>
              </w:rPr>
            </w:pPr>
            <w:r>
              <w:rPr>
                <w:rFonts w:ascii="Arial" w:cs="Arial" w:eastAsia="Arial" w:hAnsi="Arial"/>
                <w:sz w:val="13"/>
                <w:szCs w:val="13"/>
                <w:color w:val="auto"/>
                <w:w w:val="97"/>
              </w:rPr>
              <w:t>5.99%</w:t>
            </w:r>
          </w:p>
        </w:tc>
        <w:tc>
          <w:tcPr>
            <w:tcW w:w="580" w:type="dxa"/>
            <w:vAlign w:val="bottom"/>
          </w:tcPr>
          <w:p>
            <w:pPr>
              <w:spacing w:after="0"/>
              <w:rPr>
                <w:sz w:val="21"/>
                <w:szCs w:val="21"/>
                <w:color w:val="auto"/>
              </w:rPr>
            </w:pPr>
          </w:p>
        </w:tc>
        <w:tc>
          <w:tcPr>
            <w:tcW w:w="1060" w:type="dxa"/>
            <w:vAlign w:val="bottom"/>
          </w:tcPr>
          <w:p>
            <w:pPr>
              <w:jc w:val="center"/>
              <w:ind w:right="234"/>
              <w:spacing w:after="0"/>
              <w:rPr>
                <w:sz w:val="20"/>
                <w:szCs w:val="20"/>
                <w:color w:val="auto"/>
              </w:rPr>
            </w:pPr>
            <w:r>
              <w:rPr>
                <w:rFonts w:ascii="Arial" w:cs="Arial" w:eastAsia="Arial" w:hAnsi="Arial"/>
                <w:sz w:val="13"/>
                <w:szCs w:val="13"/>
                <w:color w:val="auto"/>
                <w:w w:val="99"/>
              </w:rPr>
              <w:t>13.35%</w:t>
            </w:r>
          </w:p>
        </w:tc>
        <w:tc>
          <w:tcPr>
            <w:tcW w:w="1080" w:type="dxa"/>
            <w:vAlign w:val="bottom"/>
            <w:tcBorders>
              <w:right w:val="single" w:sz="8" w:color="auto"/>
            </w:tcBorders>
          </w:tcPr>
          <w:p>
            <w:pPr>
              <w:jc w:val="right"/>
              <w:ind w:right="355"/>
              <w:spacing w:after="0"/>
              <w:rPr>
                <w:sz w:val="20"/>
                <w:szCs w:val="20"/>
                <w:color w:val="auto"/>
              </w:rPr>
            </w:pPr>
            <w:r>
              <w:rPr>
                <w:rFonts w:ascii="Arial" w:cs="Arial" w:eastAsia="Arial" w:hAnsi="Arial"/>
                <w:sz w:val="13"/>
                <w:szCs w:val="13"/>
                <w:color w:val="auto"/>
              </w:rPr>
              <w:t>2.87%</w:t>
            </w:r>
          </w:p>
        </w:tc>
        <w:tc>
          <w:tcPr>
            <w:tcW w:w="160" w:type="dxa"/>
            <w:vAlign w:val="bottom"/>
          </w:tcPr>
          <w:p>
            <w:pPr>
              <w:spacing w:after="0"/>
              <w:rPr>
                <w:sz w:val="21"/>
                <w:szCs w:val="21"/>
                <w:color w:val="auto"/>
              </w:rPr>
            </w:pPr>
          </w:p>
        </w:tc>
        <w:tc>
          <w:tcPr>
            <w:tcW w:w="840" w:type="dxa"/>
            <w:vAlign w:val="bottom"/>
            <w:tcBorders>
              <w:right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6.21%</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1160" w:type="dxa"/>
            <w:vAlign w:val="bottom"/>
            <w:tcBorders>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-4358005</wp:posOffset>
            </wp:positionV>
            <wp:extent cx="1161415" cy="1390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NIM: Annualized Net interest income (excluding Net Insurance Financial Expenses) / Average period end and period beginning interest earning assets.</w:t>
      </w:r>
    </w:p>
    <w:p>
      <w:pPr>
        <w:spacing w:after="0" w:line="174" w:lineRule="exact"/>
        <w:rPr>
          <w:sz w:val="20"/>
          <w:szCs w:val="20"/>
          <w:color w:val="auto"/>
        </w:rPr>
      </w:pPr>
    </w:p>
    <w:tbl>
      <w:tblPr>
        <w:tblLayout w:type="fixed"/>
        <w:tblInd w:w="1150" w:type="dxa"/>
        <w:tblCellMar>
          <w:top w:w="0" w:type="dxa"/>
          <w:left w:w="0" w:type="dxa"/>
          <w:bottom w:w="0" w:type="dxa"/>
          <w:right w:w="0" w:type="dxa"/>
        </w:tblCellMar>
      </w:tblPr>
      <w:tr>
        <w:trPr>
          <w:trHeight w:val="175"/>
        </w:trPr>
        <w:tc>
          <w:tcPr>
            <w:tcW w:w="4520" w:type="dxa"/>
            <w:vAlign w:val="bottom"/>
            <w:tcBorders>
              <w:top w:val="single" w:sz="8" w:color="auto"/>
              <w:left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rPr>
              <w:t>Risk Adjusted NIM Breakdown</w:t>
            </w:r>
          </w:p>
        </w:tc>
        <w:tc>
          <w:tcPr>
            <w:tcW w:w="1200" w:type="dxa"/>
            <w:vAlign w:val="bottom"/>
            <w:tcBorders>
              <w:top w:val="single" w:sz="8" w:color="auto"/>
            </w:tcBorders>
            <w:shd w:val="clear" w:color="auto" w:fill="2AD2C9"/>
          </w:tcPr>
          <w:p>
            <w:pPr>
              <w:ind w:left="380"/>
              <w:spacing w:after="0"/>
              <w:rPr>
                <w:sz w:val="20"/>
                <w:szCs w:val="20"/>
                <w:color w:val="auto"/>
              </w:rPr>
            </w:pPr>
            <w:r>
              <w:rPr>
                <w:rFonts w:ascii="Arial" w:cs="Arial" w:eastAsia="Arial" w:hAnsi="Arial"/>
                <w:sz w:val="13"/>
                <w:szCs w:val="13"/>
                <w:b w:val="1"/>
                <w:bCs w:val="1"/>
                <w:color w:val="FFFFFF"/>
              </w:rPr>
              <w:t>BCP</w:t>
            </w:r>
          </w:p>
        </w:tc>
        <w:tc>
          <w:tcPr>
            <w:tcW w:w="1120" w:type="dxa"/>
            <w:vAlign w:val="bottom"/>
            <w:tcBorders>
              <w:top w:val="single" w:sz="8" w:color="auto"/>
            </w:tcBorders>
            <w:vMerge w:val="restart"/>
            <w:shd w:val="clear" w:color="auto" w:fill="2AD2C9"/>
          </w:tcPr>
          <w:p>
            <w:pPr>
              <w:jc w:val="center"/>
              <w:ind w:right="15"/>
              <w:spacing w:after="0"/>
              <w:rPr>
                <w:sz w:val="20"/>
                <w:szCs w:val="20"/>
                <w:color w:val="auto"/>
              </w:rPr>
            </w:pPr>
            <w:r>
              <w:rPr>
                <w:rFonts w:ascii="Arial" w:cs="Arial" w:eastAsia="Arial" w:hAnsi="Arial"/>
                <w:sz w:val="13"/>
                <w:szCs w:val="13"/>
                <w:b w:val="1"/>
                <w:bCs w:val="1"/>
                <w:color w:val="FFFFFF"/>
                <w:w w:val="98"/>
              </w:rPr>
              <w:t>Mibanco</w:t>
            </w:r>
          </w:p>
        </w:tc>
        <w:tc>
          <w:tcPr>
            <w:tcW w:w="1160" w:type="dxa"/>
            <w:vAlign w:val="bottom"/>
            <w:tcBorders>
              <w:top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BCP</w:t>
            </w:r>
          </w:p>
        </w:tc>
        <w:tc>
          <w:tcPr>
            <w:tcW w:w="100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w w:val="97"/>
              </w:rPr>
              <w:t>Credicorp</w:t>
            </w:r>
          </w:p>
        </w:tc>
        <w:tc>
          <w:tcPr>
            <w:tcW w:w="0" w:type="dxa"/>
            <w:vAlign w:val="bottom"/>
          </w:tcPr>
          <w:p>
            <w:pPr>
              <w:spacing w:after="0"/>
              <w:rPr>
                <w:sz w:val="1"/>
                <w:szCs w:val="1"/>
                <w:color w:val="auto"/>
              </w:rPr>
            </w:pPr>
          </w:p>
        </w:tc>
      </w:tr>
      <w:tr>
        <w:trPr>
          <w:trHeight w:val="104"/>
        </w:trPr>
        <w:tc>
          <w:tcPr>
            <w:tcW w:w="4520" w:type="dxa"/>
            <w:vAlign w:val="bottom"/>
            <w:tcBorders>
              <w:left w:val="single" w:sz="8" w:color="auto"/>
              <w:right w:val="single" w:sz="8" w:color="auto"/>
            </w:tcBorders>
            <w:vMerge w:val="continue"/>
            <w:shd w:val="clear" w:color="auto" w:fill="2AD2C9"/>
          </w:tcPr>
          <w:p>
            <w:pPr>
              <w:spacing w:after="0"/>
              <w:rPr>
                <w:sz w:val="9"/>
                <w:szCs w:val="9"/>
                <w:color w:val="auto"/>
              </w:rPr>
            </w:pPr>
          </w:p>
        </w:tc>
        <w:tc>
          <w:tcPr>
            <w:tcW w:w="1200" w:type="dxa"/>
            <w:vAlign w:val="bottom"/>
            <w:vMerge w:val="restart"/>
            <w:shd w:val="clear" w:color="auto" w:fill="2AD2C9"/>
          </w:tcPr>
          <w:p>
            <w:pPr>
              <w:ind w:left="180"/>
              <w:spacing w:after="0"/>
              <w:rPr>
                <w:sz w:val="20"/>
                <w:szCs w:val="20"/>
                <w:color w:val="auto"/>
              </w:rPr>
            </w:pPr>
            <w:r>
              <w:rPr>
                <w:rFonts w:ascii="Arial" w:cs="Arial" w:eastAsia="Arial" w:hAnsi="Arial"/>
                <w:sz w:val="13"/>
                <w:szCs w:val="13"/>
                <w:b w:val="1"/>
                <w:bCs w:val="1"/>
                <w:color w:val="FFFFFF"/>
              </w:rPr>
              <w:t>Stand-alone</w:t>
            </w:r>
          </w:p>
        </w:tc>
        <w:tc>
          <w:tcPr>
            <w:tcW w:w="1120" w:type="dxa"/>
            <w:vAlign w:val="bottom"/>
            <w:vMerge w:val="continue"/>
            <w:shd w:val="clear" w:color="auto" w:fill="2AD2C9"/>
          </w:tcPr>
          <w:p>
            <w:pPr>
              <w:spacing w:after="0"/>
              <w:rPr>
                <w:sz w:val="9"/>
                <w:szCs w:val="9"/>
                <w:color w:val="auto"/>
              </w:rPr>
            </w:pPr>
          </w:p>
        </w:tc>
        <w:tc>
          <w:tcPr>
            <w:tcW w:w="1160" w:type="dxa"/>
            <w:vAlign w:val="bottom"/>
            <w:tcBorders>
              <w:right w:val="single" w:sz="8" w:color="auto"/>
            </w:tcBorders>
            <w:vMerge w:val="restart"/>
            <w:shd w:val="clear" w:color="auto" w:fill="2AD2C9"/>
          </w:tcPr>
          <w:p>
            <w:pPr>
              <w:ind w:left="360"/>
              <w:spacing w:after="0"/>
              <w:rPr>
                <w:sz w:val="20"/>
                <w:szCs w:val="20"/>
                <w:color w:val="auto"/>
              </w:rPr>
            </w:pPr>
            <w:r>
              <w:rPr>
                <w:rFonts w:ascii="Arial" w:cs="Arial" w:eastAsia="Arial" w:hAnsi="Arial"/>
                <w:sz w:val="13"/>
                <w:szCs w:val="13"/>
                <w:b w:val="1"/>
                <w:bCs w:val="1"/>
                <w:color w:val="FFFFFF"/>
              </w:rPr>
              <w:t>Bolivia</w:t>
            </w:r>
          </w:p>
        </w:tc>
        <w:tc>
          <w:tcPr>
            <w:tcW w:w="1000" w:type="dxa"/>
            <w:vAlign w:val="bottom"/>
            <w:tcBorders>
              <w:right w:val="single" w:sz="8" w:color="auto"/>
            </w:tcBorders>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520" w:type="dxa"/>
            <w:vAlign w:val="bottom"/>
            <w:tcBorders>
              <w:left w:val="single" w:sz="8" w:color="auto"/>
              <w:bottom w:val="single" w:sz="8" w:color="auto"/>
              <w:right w:val="single" w:sz="8" w:color="auto"/>
            </w:tcBorders>
            <w:shd w:val="clear" w:color="auto" w:fill="2AD2C9"/>
          </w:tcPr>
          <w:p>
            <w:pPr>
              <w:spacing w:after="0"/>
              <w:rPr>
                <w:sz w:val="6"/>
                <w:szCs w:val="6"/>
                <w:color w:val="auto"/>
              </w:rPr>
            </w:pPr>
          </w:p>
        </w:tc>
        <w:tc>
          <w:tcPr>
            <w:tcW w:w="1200" w:type="dxa"/>
            <w:vAlign w:val="bottom"/>
            <w:tcBorders>
              <w:bottom w:val="single" w:sz="8" w:color="auto"/>
            </w:tcBorders>
            <w:vMerge w:val="continue"/>
            <w:shd w:val="clear" w:color="auto" w:fill="2AD2C9"/>
          </w:tcPr>
          <w:p>
            <w:pPr>
              <w:spacing w:after="0"/>
              <w:rPr>
                <w:sz w:val="6"/>
                <w:szCs w:val="6"/>
                <w:color w:val="auto"/>
              </w:rPr>
            </w:pPr>
          </w:p>
        </w:tc>
        <w:tc>
          <w:tcPr>
            <w:tcW w:w="1120" w:type="dxa"/>
            <w:vAlign w:val="bottom"/>
            <w:tcBorders>
              <w:bottom w:val="single" w:sz="8" w:color="auto"/>
            </w:tcBorders>
            <w:shd w:val="clear" w:color="auto" w:fill="2AD2C9"/>
          </w:tcPr>
          <w:p>
            <w:pPr>
              <w:spacing w:after="0"/>
              <w:rPr>
                <w:sz w:val="6"/>
                <w:szCs w:val="6"/>
                <w:color w:val="auto"/>
              </w:rPr>
            </w:pPr>
          </w:p>
        </w:tc>
        <w:tc>
          <w:tcPr>
            <w:tcW w:w="1160" w:type="dxa"/>
            <w:vAlign w:val="bottom"/>
            <w:tcBorders>
              <w:bottom w:val="single" w:sz="8" w:color="auto"/>
              <w:right w:val="single" w:sz="8" w:color="auto"/>
            </w:tcBorders>
            <w:vMerge w:val="continue"/>
            <w:shd w:val="clear" w:color="auto" w:fill="2AD2C9"/>
          </w:tcPr>
          <w:p>
            <w:pPr>
              <w:spacing w:after="0"/>
              <w:rPr>
                <w:sz w:val="6"/>
                <w:szCs w:val="6"/>
                <w:color w:val="auto"/>
              </w:rPr>
            </w:pPr>
          </w:p>
        </w:tc>
        <w:tc>
          <w:tcPr>
            <w:tcW w:w="1000" w:type="dxa"/>
            <w:vAlign w:val="bottom"/>
            <w:tcBorders>
              <w:bottom w:val="single" w:sz="8" w:color="auto"/>
              <w:right w:val="single" w:sz="8" w:color="auto"/>
            </w:tcBorders>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520" w:type="dxa"/>
            <w:vAlign w:val="bottom"/>
            <w:tcBorders>
              <w:left w:val="single" w:sz="8" w:color="auto"/>
              <w:right w:val="single" w:sz="8" w:color="auto"/>
            </w:tcBorders>
          </w:tcPr>
          <w:p>
            <w:pPr>
              <w:jc w:val="center"/>
              <w:ind w:right="15"/>
              <w:spacing w:after="0"/>
              <w:rPr>
                <w:sz w:val="20"/>
                <w:szCs w:val="20"/>
                <w:color w:val="auto"/>
              </w:rPr>
            </w:pPr>
            <w:r>
              <w:rPr>
                <w:rFonts w:ascii="Arial" w:cs="Arial" w:eastAsia="Arial" w:hAnsi="Arial"/>
                <w:sz w:val="13"/>
                <w:szCs w:val="13"/>
                <w:b w:val="1"/>
                <w:bCs w:val="1"/>
                <w:color w:val="auto"/>
              </w:rPr>
              <w:t>4Q22</w:t>
            </w:r>
          </w:p>
        </w:tc>
        <w:tc>
          <w:tcPr>
            <w:tcW w:w="1200" w:type="dxa"/>
            <w:vAlign w:val="bottom"/>
          </w:tcPr>
          <w:p>
            <w:pPr>
              <w:ind w:left="380"/>
              <w:spacing w:after="0"/>
              <w:rPr>
                <w:sz w:val="20"/>
                <w:szCs w:val="20"/>
                <w:color w:val="auto"/>
              </w:rPr>
            </w:pPr>
            <w:r>
              <w:rPr>
                <w:rFonts w:ascii="Arial" w:cs="Arial" w:eastAsia="Arial" w:hAnsi="Arial"/>
                <w:sz w:val="13"/>
                <w:szCs w:val="13"/>
                <w:color w:val="auto"/>
              </w:rPr>
              <w:t>4.24%</w:t>
            </w:r>
          </w:p>
        </w:tc>
        <w:tc>
          <w:tcPr>
            <w:tcW w:w="1120" w:type="dxa"/>
            <w:vAlign w:val="bottom"/>
          </w:tcPr>
          <w:p>
            <w:pPr>
              <w:jc w:val="center"/>
              <w:ind w:right="15"/>
              <w:spacing w:after="0"/>
              <w:rPr>
                <w:sz w:val="20"/>
                <w:szCs w:val="20"/>
                <w:color w:val="auto"/>
              </w:rPr>
            </w:pPr>
            <w:r>
              <w:rPr>
                <w:rFonts w:ascii="Arial" w:cs="Arial" w:eastAsia="Arial" w:hAnsi="Arial"/>
                <w:sz w:val="13"/>
                <w:szCs w:val="13"/>
                <w:color w:val="auto"/>
                <w:w w:val="97"/>
              </w:rPr>
              <w:t>8.14%</w:t>
            </w:r>
          </w:p>
        </w:tc>
        <w:tc>
          <w:tcPr>
            <w:tcW w:w="1160" w:type="dxa"/>
            <w:vAlign w:val="bottom"/>
            <w:tcBorders>
              <w:right w:val="single" w:sz="8" w:color="auto"/>
            </w:tcBorders>
          </w:tcPr>
          <w:p>
            <w:pPr>
              <w:ind w:left="380"/>
              <w:spacing w:after="0"/>
              <w:rPr>
                <w:sz w:val="20"/>
                <w:szCs w:val="20"/>
                <w:color w:val="auto"/>
              </w:rPr>
            </w:pPr>
            <w:r>
              <w:rPr>
                <w:rFonts w:ascii="Arial" w:cs="Arial" w:eastAsia="Arial" w:hAnsi="Arial"/>
                <w:sz w:val="13"/>
                <w:szCs w:val="13"/>
                <w:color w:val="auto"/>
              </w:rPr>
              <w:t>2.13%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4.45%</w:t>
            </w:r>
          </w:p>
        </w:tc>
        <w:tc>
          <w:tcPr>
            <w:tcW w:w="0" w:type="dxa"/>
            <w:vAlign w:val="bottom"/>
          </w:tcPr>
          <w:p>
            <w:pPr>
              <w:spacing w:after="0"/>
              <w:rPr>
                <w:sz w:val="1"/>
                <w:szCs w:val="1"/>
                <w:color w:val="auto"/>
              </w:rPr>
            </w:pPr>
          </w:p>
        </w:tc>
      </w:tr>
      <w:tr>
        <w:trPr>
          <w:trHeight w:val="195"/>
        </w:trPr>
        <w:tc>
          <w:tcPr>
            <w:tcW w:w="4520" w:type="dxa"/>
            <w:vAlign w:val="bottom"/>
            <w:tcBorders>
              <w:left w:val="single" w:sz="8" w:color="auto"/>
              <w:right w:val="single" w:sz="8" w:color="auto"/>
            </w:tcBorders>
          </w:tcPr>
          <w:p>
            <w:pPr>
              <w:jc w:val="center"/>
              <w:ind w:right="15"/>
              <w:spacing w:after="0"/>
              <w:rPr>
                <w:sz w:val="20"/>
                <w:szCs w:val="20"/>
                <w:color w:val="auto"/>
              </w:rPr>
            </w:pPr>
            <w:r>
              <w:rPr>
                <w:rFonts w:ascii="Arial" w:cs="Arial" w:eastAsia="Arial" w:hAnsi="Arial"/>
                <w:sz w:val="13"/>
                <w:szCs w:val="13"/>
                <w:b w:val="1"/>
                <w:bCs w:val="1"/>
                <w:color w:val="auto"/>
              </w:rPr>
              <w:t>3Q23</w:t>
            </w:r>
          </w:p>
        </w:tc>
        <w:tc>
          <w:tcPr>
            <w:tcW w:w="1200" w:type="dxa"/>
            <w:vAlign w:val="bottom"/>
          </w:tcPr>
          <w:p>
            <w:pPr>
              <w:ind w:left="380"/>
              <w:spacing w:after="0"/>
              <w:rPr>
                <w:sz w:val="20"/>
                <w:szCs w:val="20"/>
                <w:color w:val="auto"/>
              </w:rPr>
            </w:pPr>
            <w:r>
              <w:rPr>
                <w:rFonts w:ascii="Arial" w:cs="Arial" w:eastAsia="Arial" w:hAnsi="Arial"/>
                <w:sz w:val="13"/>
                <w:szCs w:val="13"/>
                <w:color w:val="auto"/>
              </w:rPr>
              <w:t>4.18%</w:t>
            </w:r>
          </w:p>
        </w:tc>
        <w:tc>
          <w:tcPr>
            <w:tcW w:w="1120" w:type="dxa"/>
            <w:vAlign w:val="bottom"/>
          </w:tcPr>
          <w:p>
            <w:pPr>
              <w:jc w:val="center"/>
              <w:ind w:right="15"/>
              <w:spacing w:after="0"/>
              <w:rPr>
                <w:sz w:val="20"/>
                <w:szCs w:val="20"/>
                <w:color w:val="auto"/>
              </w:rPr>
            </w:pPr>
            <w:r>
              <w:rPr>
                <w:rFonts w:ascii="Arial" w:cs="Arial" w:eastAsia="Arial" w:hAnsi="Arial"/>
                <w:sz w:val="13"/>
                <w:szCs w:val="13"/>
                <w:color w:val="auto"/>
                <w:w w:val="97"/>
              </w:rPr>
              <w:t>8.73%</w:t>
            </w:r>
          </w:p>
        </w:tc>
        <w:tc>
          <w:tcPr>
            <w:tcW w:w="1160" w:type="dxa"/>
            <w:vAlign w:val="bottom"/>
            <w:tcBorders>
              <w:right w:val="single" w:sz="8" w:color="auto"/>
            </w:tcBorders>
          </w:tcPr>
          <w:p>
            <w:pPr>
              <w:ind w:left="380"/>
              <w:spacing w:after="0"/>
              <w:rPr>
                <w:sz w:val="20"/>
                <w:szCs w:val="20"/>
                <w:color w:val="auto"/>
              </w:rPr>
            </w:pPr>
            <w:r>
              <w:rPr>
                <w:rFonts w:ascii="Arial" w:cs="Arial" w:eastAsia="Arial" w:hAnsi="Arial"/>
                <w:sz w:val="13"/>
                <w:szCs w:val="13"/>
                <w:color w:val="auto"/>
              </w:rPr>
              <w:t>2.47%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4.45%</w:t>
            </w:r>
          </w:p>
        </w:tc>
        <w:tc>
          <w:tcPr>
            <w:tcW w:w="0" w:type="dxa"/>
            <w:vAlign w:val="bottom"/>
          </w:tcPr>
          <w:p>
            <w:pPr>
              <w:spacing w:after="0"/>
              <w:rPr>
                <w:sz w:val="1"/>
                <w:szCs w:val="1"/>
                <w:color w:val="auto"/>
              </w:rPr>
            </w:pPr>
          </w:p>
        </w:tc>
      </w:tr>
      <w:tr>
        <w:trPr>
          <w:trHeight w:val="195"/>
        </w:trPr>
        <w:tc>
          <w:tcPr>
            <w:tcW w:w="4520" w:type="dxa"/>
            <w:vAlign w:val="bottom"/>
            <w:tcBorders>
              <w:left w:val="single" w:sz="8" w:color="auto"/>
              <w:bottom w:val="single" w:sz="8" w:color="auto"/>
              <w:right w:val="single" w:sz="8" w:color="auto"/>
            </w:tcBorders>
          </w:tcPr>
          <w:p>
            <w:pPr>
              <w:jc w:val="center"/>
              <w:ind w:right="15"/>
              <w:spacing w:after="0"/>
              <w:rPr>
                <w:sz w:val="20"/>
                <w:szCs w:val="20"/>
                <w:color w:val="auto"/>
              </w:rPr>
            </w:pPr>
            <w:r>
              <w:rPr>
                <w:rFonts w:ascii="Arial" w:cs="Arial" w:eastAsia="Arial" w:hAnsi="Arial"/>
                <w:sz w:val="13"/>
                <w:szCs w:val="13"/>
                <w:b w:val="1"/>
                <w:bCs w:val="1"/>
                <w:color w:val="auto"/>
              </w:rPr>
              <w:t>4Q23</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2.81%</w:t>
            </w:r>
          </w:p>
        </w:tc>
        <w:tc>
          <w:tcPr>
            <w:tcW w:w="112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color w:val="auto"/>
                <w:w w:val="97"/>
              </w:rPr>
              <w:t>8.17%</w:t>
            </w: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1.93%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4.10%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20" w:right="1040"/>
        <w:spacing w:after="0" w:line="273" w:lineRule="auto"/>
        <w:rPr>
          <w:sz w:val="20"/>
          <w:szCs w:val="20"/>
          <w:color w:val="auto"/>
        </w:rPr>
      </w:pPr>
      <w:r>
        <w:rPr>
          <w:rFonts w:ascii="Arial" w:cs="Arial" w:eastAsia="Arial" w:hAnsi="Arial"/>
          <w:sz w:val="11"/>
          <w:szCs w:val="11"/>
          <w:color w:val="auto"/>
        </w:rPr>
        <w:t>Risk-Adjusted NIM: (Annualized Net interest income (excluding Net Insurance Financial Expenses) - annualized provisions) / Average period end and period beginning interest earning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87"/>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40" w:right="319" w:bottom="1440" w:gutter="0" w:footer="0" w:header="0"/>
        </w:sectPr>
      </w:pPr>
    </w:p>
    <w:bookmarkStart w:id="63" w:name="page64"/>
    <w:bookmarkEnd w:id="63"/>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410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5655" cy="41021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278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5655" cy="278765"/>
                    </a:xfrm>
                    <a:prstGeom prst="rect">
                      <a:avLst/>
                    </a:prstGeom>
                    <a:noFill/>
                  </pic:spPr>
                </pic:pic>
              </a:graphicData>
            </a:graphic>
          </wp:anchor>
        </w:drawing>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12.5. Regulatory Capital</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Regulatory Capital and Capital Adequacy Ratios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63" w:lineRule="exact"/>
        <w:rPr>
          <w:sz w:val="20"/>
          <w:szCs w:val="20"/>
          <w:color w:val="auto"/>
        </w:rPr>
      </w:pPr>
    </w:p>
    <w:tbl>
      <w:tblPr>
        <w:tblLayout w:type="fixed"/>
        <w:tblInd w:w="1170" w:type="dxa"/>
        <w:tblCellMar>
          <w:top w:w="0" w:type="dxa"/>
          <w:left w:w="0" w:type="dxa"/>
          <w:bottom w:w="0" w:type="dxa"/>
          <w:right w:w="0" w:type="dxa"/>
        </w:tblCellMar>
      </w:tblPr>
      <w:tr>
        <w:trPr>
          <w:trHeight w:val="176"/>
        </w:trPr>
        <w:tc>
          <w:tcPr>
            <w:tcW w:w="3880" w:type="dxa"/>
            <w:vAlign w:val="bottom"/>
            <w:tcBorders>
              <w:top w:val="single" w:sz="8" w:color="auto"/>
              <w:left w:val="single" w:sz="8" w:color="auto"/>
              <w:right w:val="single" w:sz="8" w:color="auto"/>
            </w:tcBorders>
            <w:shd w:val="clear" w:color="auto" w:fill="2AD2C9"/>
          </w:tcPr>
          <w:p>
            <w:pPr>
              <w:spacing w:after="0"/>
              <w:rPr>
                <w:sz w:val="15"/>
                <w:szCs w:val="15"/>
                <w:color w:val="auto"/>
              </w:rPr>
            </w:pPr>
          </w:p>
        </w:tc>
        <w:tc>
          <w:tcPr>
            <w:tcW w:w="1240" w:type="dxa"/>
            <w:vAlign w:val="bottom"/>
            <w:tcBorders>
              <w:top w:val="single" w:sz="8" w:color="auto"/>
            </w:tcBorders>
            <w:shd w:val="clear" w:color="auto" w:fill="2AD2C9"/>
          </w:tcPr>
          <w:p>
            <w:pPr>
              <w:spacing w:after="0"/>
              <w:rPr>
                <w:sz w:val="15"/>
                <w:szCs w:val="15"/>
                <w:color w:val="auto"/>
              </w:rPr>
            </w:pPr>
          </w:p>
        </w:tc>
        <w:tc>
          <w:tcPr>
            <w:tcW w:w="1120" w:type="dxa"/>
            <w:vAlign w:val="bottom"/>
            <w:tcBorders>
              <w:top w:val="single" w:sz="8" w:color="auto"/>
            </w:tcBorders>
            <w:shd w:val="clear" w:color="auto" w:fill="2AD2C9"/>
          </w:tcPr>
          <w:p>
            <w:pPr>
              <w:jc w:val="right"/>
              <w:ind w:right="523"/>
              <w:spacing w:after="0"/>
              <w:rPr>
                <w:sz w:val="20"/>
                <w:szCs w:val="20"/>
                <w:color w:val="auto"/>
              </w:rPr>
            </w:pPr>
            <w:r>
              <w:rPr>
                <w:rFonts w:ascii="Arial" w:cs="Arial" w:eastAsia="Arial" w:hAnsi="Arial"/>
                <w:sz w:val="11"/>
                <w:szCs w:val="11"/>
                <w:b w:val="1"/>
                <w:bCs w:val="1"/>
                <w:color w:val="FFFFFF"/>
              </w:rPr>
              <w:t>As of</w:t>
            </w:r>
          </w:p>
        </w:tc>
        <w:tc>
          <w:tcPr>
            <w:tcW w:w="980" w:type="dxa"/>
            <w:vAlign w:val="bottom"/>
            <w:tcBorders>
              <w:top w:val="single" w:sz="8" w:color="auto"/>
              <w:right w:val="single" w:sz="8" w:color="auto"/>
            </w:tcBorders>
            <w:shd w:val="clear" w:color="auto" w:fill="2AD2C9"/>
          </w:tcPr>
          <w:p>
            <w:pPr>
              <w:spacing w:after="0"/>
              <w:rPr>
                <w:sz w:val="15"/>
                <w:szCs w:val="15"/>
                <w:color w:val="auto"/>
              </w:rPr>
            </w:pPr>
          </w:p>
        </w:tc>
        <w:tc>
          <w:tcPr>
            <w:tcW w:w="600" w:type="dxa"/>
            <w:vAlign w:val="bottom"/>
            <w:tcBorders>
              <w:top w:val="single" w:sz="8" w:color="auto"/>
            </w:tcBorders>
            <w:shd w:val="clear" w:color="auto" w:fill="2AD2C9"/>
          </w:tcPr>
          <w:p>
            <w:pPr>
              <w:spacing w:after="0"/>
              <w:rPr>
                <w:sz w:val="15"/>
                <w:szCs w:val="15"/>
                <w:color w:val="auto"/>
              </w:rPr>
            </w:pPr>
          </w:p>
        </w:tc>
        <w:tc>
          <w:tcPr>
            <w:tcW w:w="1200" w:type="dxa"/>
            <w:vAlign w:val="bottom"/>
            <w:tcBorders>
              <w:top w:val="single" w:sz="8" w:color="auto"/>
              <w:right w:val="single" w:sz="8" w:color="auto"/>
            </w:tcBorders>
            <w:shd w:val="clear" w:color="auto" w:fill="2AD2C9"/>
          </w:tcPr>
          <w:p>
            <w:pPr>
              <w:spacing w:after="0"/>
              <w:rPr>
                <w:sz w:val="20"/>
                <w:szCs w:val="20"/>
                <w:color w:val="auto"/>
              </w:rPr>
            </w:pPr>
            <w:r>
              <w:rPr>
                <w:rFonts w:ascii="Arial" w:cs="Arial" w:eastAsia="Arial" w:hAnsi="Arial"/>
                <w:sz w:val="11"/>
                <w:szCs w:val="11"/>
                <w:b w:val="1"/>
                <w:bCs w:val="1"/>
                <w:color w:val="FFFFFF"/>
              </w:rPr>
              <w:t>% change</w:t>
            </w:r>
          </w:p>
        </w:tc>
        <w:tc>
          <w:tcPr>
            <w:tcW w:w="0" w:type="dxa"/>
            <w:vAlign w:val="bottom"/>
          </w:tcPr>
          <w:p>
            <w:pPr>
              <w:spacing w:after="0"/>
              <w:rPr>
                <w:sz w:val="1"/>
                <w:szCs w:val="1"/>
                <w:color w:val="auto"/>
              </w:rPr>
            </w:pPr>
          </w:p>
        </w:tc>
      </w:tr>
      <w:tr>
        <w:trPr>
          <w:trHeight w:val="174"/>
        </w:trPr>
        <w:tc>
          <w:tcPr>
            <w:tcW w:w="3880" w:type="dxa"/>
            <w:vAlign w:val="bottom"/>
            <w:tcBorders>
              <w:left w:val="single" w:sz="8" w:color="auto"/>
              <w:bottom w:val="single" w:sz="8" w:color="auto"/>
              <w:right w:val="single" w:sz="8" w:color="auto"/>
            </w:tcBorders>
            <w:shd w:val="clear" w:color="auto" w:fill="2AD2C9"/>
          </w:tcPr>
          <w:p>
            <w:pPr>
              <w:spacing w:after="0"/>
              <w:rPr>
                <w:sz w:val="15"/>
                <w:szCs w:val="15"/>
                <w:color w:val="auto"/>
              </w:rPr>
            </w:pPr>
          </w:p>
        </w:tc>
        <w:tc>
          <w:tcPr>
            <w:tcW w:w="1240" w:type="dxa"/>
            <w:vAlign w:val="bottom"/>
            <w:tcBorders>
              <w:bottom w:val="single" w:sz="8" w:color="auto"/>
            </w:tcBorders>
            <w:shd w:val="clear" w:color="auto" w:fill="2AD2C9"/>
          </w:tcPr>
          <w:p>
            <w:pPr>
              <w:jc w:val="right"/>
              <w:ind w:right="483"/>
              <w:spacing w:after="0"/>
              <w:rPr>
                <w:sz w:val="20"/>
                <w:szCs w:val="20"/>
                <w:color w:val="auto"/>
              </w:rPr>
            </w:pPr>
            <w:r>
              <w:rPr>
                <w:rFonts w:ascii="Arial" w:cs="Arial" w:eastAsia="Arial" w:hAnsi="Arial"/>
                <w:sz w:val="11"/>
                <w:szCs w:val="11"/>
                <w:b w:val="1"/>
                <w:bCs w:val="1"/>
                <w:color w:val="FFFFFF"/>
              </w:rPr>
              <w:t>Dec 22</w:t>
            </w:r>
          </w:p>
        </w:tc>
        <w:tc>
          <w:tcPr>
            <w:tcW w:w="1120" w:type="dxa"/>
            <w:vAlign w:val="bottom"/>
            <w:tcBorders>
              <w:bottom w:val="single" w:sz="8" w:color="auto"/>
            </w:tcBorders>
            <w:shd w:val="clear" w:color="auto" w:fill="2AD2C9"/>
          </w:tcPr>
          <w:p>
            <w:pPr>
              <w:jc w:val="right"/>
              <w:ind w:right="483"/>
              <w:spacing w:after="0"/>
              <w:rPr>
                <w:sz w:val="20"/>
                <w:szCs w:val="20"/>
                <w:color w:val="auto"/>
              </w:rPr>
            </w:pPr>
            <w:r>
              <w:rPr>
                <w:rFonts w:ascii="Arial" w:cs="Arial" w:eastAsia="Arial" w:hAnsi="Arial"/>
                <w:sz w:val="11"/>
                <w:szCs w:val="11"/>
                <w:b w:val="1"/>
                <w:bCs w:val="1"/>
                <w:color w:val="FFFFFF"/>
              </w:rPr>
              <w:t>Sep 23</w:t>
            </w:r>
          </w:p>
        </w:tc>
        <w:tc>
          <w:tcPr>
            <w:tcW w:w="980" w:type="dxa"/>
            <w:vAlign w:val="bottom"/>
            <w:tcBorders>
              <w:bottom w:val="single" w:sz="8" w:color="auto"/>
              <w:right w:val="single" w:sz="8" w:color="auto"/>
            </w:tcBorders>
            <w:shd w:val="clear" w:color="auto" w:fill="2AD2C9"/>
          </w:tcPr>
          <w:p>
            <w:pPr>
              <w:jc w:val="right"/>
              <w:ind w:right="343"/>
              <w:spacing w:after="0"/>
              <w:rPr>
                <w:sz w:val="20"/>
                <w:szCs w:val="20"/>
                <w:color w:val="auto"/>
              </w:rPr>
            </w:pPr>
            <w:r>
              <w:rPr>
                <w:rFonts w:ascii="Arial" w:cs="Arial" w:eastAsia="Arial" w:hAnsi="Arial"/>
                <w:sz w:val="11"/>
                <w:szCs w:val="11"/>
                <w:b w:val="1"/>
                <w:bCs w:val="1"/>
                <w:color w:val="FFFFFF"/>
              </w:rPr>
              <w:t>Dec 23</w:t>
            </w:r>
          </w:p>
        </w:tc>
        <w:tc>
          <w:tcPr>
            <w:tcW w:w="60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QoQ</w:t>
            </w:r>
          </w:p>
        </w:tc>
        <w:tc>
          <w:tcPr>
            <w:tcW w:w="1200" w:type="dxa"/>
            <w:vAlign w:val="bottom"/>
            <w:tcBorders>
              <w:bottom w:val="single" w:sz="8" w:color="auto"/>
              <w:right w:val="single" w:sz="8" w:color="auto"/>
            </w:tcBorders>
            <w:shd w:val="clear" w:color="auto" w:fill="2AD2C9"/>
          </w:tcPr>
          <w:p>
            <w:pPr>
              <w:ind w:left="620"/>
              <w:spacing w:after="0"/>
              <w:rPr>
                <w:sz w:val="20"/>
                <w:szCs w:val="20"/>
                <w:color w:val="auto"/>
              </w:rPr>
            </w:pPr>
            <w:r>
              <w:rPr>
                <w:rFonts w:ascii="Arial" w:cs="Arial" w:eastAsia="Arial" w:hAnsi="Arial"/>
                <w:sz w:val="11"/>
                <w:szCs w:val="11"/>
                <w:b w:val="1"/>
                <w:bCs w:val="1"/>
                <w:color w:val="FFFFFF"/>
              </w:rPr>
              <w:t>YoY</w:t>
            </w:r>
          </w:p>
        </w:tc>
        <w:tc>
          <w:tcPr>
            <w:tcW w:w="0" w:type="dxa"/>
            <w:vAlign w:val="bottom"/>
          </w:tcPr>
          <w:p>
            <w:pPr>
              <w:spacing w:after="0"/>
              <w:rPr>
                <w:sz w:val="1"/>
                <w:szCs w:val="1"/>
                <w:color w:val="auto"/>
              </w:rPr>
            </w:pPr>
          </w:p>
        </w:tc>
      </w:tr>
      <w:tr>
        <w:trPr>
          <w:trHeight w:val="153"/>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Capital Stock</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1,318,993</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1,318,993</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1,318,993</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0.0%</w:t>
            </w:r>
          </w:p>
        </w:tc>
        <w:tc>
          <w:tcPr>
            <w:tcW w:w="120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71"/>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Treasury Stocks</w:t>
            </w:r>
          </w:p>
        </w:tc>
        <w:tc>
          <w:tcPr>
            <w:tcW w:w="1240" w:type="dxa"/>
            <w:vAlign w:val="bottom"/>
          </w:tcPr>
          <w:p>
            <w:pPr>
              <w:jc w:val="right"/>
              <w:ind w:right="163"/>
              <w:spacing w:after="0"/>
              <w:rPr>
                <w:sz w:val="20"/>
                <w:szCs w:val="20"/>
                <w:color w:val="auto"/>
              </w:rPr>
            </w:pPr>
            <w:r>
              <w:rPr>
                <w:rFonts w:ascii="Arial" w:cs="Arial" w:eastAsia="Arial" w:hAnsi="Arial"/>
                <w:sz w:val="11"/>
                <w:szCs w:val="11"/>
                <w:color w:val="auto"/>
              </w:rPr>
              <w:t>(207,518)</w:t>
            </w:r>
          </w:p>
        </w:tc>
        <w:tc>
          <w:tcPr>
            <w:tcW w:w="1120" w:type="dxa"/>
            <w:vAlign w:val="bottom"/>
          </w:tcPr>
          <w:p>
            <w:pPr>
              <w:jc w:val="right"/>
              <w:ind w:right="143"/>
              <w:spacing w:after="0"/>
              <w:rPr>
                <w:sz w:val="20"/>
                <w:szCs w:val="20"/>
                <w:color w:val="auto"/>
              </w:rPr>
            </w:pPr>
            <w:r>
              <w:rPr>
                <w:rFonts w:ascii="Arial" w:cs="Arial" w:eastAsia="Arial" w:hAnsi="Arial"/>
                <w:sz w:val="11"/>
                <w:szCs w:val="11"/>
                <w:color w:val="auto"/>
              </w:rPr>
              <w:t>(208,033)</w:t>
            </w:r>
          </w:p>
        </w:tc>
        <w:tc>
          <w:tcPr>
            <w:tcW w:w="980" w:type="dxa"/>
            <w:vAlign w:val="bottom"/>
            <w:tcBorders>
              <w:right w:val="single" w:sz="8" w:color="auto"/>
            </w:tcBorders>
          </w:tcPr>
          <w:p>
            <w:pPr>
              <w:jc w:val="right"/>
              <w:ind w:right="3"/>
              <w:spacing w:after="0"/>
              <w:rPr>
                <w:sz w:val="20"/>
                <w:szCs w:val="20"/>
                <w:color w:val="auto"/>
              </w:rPr>
            </w:pPr>
            <w:r>
              <w:rPr>
                <w:rFonts w:ascii="Arial" w:cs="Arial" w:eastAsia="Arial" w:hAnsi="Arial"/>
                <w:sz w:val="11"/>
                <w:szCs w:val="11"/>
                <w:color w:val="auto"/>
              </w:rPr>
              <w:t>(208,033)</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0.0%</w:t>
            </w:r>
          </w:p>
        </w:tc>
        <w:tc>
          <w:tcPr>
            <w:tcW w:w="120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71"/>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Capital Surplus</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231,556</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225,338</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228,239</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1.3%</w:t>
            </w:r>
          </w:p>
        </w:tc>
        <w:tc>
          <w:tcPr>
            <w:tcW w:w="120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87"/>
        </w:trPr>
        <w:tc>
          <w:tcPr>
            <w:tcW w:w="3880" w:type="dxa"/>
            <w:vAlign w:val="bottom"/>
            <w:tcBorders>
              <w:left w:val="single" w:sz="8" w:color="auto"/>
              <w:right w:val="single" w:sz="8" w:color="auto"/>
            </w:tcBorders>
          </w:tcPr>
          <w:p>
            <w:pPr>
              <w:ind w:left="100"/>
              <w:spacing w:after="0" w:line="188" w:lineRule="exact"/>
              <w:rPr>
                <w:sz w:val="20"/>
                <w:szCs w:val="20"/>
                <w:color w:val="auto"/>
              </w:rPr>
            </w:pPr>
            <w:r>
              <w:rPr>
                <w:rFonts w:ascii="Arial" w:cs="Arial" w:eastAsia="Arial" w:hAnsi="Arial"/>
                <w:sz w:val="11"/>
                <w:szCs w:val="11"/>
                <w:color w:val="auto"/>
              </w:rPr>
              <w:t xml:space="preserve">Legal and Other capital reserves </w:t>
            </w:r>
            <w:r>
              <w:rPr>
                <w:rFonts w:ascii="Arial" w:cs="Arial" w:eastAsia="Arial" w:hAnsi="Arial"/>
                <w:sz w:val="18"/>
                <w:szCs w:val="18"/>
                <w:color w:val="auto"/>
                <w:vertAlign w:val="superscript"/>
              </w:rPr>
              <w:t>(1)</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23,702,590</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26,239,162</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26,252,578</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0.1%</w:t>
            </w:r>
          </w:p>
        </w:tc>
        <w:tc>
          <w:tcPr>
            <w:tcW w:w="120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71"/>
        </w:trPr>
        <w:tc>
          <w:tcPr>
            <w:tcW w:w="3880" w:type="dxa"/>
            <w:vAlign w:val="bottom"/>
            <w:tcBorders>
              <w:left w:val="single" w:sz="8" w:color="auto"/>
              <w:right w:val="single" w:sz="8" w:color="auto"/>
            </w:tcBorders>
          </w:tcPr>
          <w:p>
            <w:pPr>
              <w:ind w:left="100"/>
              <w:spacing w:after="0" w:line="170" w:lineRule="exact"/>
              <w:rPr>
                <w:sz w:val="20"/>
                <w:szCs w:val="20"/>
                <w:color w:val="auto"/>
              </w:rPr>
            </w:pPr>
            <w:r>
              <w:rPr>
                <w:rFonts w:ascii="Arial" w:cs="Arial" w:eastAsia="Arial" w:hAnsi="Arial"/>
                <w:sz w:val="11"/>
                <w:szCs w:val="11"/>
                <w:color w:val="auto"/>
              </w:rPr>
              <w:t xml:space="preserve">Minority interest </w:t>
            </w:r>
            <w:r>
              <w:rPr>
                <w:rFonts w:ascii="Arial" w:cs="Arial" w:eastAsia="Arial" w:hAnsi="Arial"/>
                <w:sz w:val="18"/>
                <w:szCs w:val="18"/>
                <w:color w:val="auto"/>
                <w:vertAlign w:val="superscript"/>
              </w:rPr>
              <w:t>(2)</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471,171</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210,283</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205,548</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-2.3%</w:t>
            </w:r>
          </w:p>
        </w:tc>
        <w:tc>
          <w:tcPr>
            <w:tcW w:w="120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-56.4%</w:t>
            </w:r>
          </w:p>
        </w:tc>
        <w:tc>
          <w:tcPr>
            <w:tcW w:w="0" w:type="dxa"/>
            <w:vAlign w:val="bottom"/>
          </w:tcPr>
          <w:p>
            <w:pPr>
              <w:spacing w:after="0"/>
              <w:rPr>
                <w:sz w:val="1"/>
                <w:szCs w:val="1"/>
                <w:color w:val="auto"/>
              </w:rPr>
            </w:pPr>
          </w:p>
        </w:tc>
      </w:tr>
      <w:tr>
        <w:trPr>
          <w:trHeight w:val="176"/>
        </w:trPr>
        <w:tc>
          <w:tcPr>
            <w:tcW w:w="3880" w:type="dxa"/>
            <w:vAlign w:val="bottom"/>
            <w:tcBorders>
              <w:left w:val="single" w:sz="8" w:color="auto"/>
              <w:right w:val="single" w:sz="8" w:color="auto"/>
            </w:tcBorders>
          </w:tcPr>
          <w:p>
            <w:pPr>
              <w:ind w:left="100"/>
              <w:spacing w:after="0" w:line="176" w:lineRule="exact"/>
              <w:rPr>
                <w:sz w:val="20"/>
                <w:szCs w:val="20"/>
                <w:color w:val="auto"/>
              </w:rPr>
            </w:pPr>
            <w:r>
              <w:rPr>
                <w:rFonts w:ascii="Arial" w:cs="Arial" w:eastAsia="Arial" w:hAnsi="Arial"/>
                <w:sz w:val="11"/>
                <w:szCs w:val="11"/>
                <w:color w:val="auto"/>
              </w:rPr>
              <w:t xml:space="preserve">Loan loss reserves </w:t>
            </w:r>
            <w:r>
              <w:rPr>
                <w:rFonts w:ascii="Arial" w:cs="Arial" w:eastAsia="Arial" w:hAnsi="Arial"/>
                <w:sz w:val="18"/>
                <w:szCs w:val="18"/>
                <w:color w:val="auto"/>
                <w:vertAlign w:val="superscript"/>
              </w:rPr>
              <w:t>(3)</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2,128,732</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1,946,059</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1,969,001</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1.2%</w:t>
            </w:r>
          </w:p>
        </w:tc>
        <w:tc>
          <w:tcPr>
            <w:tcW w:w="120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49"/>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Perpetual subordinated debt</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Subordinated Debt</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5,770,557</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5,844,106</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5,720,210</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-2.1%</w:t>
            </w:r>
          </w:p>
        </w:tc>
        <w:tc>
          <w:tcPr>
            <w:tcW w:w="120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-0.9%</w:t>
            </w:r>
          </w:p>
        </w:tc>
        <w:tc>
          <w:tcPr>
            <w:tcW w:w="0" w:type="dxa"/>
            <w:vAlign w:val="bottom"/>
          </w:tcPr>
          <w:p>
            <w:pPr>
              <w:spacing w:after="0"/>
              <w:rPr>
                <w:sz w:val="1"/>
                <w:szCs w:val="1"/>
                <w:color w:val="auto"/>
              </w:rPr>
            </w:pPr>
          </w:p>
        </w:tc>
      </w:tr>
      <w:tr>
        <w:trPr>
          <w:trHeight w:val="144"/>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Investments in equity and subordinated debt of financial and insurance</w:t>
            </w:r>
          </w:p>
        </w:tc>
        <w:tc>
          <w:tcPr>
            <w:tcW w:w="1240" w:type="dxa"/>
            <w:vAlign w:val="bottom"/>
            <w:vMerge w:val="restart"/>
          </w:tcPr>
          <w:p>
            <w:pPr>
              <w:jc w:val="right"/>
              <w:ind w:right="163"/>
              <w:spacing w:after="0"/>
              <w:rPr>
                <w:sz w:val="20"/>
                <w:szCs w:val="20"/>
                <w:color w:val="auto"/>
              </w:rPr>
            </w:pPr>
            <w:r>
              <w:rPr>
                <w:rFonts w:ascii="Arial" w:cs="Arial" w:eastAsia="Arial" w:hAnsi="Arial"/>
                <w:sz w:val="11"/>
                <w:szCs w:val="11"/>
                <w:color w:val="auto"/>
              </w:rPr>
              <w:t>(889,246)</w:t>
            </w:r>
          </w:p>
        </w:tc>
        <w:tc>
          <w:tcPr>
            <w:tcW w:w="1120" w:type="dxa"/>
            <w:vAlign w:val="bottom"/>
            <w:vMerge w:val="restart"/>
          </w:tcPr>
          <w:p>
            <w:pPr>
              <w:jc w:val="right"/>
              <w:ind w:right="143"/>
              <w:spacing w:after="0"/>
              <w:rPr>
                <w:sz w:val="20"/>
                <w:szCs w:val="20"/>
                <w:color w:val="auto"/>
              </w:rPr>
            </w:pPr>
            <w:r>
              <w:rPr>
                <w:rFonts w:ascii="Arial" w:cs="Arial" w:eastAsia="Arial" w:hAnsi="Arial"/>
                <w:sz w:val="11"/>
                <w:szCs w:val="11"/>
                <w:color w:val="auto"/>
              </w:rPr>
              <w:t>(1,259,626)</w:t>
            </w:r>
          </w:p>
        </w:tc>
        <w:tc>
          <w:tcPr>
            <w:tcW w:w="980" w:type="dxa"/>
            <w:vAlign w:val="bottom"/>
            <w:tcBorders>
              <w:right w:val="single" w:sz="8" w:color="auto"/>
            </w:tcBorders>
            <w:vMerge w:val="restart"/>
          </w:tcPr>
          <w:p>
            <w:pPr>
              <w:jc w:val="right"/>
              <w:ind w:right="3"/>
              <w:spacing w:after="0"/>
              <w:rPr>
                <w:sz w:val="20"/>
                <w:szCs w:val="20"/>
                <w:color w:val="auto"/>
              </w:rPr>
            </w:pPr>
            <w:r>
              <w:rPr>
                <w:rFonts w:ascii="Arial" w:cs="Arial" w:eastAsia="Arial" w:hAnsi="Arial"/>
                <w:sz w:val="11"/>
                <w:szCs w:val="11"/>
                <w:color w:val="auto"/>
              </w:rPr>
              <w:t>(1,235,434)</w:t>
            </w:r>
          </w:p>
        </w:tc>
        <w:tc>
          <w:tcPr>
            <w:tcW w:w="600" w:type="dxa"/>
            <w:vAlign w:val="bottom"/>
            <w:vMerge w:val="restart"/>
          </w:tcPr>
          <w:p>
            <w:pPr>
              <w:jc w:val="center"/>
              <w:ind w:left="203"/>
              <w:spacing w:after="0"/>
              <w:rPr>
                <w:sz w:val="20"/>
                <w:szCs w:val="20"/>
                <w:color w:val="auto"/>
              </w:rPr>
            </w:pPr>
            <w:r>
              <w:rPr>
                <w:rFonts w:ascii="Arial" w:cs="Arial" w:eastAsia="Arial" w:hAnsi="Arial"/>
                <w:sz w:val="11"/>
                <w:szCs w:val="11"/>
                <w:color w:val="auto"/>
              </w:rPr>
              <w:t>-1.9%</w:t>
            </w:r>
          </w:p>
        </w:tc>
        <w:tc>
          <w:tcPr>
            <w:tcW w:w="1200" w:type="dxa"/>
            <w:vAlign w:val="bottom"/>
            <w:tcBorders>
              <w:right w:val="single" w:sz="8" w:color="auto"/>
            </w:tcBorders>
            <w:vMerge w:val="restart"/>
          </w:tcPr>
          <w:p>
            <w:pPr>
              <w:jc w:val="center"/>
              <w:ind w:left="183"/>
              <w:spacing w:after="0"/>
              <w:rPr>
                <w:sz w:val="20"/>
                <w:szCs w:val="20"/>
                <w:color w:val="auto"/>
              </w:rPr>
            </w:pPr>
            <w:r>
              <w:rPr>
                <w:rFonts w:ascii="Arial" w:cs="Arial" w:eastAsia="Arial" w:hAnsi="Arial"/>
                <w:sz w:val="11"/>
                <w:szCs w:val="11"/>
                <w:color w:val="auto"/>
              </w:rPr>
              <w:t>38.9%</w:t>
            </w:r>
          </w:p>
        </w:tc>
        <w:tc>
          <w:tcPr>
            <w:tcW w:w="0" w:type="dxa"/>
            <w:vAlign w:val="bottom"/>
          </w:tcPr>
          <w:p>
            <w:pPr>
              <w:spacing w:after="0"/>
              <w:rPr>
                <w:sz w:val="1"/>
                <w:szCs w:val="1"/>
                <w:color w:val="auto"/>
              </w:rPr>
            </w:pPr>
          </w:p>
        </w:tc>
      </w:tr>
      <w:tr>
        <w:trPr>
          <w:trHeight w:val="88"/>
        </w:trPr>
        <w:tc>
          <w:tcPr>
            <w:tcW w:w="38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1"/>
                <w:szCs w:val="11"/>
                <w:color w:val="auto"/>
              </w:rPr>
              <w:t>companies</w:t>
            </w:r>
          </w:p>
        </w:tc>
        <w:tc>
          <w:tcPr>
            <w:tcW w:w="12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880" w:type="dxa"/>
            <w:vAlign w:val="bottom"/>
            <w:tcBorders>
              <w:left w:val="single" w:sz="8" w:color="auto"/>
              <w:right w:val="single" w:sz="8" w:color="auto"/>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Goodwill</w:t>
            </w:r>
          </w:p>
        </w:tc>
        <w:tc>
          <w:tcPr>
            <w:tcW w:w="1240" w:type="dxa"/>
            <w:vAlign w:val="bottom"/>
          </w:tcPr>
          <w:p>
            <w:pPr>
              <w:jc w:val="right"/>
              <w:ind w:right="163"/>
              <w:spacing w:after="0"/>
              <w:rPr>
                <w:sz w:val="20"/>
                <w:szCs w:val="20"/>
                <w:color w:val="auto"/>
              </w:rPr>
            </w:pPr>
            <w:r>
              <w:rPr>
                <w:rFonts w:ascii="Arial" w:cs="Arial" w:eastAsia="Arial" w:hAnsi="Arial"/>
                <w:sz w:val="11"/>
                <w:szCs w:val="11"/>
                <w:color w:val="auto"/>
              </w:rPr>
              <w:t>(772,213)</w:t>
            </w:r>
          </w:p>
        </w:tc>
        <w:tc>
          <w:tcPr>
            <w:tcW w:w="1120" w:type="dxa"/>
            <w:vAlign w:val="bottom"/>
          </w:tcPr>
          <w:p>
            <w:pPr>
              <w:jc w:val="right"/>
              <w:ind w:right="143"/>
              <w:spacing w:after="0"/>
              <w:rPr>
                <w:sz w:val="20"/>
                <w:szCs w:val="20"/>
                <w:color w:val="auto"/>
              </w:rPr>
            </w:pPr>
            <w:r>
              <w:rPr>
                <w:rFonts w:ascii="Arial" w:cs="Arial" w:eastAsia="Arial" w:hAnsi="Arial"/>
                <w:sz w:val="11"/>
                <w:szCs w:val="11"/>
                <w:color w:val="auto"/>
              </w:rPr>
              <w:t>(842,678)</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(798,482)</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-5.2%</w:t>
            </w:r>
          </w:p>
        </w:tc>
        <w:tc>
          <w:tcPr>
            <w:tcW w:w="120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71"/>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Current year Net Loss</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Deduction for subordinated debt limit (50% of Tier I excluding</w:t>
            </w:r>
          </w:p>
        </w:tc>
        <w:tc>
          <w:tcPr>
            <w:tcW w:w="124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auto"/>
            </w:tcBorders>
            <w:vMerge w:val="restart"/>
          </w:tcPr>
          <w:p>
            <w:pPr>
              <w:jc w:val="right"/>
              <w:ind w:right="4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880" w:type="dxa"/>
            <w:vAlign w:val="bottom"/>
            <w:tcBorders>
              <w:left w:val="single" w:sz="8" w:color="auto"/>
              <w:right w:val="single" w:sz="8" w:color="auto"/>
            </w:tcBorders>
            <w:vMerge w:val="restart"/>
          </w:tcPr>
          <w:p>
            <w:pPr>
              <w:ind w:left="100"/>
              <w:spacing w:after="0" w:line="170" w:lineRule="exact"/>
              <w:rPr>
                <w:sz w:val="20"/>
                <w:szCs w:val="20"/>
                <w:color w:val="auto"/>
              </w:rPr>
            </w:pPr>
            <w:r>
              <w:rPr>
                <w:rFonts w:ascii="Arial" w:cs="Arial" w:eastAsia="Arial" w:hAnsi="Arial"/>
                <w:sz w:val="11"/>
                <w:szCs w:val="11"/>
                <w:color w:val="auto"/>
              </w:rPr>
              <w:t xml:space="preserve">deductions) </w:t>
            </w:r>
            <w:r>
              <w:rPr>
                <w:rFonts w:ascii="Arial" w:cs="Arial" w:eastAsia="Arial" w:hAnsi="Arial"/>
                <w:sz w:val="18"/>
                <w:szCs w:val="18"/>
                <w:color w:val="auto"/>
                <w:vertAlign w:val="superscript"/>
              </w:rPr>
              <w:t>(4)</w:t>
            </w: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880" w:type="dxa"/>
            <w:vAlign w:val="bottom"/>
            <w:tcBorders>
              <w:left w:val="single" w:sz="8" w:color="auto"/>
              <w:right w:val="single" w:sz="8" w:color="auto"/>
            </w:tcBorders>
            <w:vMerge w:val="continue"/>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8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Arial" w:cs="Arial" w:eastAsia="Arial" w:hAnsi="Arial"/>
                <w:sz w:val="11"/>
                <w:szCs w:val="11"/>
                <w:color w:val="auto"/>
              </w:rPr>
              <w:t xml:space="preserve">Deduction for Tier I Limit (50% of Regulatory capital) </w:t>
            </w:r>
            <w:r>
              <w:rPr>
                <w:rFonts w:ascii="Arial" w:cs="Arial" w:eastAsia="Arial" w:hAnsi="Arial"/>
                <w:sz w:val="18"/>
                <w:szCs w:val="18"/>
                <w:color w:val="auto"/>
                <w:vertAlign w:val="superscript"/>
              </w:rPr>
              <w:t>(4)</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Regulatory Capital (A)</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31,754,622</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33,473,604</w:t>
            </w:r>
          </w:p>
        </w:tc>
        <w:tc>
          <w:tcPr>
            <w:tcW w:w="9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33,452,620</w:t>
            </w:r>
          </w:p>
        </w:tc>
        <w:tc>
          <w:tcPr>
            <w:tcW w:w="60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-0.1%</w:t>
            </w:r>
          </w:p>
        </w:tc>
        <w:tc>
          <w:tcPr>
            <w:tcW w:w="120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5.3%</w:t>
            </w:r>
          </w:p>
        </w:tc>
        <w:tc>
          <w:tcPr>
            <w:tcW w:w="0" w:type="dxa"/>
            <w:vAlign w:val="bottom"/>
          </w:tcPr>
          <w:p>
            <w:pPr>
              <w:spacing w:after="0"/>
              <w:rPr>
                <w:sz w:val="1"/>
                <w:szCs w:val="1"/>
                <w:color w:val="auto"/>
              </w:rPr>
            </w:pPr>
          </w:p>
        </w:tc>
      </w:tr>
      <w:tr>
        <w:trPr>
          <w:trHeight w:val="166"/>
        </w:trPr>
        <w:tc>
          <w:tcPr>
            <w:tcW w:w="3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80" w:type="dxa"/>
            <w:vAlign w:val="bottom"/>
            <w:tcBorders>
              <w:left w:val="single" w:sz="8" w:color="auto"/>
              <w:right w:val="single" w:sz="8" w:color="auto"/>
            </w:tcBorders>
          </w:tcPr>
          <w:p>
            <w:pPr>
              <w:ind w:left="100"/>
              <w:spacing w:after="0" w:line="167" w:lineRule="exact"/>
              <w:rPr>
                <w:sz w:val="20"/>
                <w:szCs w:val="20"/>
                <w:color w:val="auto"/>
              </w:rPr>
            </w:pPr>
            <w:r>
              <w:rPr>
                <w:rFonts w:ascii="Arial" w:cs="Arial" w:eastAsia="Arial" w:hAnsi="Arial"/>
                <w:sz w:val="11"/>
                <w:szCs w:val="11"/>
                <w:color w:val="auto"/>
              </w:rPr>
              <w:t xml:space="preserve">Tier 1 </w:t>
            </w:r>
            <w:r>
              <w:rPr>
                <w:rFonts w:ascii="Arial" w:cs="Arial" w:eastAsia="Arial" w:hAnsi="Arial"/>
                <w:sz w:val="18"/>
                <w:szCs w:val="18"/>
                <w:color w:val="auto"/>
                <w:vertAlign w:val="superscript"/>
              </w:rPr>
              <w:t>(5)</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16,955,335</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17,821,987</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17,876,445</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0.3%</w:t>
            </w:r>
          </w:p>
        </w:tc>
        <w:tc>
          <w:tcPr>
            <w:tcW w:w="120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67"/>
        </w:trPr>
        <w:tc>
          <w:tcPr>
            <w:tcW w:w="38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Arial" w:cs="Arial" w:eastAsia="Arial" w:hAnsi="Arial"/>
                <w:sz w:val="11"/>
                <w:szCs w:val="11"/>
                <w:color w:val="auto"/>
              </w:rPr>
              <w:t xml:space="preserve">Tier 2 </w:t>
            </w:r>
            <w:r>
              <w:rPr>
                <w:rFonts w:ascii="Arial" w:cs="Arial" w:eastAsia="Arial" w:hAnsi="Arial"/>
                <w:sz w:val="18"/>
                <w:szCs w:val="18"/>
                <w:color w:val="auto"/>
                <w:vertAlign w:val="superscript"/>
              </w:rPr>
              <w:t>(6)</w:t>
            </w:r>
            <w:r>
              <w:rPr>
                <w:rFonts w:ascii="Arial" w:cs="Arial" w:eastAsia="Arial" w:hAnsi="Arial"/>
                <w:sz w:val="11"/>
                <w:szCs w:val="11"/>
                <w:color w:val="auto"/>
              </w:rPr>
              <w:t xml:space="preserve"> + Tier 3 </w:t>
            </w:r>
            <w:r>
              <w:rPr>
                <w:rFonts w:ascii="Arial" w:cs="Arial" w:eastAsia="Arial" w:hAnsi="Arial"/>
                <w:sz w:val="18"/>
                <w:szCs w:val="18"/>
                <w:color w:val="auto"/>
                <w:vertAlign w:val="superscript"/>
              </w:rPr>
              <w:t>(7)</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14,799,287</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15,651,617</w:t>
            </w:r>
          </w:p>
        </w:tc>
        <w:tc>
          <w:tcPr>
            <w:tcW w:w="9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color w:val="auto"/>
              </w:rPr>
              <w:t>15,576,175</w:t>
            </w:r>
          </w:p>
        </w:tc>
        <w:tc>
          <w:tcPr>
            <w:tcW w:w="60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color w:val="auto"/>
              </w:rPr>
              <w:t>-0.5%</w:t>
            </w:r>
          </w:p>
        </w:tc>
        <w:tc>
          <w:tcPr>
            <w:tcW w:w="120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63"/>
        </w:trPr>
        <w:tc>
          <w:tcPr>
            <w:tcW w:w="3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880" w:type="dxa"/>
            <w:vAlign w:val="bottom"/>
            <w:tcBorders>
              <w:left w:val="single" w:sz="8" w:color="auto"/>
              <w:right w:val="single" w:sz="8" w:color="auto"/>
            </w:tcBorders>
          </w:tcPr>
          <w:p>
            <w:pPr>
              <w:ind w:left="100"/>
              <w:spacing w:after="0" w:line="118" w:lineRule="exact"/>
              <w:rPr>
                <w:sz w:val="20"/>
                <w:szCs w:val="20"/>
                <w:color w:val="auto"/>
              </w:rPr>
            </w:pPr>
            <w:r>
              <w:rPr>
                <w:rFonts w:ascii="Arial" w:cs="Arial" w:eastAsia="Arial" w:hAnsi="Arial"/>
                <w:sz w:val="11"/>
                <w:szCs w:val="11"/>
                <w:color w:val="auto"/>
              </w:rPr>
              <w:t>Financial Consolidated Group (FCG) Regulatory Capital Requirements</w:t>
            </w:r>
          </w:p>
        </w:tc>
        <w:tc>
          <w:tcPr>
            <w:tcW w:w="1240" w:type="dxa"/>
            <w:vAlign w:val="bottom"/>
            <w:vMerge w:val="restart"/>
          </w:tcPr>
          <w:p>
            <w:pPr>
              <w:jc w:val="right"/>
              <w:ind w:right="183"/>
              <w:spacing w:after="0"/>
              <w:rPr>
                <w:sz w:val="20"/>
                <w:szCs w:val="20"/>
                <w:color w:val="auto"/>
              </w:rPr>
            </w:pPr>
            <w:r>
              <w:rPr>
                <w:rFonts w:ascii="Arial" w:cs="Arial" w:eastAsia="Arial" w:hAnsi="Arial"/>
                <w:sz w:val="11"/>
                <w:szCs w:val="11"/>
                <w:color w:val="auto"/>
              </w:rPr>
              <w:t>22,506,113</w:t>
            </w:r>
          </w:p>
        </w:tc>
        <w:tc>
          <w:tcPr>
            <w:tcW w:w="1120" w:type="dxa"/>
            <w:vAlign w:val="bottom"/>
            <w:vMerge w:val="restart"/>
          </w:tcPr>
          <w:p>
            <w:pPr>
              <w:jc w:val="right"/>
              <w:ind w:right="183"/>
              <w:spacing w:after="0"/>
              <w:rPr>
                <w:sz w:val="20"/>
                <w:szCs w:val="20"/>
                <w:color w:val="auto"/>
              </w:rPr>
            </w:pPr>
            <w:r>
              <w:rPr>
                <w:rFonts w:ascii="Arial" w:cs="Arial" w:eastAsia="Arial" w:hAnsi="Arial"/>
                <w:sz w:val="11"/>
                <w:szCs w:val="11"/>
                <w:color w:val="auto"/>
              </w:rPr>
              <w:t>22,387,961</w:t>
            </w:r>
          </w:p>
        </w:tc>
        <w:tc>
          <w:tcPr>
            <w:tcW w:w="980" w:type="dxa"/>
            <w:vAlign w:val="bottom"/>
            <w:tcBorders>
              <w:right w:val="single" w:sz="8" w:color="auto"/>
            </w:tcBorders>
            <w:vMerge w:val="restart"/>
          </w:tcPr>
          <w:p>
            <w:pPr>
              <w:jc w:val="right"/>
              <w:ind w:right="43"/>
              <w:spacing w:after="0"/>
              <w:rPr>
                <w:sz w:val="20"/>
                <w:szCs w:val="20"/>
                <w:color w:val="auto"/>
              </w:rPr>
            </w:pPr>
            <w:r>
              <w:rPr>
                <w:rFonts w:ascii="Arial" w:cs="Arial" w:eastAsia="Arial" w:hAnsi="Arial"/>
                <w:sz w:val="11"/>
                <w:szCs w:val="11"/>
                <w:color w:val="auto"/>
              </w:rPr>
              <w:t>24,780,032</w:t>
            </w:r>
          </w:p>
        </w:tc>
        <w:tc>
          <w:tcPr>
            <w:tcW w:w="600" w:type="dxa"/>
            <w:vAlign w:val="bottom"/>
            <w:vMerge w:val="restart"/>
          </w:tcPr>
          <w:p>
            <w:pPr>
              <w:jc w:val="center"/>
              <w:ind w:left="223"/>
              <w:spacing w:after="0"/>
              <w:rPr>
                <w:sz w:val="20"/>
                <w:szCs w:val="20"/>
                <w:color w:val="auto"/>
              </w:rPr>
            </w:pPr>
            <w:r>
              <w:rPr>
                <w:rFonts w:ascii="Arial" w:cs="Arial" w:eastAsia="Arial" w:hAnsi="Arial"/>
                <w:sz w:val="11"/>
                <w:szCs w:val="11"/>
                <w:color w:val="auto"/>
              </w:rPr>
              <w:t>10.7%</w:t>
            </w:r>
          </w:p>
        </w:tc>
        <w:tc>
          <w:tcPr>
            <w:tcW w:w="1200" w:type="dxa"/>
            <w:vAlign w:val="bottom"/>
            <w:tcBorders>
              <w:right w:val="single" w:sz="8" w:color="auto"/>
            </w:tcBorders>
            <w:vMerge w:val="restart"/>
          </w:tcPr>
          <w:p>
            <w:pPr>
              <w:jc w:val="center"/>
              <w:ind w:left="183"/>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81"/>
        </w:trPr>
        <w:tc>
          <w:tcPr>
            <w:tcW w:w="38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9"/>
                <w:szCs w:val="9"/>
                <w:color w:val="auto"/>
              </w:rPr>
              <w:t>(8)</w:t>
            </w:r>
          </w:p>
        </w:tc>
        <w:tc>
          <w:tcPr>
            <w:tcW w:w="12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3880" w:type="dxa"/>
            <w:vAlign w:val="bottom"/>
            <w:tcBorders>
              <w:left w:val="single" w:sz="8" w:color="auto"/>
              <w:right w:val="single" w:sz="8" w:color="auto"/>
            </w:tcBorders>
            <w:vMerge w:val="continue"/>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80" w:type="dxa"/>
            <w:vAlign w:val="bottom"/>
            <w:tcBorders>
              <w:left w:val="single" w:sz="8" w:color="auto"/>
              <w:right w:val="single" w:sz="8" w:color="auto"/>
            </w:tcBorders>
          </w:tcPr>
          <w:p>
            <w:pPr>
              <w:ind w:left="100"/>
              <w:spacing w:after="0" w:line="199" w:lineRule="exact"/>
              <w:rPr>
                <w:sz w:val="20"/>
                <w:szCs w:val="20"/>
                <w:color w:val="auto"/>
              </w:rPr>
            </w:pPr>
            <w:r>
              <w:rPr>
                <w:rFonts w:ascii="Arial" w:cs="Arial" w:eastAsia="Arial" w:hAnsi="Arial"/>
                <w:sz w:val="11"/>
                <w:szCs w:val="11"/>
                <w:color w:val="auto"/>
              </w:rPr>
              <w:t xml:space="preserve">Insurance Consolidated Group (ICG) Capital Requirements </w:t>
            </w:r>
            <w:r>
              <w:rPr>
                <w:rFonts w:ascii="Arial" w:cs="Arial" w:eastAsia="Arial" w:hAnsi="Arial"/>
                <w:sz w:val="18"/>
                <w:szCs w:val="18"/>
                <w:color w:val="auto"/>
                <w:vertAlign w:val="superscript"/>
              </w:rPr>
              <w:t>(9)</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1,562,893</w:t>
            </w:r>
          </w:p>
        </w:tc>
        <w:tc>
          <w:tcPr>
            <w:tcW w:w="1120" w:type="dxa"/>
            <w:vAlign w:val="bottom"/>
          </w:tcPr>
          <w:p>
            <w:pPr>
              <w:jc w:val="right"/>
              <w:ind w:right="183"/>
              <w:spacing w:after="0"/>
              <w:rPr>
                <w:sz w:val="20"/>
                <w:szCs w:val="20"/>
                <w:color w:val="auto"/>
              </w:rPr>
            </w:pPr>
            <w:r>
              <w:rPr>
                <w:rFonts w:ascii="Arial" w:cs="Arial" w:eastAsia="Arial" w:hAnsi="Arial"/>
                <w:sz w:val="11"/>
                <w:szCs w:val="11"/>
                <w:color w:val="auto"/>
              </w:rPr>
              <w:t>1,550,765</w:t>
            </w:r>
          </w:p>
        </w:tc>
        <w:tc>
          <w:tcPr>
            <w:tcW w:w="9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1,593,590</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2.8%</w:t>
            </w:r>
          </w:p>
        </w:tc>
        <w:tc>
          <w:tcPr>
            <w:tcW w:w="120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9"/>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FCG Capital Requirements related to operations with ICG</w:t>
            </w:r>
          </w:p>
        </w:tc>
        <w:tc>
          <w:tcPr>
            <w:tcW w:w="1240" w:type="dxa"/>
            <w:vAlign w:val="bottom"/>
          </w:tcPr>
          <w:p>
            <w:pPr>
              <w:jc w:val="right"/>
              <w:ind w:right="163"/>
              <w:spacing w:after="0"/>
              <w:rPr>
                <w:sz w:val="20"/>
                <w:szCs w:val="20"/>
                <w:color w:val="auto"/>
              </w:rPr>
            </w:pPr>
            <w:r>
              <w:rPr>
                <w:rFonts w:ascii="Arial" w:cs="Arial" w:eastAsia="Arial" w:hAnsi="Arial"/>
                <w:sz w:val="11"/>
                <w:szCs w:val="11"/>
                <w:color w:val="auto"/>
              </w:rPr>
              <w:t>(471,371)</w:t>
            </w:r>
          </w:p>
        </w:tc>
        <w:tc>
          <w:tcPr>
            <w:tcW w:w="1120" w:type="dxa"/>
            <w:vAlign w:val="bottom"/>
          </w:tcPr>
          <w:p>
            <w:pPr>
              <w:jc w:val="right"/>
              <w:ind w:right="143"/>
              <w:spacing w:after="0"/>
              <w:rPr>
                <w:sz w:val="20"/>
                <w:szCs w:val="20"/>
                <w:color w:val="auto"/>
              </w:rPr>
            </w:pPr>
            <w:r>
              <w:rPr>
                <w:rFonts w:ascii="Arial" w:cs="Arial" w:eastAsia="Arial" w:hAnsi="Arial"/>
                <w:sz w:val="11"/>
                <w:szCs w:val="11"/>
                <w:color w:val="auto"/>
              </w:rPr>
              <w:t>(680,628)</w:t>
            </w:r>
          </w:p>
        </w:tc>
        <w:tc>
          <w:tcPr>
            <w:tcW w:w="980" w:type="dxa"/>
            <w:vAlign w:val="bottom"/>
            <w:tcBorders>
              <w:right w:val="single" w:sz="8" w:color="auto"/>
            </w:tcBorders>
          </w:tcPr>
          <w:p>
            <w:pPr>
              <w:jc w:val="right"/>
              <w:ind w:right="3"/>
              <w:spacing w:after="0"/>
              <w:rPr>
                <w:sz w:val="20"/>
                <w:szCs w:val="20"/>
                <w:color w:val="auto"/>
              </w:rPr>
            </w:pPr>
            <w:r>
              <w:rPr>
                <w:rFonts w:ascii="Arial" w:cs="Arial" w:eastAsia="Arial" w:hAnsi="Arial"/>
                <w:sz w:val="11"/>
                <w:szCs w:val="11"/>
                <w:color w:val="auto"/>
              </w:rPr>
              <w:t>(652,893)</w:t>
            </w:r>
          </w:p>
        </w:tc>
        <w:tc>
          <w:tcPr>
            <w:tcW w:w="600" w:type="dxa"/>
            <w:vAlign w:val="bottom"/>
          </w:tcPr>
          <w:p>
            <w:pPr>
              <w:jc w:val="center"/>
              <w:ind w:left="203"/>
              <w:spacing w:after="0"/>
              <w:rPr>
                <w:sz w:val="20"/>
                <w:szCs w:val="20"/>
                <w:color w:val="auto"/>
              </w:rPr>
            </w:pPr>
            <w:r>
              <w:rPr>
                <w:rFonts w:ascii="Arial" w:cs="Arial" w:eastAsia="Arial" w:hAnsi="Arial"/>
                <w:sz w:val="11"/>
                <w:szCs w:val="11"/>
                <w:color w:val="auto"/>
              </w:rPr>
              <w:t>-4.1%</w:t>
            </w:r>
          </w:p>
        </w:tc>
        <w:tc>
          <w:tcPr>
            <w:tcW w:w="120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38.5%</w:t>
            </w:r>
          </w:p>
        </w:tc>
        <w:tc>
          <w:tcPr>
            <w:tcW w:w="0" w:type="dxa"/>
            <w:vAlign w:val="bottom"/>
          </w:tcPr>
          <w:p>
            <w:pPr>
              <w:spacing w:after="0"/>
              <w:rPr>
                <w:sz w:val="1"/>
                <w:szCs w:val="1"/>
                <w:color w:val="auto"/>
              </w:rPr>
            </w:pPr>
          </w:p>
        </w:tc>
      </w:tr>
      <w:tr>
        <w:trPr>
          <w:trHeight w:val="177"/>
        </w:trPr>
        <w:tc>
          <w:tcPr>
            <w:tcW w:w="3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ICG Capital Requirements related to operations with FCG</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Regulatory Capital Requirements (B)</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23,597,634</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23,258,098</w:t>
            </w:r>
          </w:p>
        </w:tc>
        <w:tc>
          <w:tcPr>
            <w:tcW w:w="9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25,720,729</w:t>
            </w:r>
          </w:p>
        </w:tc>
        <w:tc>
          <w:tcPr>
            <w:tcW w:w="60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b w:val="1"/>
                <w:bCs w:val="1"/>
                <w:color w:val="auto"/>
              </w:rPr>
              <w:t>10.6%</w:t>
            </w:r>
          </w:p>
        </w:tc>
        <w:tc>
          <w:tcPr>
            <w:tcW w:w="120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9.0%</w:t>
            </w:r>
          </w:p>
        </w:tc>
        <w:tc>
          <w:tcPr>
            <w:tcW w:w="0" w:type="dxa"/>
            <w:vAlign w:val="bottom"/>
          </w:tcPr>
          <w:p>
            <w:pPr>
              <w:spacing w:after="0"/>
              <w:rPr>
                <w:sz w:val="1"/>
                <w:szCs w:val="1"/>
                <w:color w:val="auto"/>
              </w:rPr>
            </w:pPr>
          </w:p>
        </w:tc>
      </w:tr>
      <w:tr>
        <w:trPr>
          <w:trHeight w:val="163"/>
        </w:trPr>
        <w:tc>
          <w:tcPr>
            <w:tcW w:w="3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Regulatory Capital Ratio (A) / (B)</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1.35</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1.44</w:t>
            </w:r>
          </w:p>
        </w:tc>
        <w:tc>
          <w:tcPr>
            <w:tcW w:w="9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1.30</w:t>
            </w: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tcBorders>
              <w:left w:val="single" w:sz="8" w:color="auto"/>
              <w:bottom w:val="single" w:sz="8" w:color="auto"/>
              <w:right w:val="single" w:sz="8" w:color="auto"/>
            </w:tcBorders>
          </w:tcPr>
          <w:p>
            <w:pPr>
              <w:ind w:left="100"/>
              <w:spacing w:after="0" w:line="166" w:lineRule="exact"/>
              <w:rPr>
                <w:sz w:val="20"/>
                <w:szCs w:val="20"/>
                <w:color w:val="auto"/>
              </w:rPr>
            </w:pPr>
            <w:r>
              <w:rPr>
                <w:rFonts w:ascii="Arial" w:cs="Arial" w:eastAsia="Arial" w:hAnsi="Arial"/>
                <w:sz w:val="11"/>
                <w:szCs w:val="11"/>
                <w:b w:val="1"/>
                <w:bCs w:val="1"/>
                <w:color w:val="auto"/>
              </w:rPr>
              <w:t xml:space="preserve">Required Regulatory Capital Ratio </w:t>
            </w:r>
            <w:r>
              <w:rPr>
                <w:rFonts w:ascii="Arial" w:cs="Arial" w:eastAsia="Arial" w:hAnsi="Arial"/>
                <w:sz w:val="18"/>
                <w:szCs w:val="18"/>
                <w:color w:val="auto"/>
                <w:vertAlign w:val="superscript"/>
              </w:rPr>
              <w:t>(10)</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1.00</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1.00</w:t>
            </w:r>
          </w:p>
        </w:tc>
        <w:tc>
          <w:tcPr>
            <w:tcW w:w="9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1.00</w:t>
            </w: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280" w:hanging="171"/>
        <w:spacing w:after="0"/>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Legal and other capital reserves include restricted capital reserves (PEN 14,745 million) and optional capital reserves (PEN 6,661 million).</w:t>
      </w:r>
    </w:p>
    <w:p>
      <w:pPr>
        <w:spacing w:after="0" w:line="5" w:lineRule="exact"/>
        <w:rPr>
          <w:rFonts w:ascii="Arial" w:cs="Arial" w:eastAsia="Arial" w:hAnsi="Arial"/>
          <w:sz w:val="11"/>
          <w:szCs w:val="11"/>
          <w:color w:val="auto"/>
        </w:rPr>
      </w:pPr>
    </w:p>
    <w:p>
      <w:pPr>
        <w:ind w:left="1280" w:hanging="171"/>
        <w:spacing w:after="0" w:line="231" w:lineRule="auto"/>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Minority interest includes Tier I (PEN 421 million)</w:t>
      </w:r>
    </w:p>
    <w:p>
      <w:pPr>
        <w:ind w:left="1280" w:hanging="171"/>
        <w:spacing w:after="0" w:line="231" w:lineRule="auto"/>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Up to 1.25% of total risk-weighted assets of Banco de Credito del Peru, Solucion Empresa Administradora Hipotecaria, Mibanco and ASB Bank Corp.</w:t>
      </w:r>
    </w:p>
    <w:p>
      <w:pPr>
        <w:ind w:left="1280" w:hanging="171"/>
        <w:spacing w:after="0" w:line="231" w:lineRule="auto"/>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Tier II + Tier III cannot be more than 50% of total regulatory capital.</w:t>
      </w:r>
    </w:p>
    <w:p>
      <w:pPr>
        <w:ind w:left="1100" w:right="260" w:firstLine="9"/>
        <w:spacing w:after="0"/>
        <w:tabs>
          <w:tab w:leader="none" w:pos="1302" w:val="left"/>
        </w:tabs>
        <w:numPr>
          <w:ilvl w:val="0"/>
          <w:numId w:val="55"/>
        </w:numPr>
        <w:rPr>
          <w:rFonts w:ascii="Arial" w:cs="Arial" w:eastAsia="Arial" w:hAnsi="Arial"/>
          <w:sz w:val="11"/>
          <w:szCs w:val="11"/>
          <w:color w:val="auto"/>
        </w:rPr>
      </w:pPr>
      <w:r>
        <w:rPr>
          <w:rFonts w:ascii="Arial" w:cs="Arial" w:eastAsia="Arial" w:hAnsi="Arial"/>
          <w:sz w:val="11"/>
          <w:szCs w:val="11"/>
          <w:color w:val="auto"/>
        </w:rPr>
        <w:t>Tier I = capital + restricted capital reserves + Tier I minority interest - goodwill - (0.5 x investment in equity and subordinated debt of financial and insurance companies) + perpetual subordinated debt.</w:t>
      </w:r>
    </w:p>
    <w:p>
      <w:pPr>
        <w:spacing w:after="0" w:line="117" w:lineRule="exact"/>
        <w:rPr>
          <w:rFonts w:ascii="Arial" w:cs="Arial" w:eastAsia="Arial" w:hAnsi="Arial"/>
          <w:sz w:val="11"/>
          <w:szCs w:val="11"/>
          <w:color w:val="auto"/>
        </w:rPr>
      </w:pPr>
    </w:p>
    <w:p>
      <w:pPr>
        <w:ind w:left="1280" w:hanging="171"/>
        <w:spacing w:after="0" w:line="231" w:lineRule="auto"/>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Tier II = subordinated debt + Tier II minority interest tier + loan loss reserves - (0.5 x investment in equity and subordinated debt of financial and insurance companies).</w:t>
      </w:r>
    </w:p>
    <w:p>
      <w:pPr>
        <w:ind w:left="1280" w:hanging="171"/>
        <w:spacing w:after="0" w:line="231" w:lineRule="auto"/>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Tier III = Subordinated debt covering market risk only.</w:t>
      </w:r>
    </w:p>
    <w:p>
      <w:pPr>
        <w:ind w:left="1280" w:hanging="171"/>
        <w:spacing w:after="0" w:line="231" w:lineRule="auto"/>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Includes regulatory capital requirements of the financial consolidated group.</w:t>
      </w:r>
    </w:p>
    <w:p>
      <w:pPr>
        <w:ind w:left="1280" w:hanging="171"/>
        <w:spacing w:after="0" w:line="231" w:lineRule="auto"/>
        <w:tabs>
          <w:tab w:leader="none" w:pos="12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Includes regulatory capital requirements of the insurance consolidated group.</w:t>
      </w:r>
    </w:p>
    <w:p>
      <w:pPr>
        <w:ind w:left="1340" w:hanging="231"/>
        <w:spacing w:after="0"/>
        <w:tabs>
          <w:tab w:leader="none" w:pos="1340" w:val="left"/>
        </w:tabs>
        <w:numPr>
          <w:ilvl w:val="0"/>
          <w:numId w:val="55"/>
        </w:numPr>
        <w:rPr>
          <w:rFonts w:ascii="Arial" w:cs="Arial" w:eastAsia="Arial" w:hAnsi="Arial"/>
          <w:sz w:val="11"/>
          <w:szCs w:val="11"/>
          <w:color w:val="auto"/>
        </w:rPr>
      </w:pPr>
      <w:r>
        <w:rPr>
          <w:rFonts w:ascii="Arial" w:cs="Arial" w:eastAsia="Arial" w:hAnsi="Arial"/>
          <w:sz w:val="11"/>
          <w:szCs w:val="11"/>
          <w:color w:val="auto"/>
        </w:rPr>
        <w:t>Regulatory Capital / Total Regulatory Capital Requirements (legal minimum = 1.00).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64" w:name="page65"/>
    <w:bookmarkEnd w:id="64"/>
    <w:p>
      <w:pPr>
        <w:jc w:val="right"/>
        <w:ind w:right="420"/>
        <w:spacing w:after="0"/>
        <w:tabs>
          <w:tab w:leader="none" w:pos="8300" w:val="left"/>
          <w:tab w:leader="none" w:pos="37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Regulatory and Capital Adequacy Ratios at BCP Stand-alone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 thousands, IFRS)</w:t>
      </w:r>
    </w:p>
    <w:p>
      <w:pPr>
        <w:spacing w:after="0" w:line="163" w:lineRule="exact"/>
        <w:rPr>
          <w:sz w:val="20"/>
          <w:szCs w:val="20"/>
          <w:color w:val="auto"/>
        </w:rPr>
      </w:pPr>
    </w:p>
    <w:tbl>
      <w:tblPr>
        <w:tblLayout w:type="fixed"/>
        <w:tblInd w:w="1150" w:type="dxa"/>
        <w:tblCellMar>
          <w:top w:w="0" w:type="dxa"/>
          <w:left w:w="0" w:type="dxa"/>
          <w:bottom w:w="0" w:type="dxa"/>
          <w:right w:w="0" w:type="dxa"/>
        </w:tblCellMar>
      </w:tblPr>
      <w:tr>
        <w:trPr>
          <w:trHeight w:val="158"/>
        </w:trPr>
        <w:tc>
          <w:tcPr>
            <w:tcW w:w="2720" w:type="dxa"/>
            <w:vAlign w:val="bottom"/>
            <w:tcBorders>
              <w:top w:val="single" w:sz="8" w:color="auto"/>
              <w:left w:val="single" w:sz="8" w:color="auto"/>
            </w:tcBorders>
            <w:shd w:val="clear" w:color="auto" w:fill="2AD2C9"/>
          </w:tcPr>
          <w:p>
            <w:pPr>
              <w:ind w:left="80"/>
              <w:spacing w:after="0"/>
              <w:rPr>
                <w:sz w:val="20"/>
                <w:szCs w:val="20"/>
                <w:color w:val="auto"/>
              </w:rPr>
            </w:pPr>
            <w:r>
              <w:rPr>
                <w:rFonts w:ascii="Arial" w:cs="Arial" w:eastAsia="Arial" w:hAnsi="Arial"/>
                <w:sz w:val="13"/>
                <w:szCs w:val="13"/>
                <w:b w:val="1"/>
                <w:bCs w:val="1"/>
                <w:color w:val="FFFFFF"/>
              </w:rPr>
              <w:t>Regulatory Capital</w:t>
            </w:r>
          </w:p>
        </w:tc>
        <w:tc>
          <w:tcPr>
            <w:tcW w:w="2220" w:type="dxa"/>
            <w:vAlign w:val="bottom"/>
            <w:tcBorders>
              <w:top w:val="single" w:sz="8" w:color="auto"/>
              <w:right w:val="single" w:sz="8" w:color="auto"/>
            </w:tcBorders>
            <w:shd w:val="clear" w:color="auto" w:fill="2AD2C9"/>
          </w:tcPr>
          <w:p>
            <w:pPr>
              <w:spacing w:after="0"/>
              <w:rPr>
                <w:sz w:val="13"/>
                <w:szCs w:val="13"/>
                <w:color w:val="auto"/>
              </w:rPr>
            </w:pPr>
          </w:p>
        </w:tc>
        <w:tc>
          <w:tcPr>
            <w:tcW w:w="1680" w:type="dxa"/>
            <w:vAlign w:val="bottom"/>
            <w:tcBorders>
              <w:top w:val="single" w:sz="8" w:color="auto"/>
            </w:tcBorders>
            <w:shd w:val="clear" w:color="auto" w:fill="2AD2C9"/>
          </w:tcPr>
          <w:p>
            <w:pPr>
              <w:jc w:val="right"/>
              <w:ind w:right="35"/>
              <w:spacing w:after="0"/>
              <w:rPr>
                <w:sz w:val="20"/>
                <w:szCs w:val="20"/>
                <w:color w:val="auto"/>
              </w:rPr>
            </w:pPr>
            <w:r>
              <w:rPr>
                <w:rFonts w:ascii="Arial" w:cs="Arial" w:eastAsia="Arial" w:hAnsi="Arial"/>
                <w:sz w:val="13"/>
                <w:szCs w:val="13"/>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3"/>
                <w:szCs w:val="13"/>
                <w:color w:val="auto"/>
              </w:rPr>
            </w:pPr>
          </w:p>
        </w:tc>
        <w:tc>
          <w:tcPr>
            <w:tcW w:w="13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8"/>
              </w:rPr>
              <w:t>% change</w:t>
            </w:r>
          </w:p>
        </w:tc>
        <w:tc>
          <w:tcPr>
            <w:tcW w:w="20" w:type="dxa"/>
            <w:vAlign w:val="bottom"/>
            <w:tcBorders>
              <w:top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bottom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color w:val="FFFFFF"/>
              </w:rPr>
              <w:t>(S/ thousand)</w:t>
            </w:r>
          </w:p>
        </w:tc>
        <w:tc>
          <w:tcPr>
            <w:tcW w:w="2220" w:type="dxa"/>
            <w:vAlign w:val="bottom"/>
            <w:tcBorders>
              <w:bottom w:val="single" w:sz="8" w:color="auto"/>
              <w:right w:val="single" w:sz="8" w:color="auto"/>
            </w:tcBorders>
            <w:shd w:val="clear" w:color="auto" w:fill="2AD2C9"/>
          </w:tcPr>
          <w:p>
            <w:pPr>
              <w:spacing w:after="0"/>
              <w:rPr>
                <w:sz w:val="12"/>
                <w:szCs w:val="12"/>
                <w:color w:val="auto"/>
              </w:rPr>
            </w:pPr>
          </w:p>
        </w:tc>
        <w:tc>
          <w:tcPr>
            <w:tcW w:w="1680" w:type="dxa"/>
            <w:vAlign w:val="bottom"/>
            <w:tcBorders>
              <w:bottom w:val="single" w:sz="8" w:color="auto"/>
            </w:tcBorders>
            <w:shd w:val="clear" w:color="auto" w:fill="2AD2C9"/>
          </w:tcPr>
          <w:p>
            <w:pPr>
              <w:ind w:left="460"/>
              <w:spacing w:after="0" w:line="146" w:lineRule="exact"/>
              <w:rPr>
                <w:sz w:val="20"/>
                <w:szCs w:val="20"/>
                <w:color w:val="auto"/>
              </w:rPr>
            </w:pPr>
            <w:r>
              <w:rPr>
                <w:rFonts w:ascii="Arial" w:cs="Arial" w:eastAsia="Arial" w:hAnsi="Arial"/>
                <w:sz w:val="13"/>
                <w:szCs w:val="13"/>
                <w:b w:val="1"/>
                <w:bCs w:val="1"/>
                <w:color w:val="FFFFFF"/>
              </w:rPr>
              <w:t>Sep 23</w:t>
            </w:r>
          </w:p>
        </w:tc>
        <w:tc>
          <w:tcPr>
            <w:tcW w:w="1020" w:type="dxa"/>
            <w:vAlign w:val="bottom"/>
            <w:tcBorders>
              <w:bottom w:val="single" w:sz="8" w:color="auto"/>
              <w:right w:val="single" w:sz="8" w:color="auto"/>
            </w:tcBorders>
            <w:shd w:val="clear" w:color="auto" w:fill="2AD2C9"/>
          </w:tcPr>
          <w:p>
            <w:pPr>
              <w:ind w:left="120"/>
              <w:spacing w:after="0" w:line="146" w:lineRule="exact"/>
              <w:rPr>
                <w:sz w:val="20"/>
                <w:szCs w:val="20"/>
                <w:color w:val="auto"/>
              </w:rPr>
            </w:pPr>
            <w:r>
              <w:rPr>
                <w:rFonts w:ascii="Arial" w:cs="Arial" w:eastAsia="Arial" w:hAnsi="Arial"/>
                <w:sz w:val="13"/>
                <w:szCs w:val="13"/>
                <w:b w:val="1"/>
                <w:bCs w:val="1"/>
                <w:color w:val="FFFFFF"/>
              </w:rPr>
              <w:t>Dec 23</w:t>
            </w:r>
          </w:p>
        </w:tc>
        <w:tc>
          <w:tcPr>
            <w:tcW w:w="1340" w:type="dxa"/>
            <w:vAlign w:val="bottom"/>
            <w:tcBorders>
              <w:bottom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9"/>
              </w:rPr>
              <w:t>QoQ</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tcBorders>
              <w:left w:val="single" w:sz="8" w:color="auto"/>
            </w:tcBorders>
          </w:tcPr>
          <w:p>
            <w:pPr>
              <w:ind w:left="80"/>
              <w:spacing w:after="0" w:line="131" w:lineRule="exact"/>
              <w:rPr>
                <w:sz w:val="20"/>
                <w:szCs w:val="20"/>
                <w:color w:val="auto"/>
              </w:rPr>
            </w:pPr>
            <w:r>
              <w:rPr>
                <w:rFonts w:ascii="Arial" w:cs="Arial" w:eastAsia="Arial" w:hAnsi="Arial"/>
                <w:sz w:val="13"/>
                <w:szCs w:val="13"/>
                <w:color w:val="auto"/>
              </w:rPr>
              <w:t>Capital Stock</w:t>
            </w:r>
          </w:p>
        </w:tc>
        <w:tc>
          <w:tcPr>
            <w:tcW w:w="2220" w:type="dxa"/>
            <w:vAlign w:val="bottom"/>
            <w:tcBorders>
              <w:right w:val="single" w:sz="8" w:color="auto"/>
            </w:tcBorders>
          </w:tcPr>
          <w:p>
            <w:pPr>
              <w:spacing w:after="0"/>
              <w:rPr>
                <w:sz w:val="11"/>
                <w:szCs w:val="11"/>
                <w:color w:val="auto"/>
              </w:rPr>
            </w:pPr>
          </w:p>
        </w:tc>
        <w:tc>
          <w:tcPr>
            <w:tcW w:w="1680" w:type="dxa"/>
            <w:vAlign w:val="bottom"/>
          </w:tcPr>
          <w:p>
            <w:pPr>
              <w:jc w:val="right"/>
              <w:ind w:right="375"/>
              <w:spacing w:after="0" w:line="131" w:lineRule="exact"/>
              <w:rPr>
                <w:sz w:val="20"/>
                <w:szCs w:val="20"/>
                <w:color w:val="auto"/>
              </w:rPr>
            </w:pPr>
            <w:r>
              <w:rPr>
                <w:rFonts w:ascii="Arial" w:cs="Arial" w:eastAsia="Arial" w:hAnsi="Arial"/>
                <w:sz w:val="13"/>
                <w:szCs w:val="13"/>
                <w:color w:val="auto"/>
              </w:rPr>
              <w:t>12,973,175</w:t>
            </w:r>
          </w:p>
        </w:tc>
        <w:tc>
          <w:tcPr>
            <w:tcW w:w="1020" w:type="dxa"/>
            <w:vAlign w:val="bottom"/>
            <w:tcBorders>
              <w:right w:val="single" w:sz="8" w:color="auto"/>
            </w:tcBorders>
          </w:tcPr>
          <w:p>
            <w:pPr>
              <w:jc w:val="right"/>
              <w:ind w:right="55"/>
              <w:spacing w:after="0" w:line="131" w:lineRule="exact"/>
              <w:rPr>
                <w:sz w:val="20"/>
                <w:szCs w:val="20"/>
                <w:color w:val="auto"/>
              </w:rPr>
            </w:pPr>
            <w:r>
              <w:rPr>
                <w:rFonts w:ascii="Arial" w:cs="Arial" w:eastAsia="Arial" w:hAnsi="Arial"/>
                <w:sz w:val="13"/>
                <w:szCs w:val="13"/>
                <w:color w:val="auto"/>
              </w:rPr>
              <w:t>12,973,175</w:t>
            </w:r>
          </w:p>
        </w:tc>
        <w:tc>
          <w:tcPr>
            <w:tcW w:w="1340" w:type="dxa"/>
            <w:vAlign w:val="bottom"/>
          </w:tcPr>
          <w:p>
            <w:pPr>
              <w:jc w:val="center"/>
              <w:spacing w:after="0" w:line="131" w:lineRule="exact"/>
              <w:rPr>
                <w:sz w:val="20"/>
                <w:szCs w:val="20"/>
                <w:color w:val="auto"/>
              </w:rPr>
            </w:pPr>
            <w:r>
              <w:rPr>
                <w:rFonts w:ascii="Arial" w:cs="Arial" w:eastAsia="Arial" w:hAnsi="Arial"/>
                <w:sz w:val="13"/>
                <w:szCs w:val="13"/>
                <w:color w:val="auto"/>
                <w:w w:val="94"/>
              </w:rPr>
              <w:t>0.0%</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Reserves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7,039,793</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6,590,921</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-6.4%</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Accumulated earnings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4,474,351</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5,383,865</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7"/>
              </w:rPr>
              <w:t>20.3%</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Loan loss reserves (1)</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1,667,750</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1,695,577</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1.7%</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Perpetual subordinated debt</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rPr>
              <w:t>n.a</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Subordinated Debt</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5,120,550</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5,007,150</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-2.2%</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Unrealized Profit or Losses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(916,337)</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(668,717)</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7"/>
              </w:rPr>
              <w:t>-27.0%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40" w:type="dxa"/>
            <w:vAlign w:val="bottom"/>
            <w:tcBorders>
              <w:left w:val="single" w:sz="8" w:color="auto"/>
              <w:right w:val="single" w:sz="8" w:color="auto"/>
            </w:tcBorders>
            <w:gridSpan w:val="2"/>
          </w:tcPr>
          <w:p>
            <w:pPr>
              <w:ind w:left="80"/>
              <w:spacing w:after="0" w:line="146" w:lineRule="exact"/>
              <w:rPr>
                <w:sz w:val="20"/>
                <w:szCs w:val="20"/>
                <w:color w:val="auto"/>
              </w:rPr>
            </w:pPr>
            <w:r>
              <w:rPr>
                <w:rFonts w:ascii="Arial" w:cs="Arial" w:eastAsia="Arial" w:hAnsi="Arial"/>
                <w:sz w:val="13"/>
                <w:szCs w:val="13"/>
                <w:color w:val="auto"/>
              </w:rPr>
              <w:t>Investment in subsidiaries and others, net of unrealized profit and net income in</w:t>
            </w:r>
          </w:p>
        </w:tc>
        <w:tc>
          <w:tcPr>
            <w:tcW w:w="16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w w:val="94"/>
              </w:rPr>
              <w:t>2.1%</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720" w:type="dxa"/>
            <w:vAlign w:val="bottom"/>
            <w:tcBorders>
              <w:left w:val="single" w:sz="8" w:color="auto"/>
            </w:tcBorders>
            <w:vMerge w:val="restart"/>
          </w:tcPr>
          <w:p>
            <w:pPr>
              <w:ind w:left="80"/>
              <w:spacing w:after="0" w:line="146" w:lineRule="exact"/>
              <w:rPr>
                <w:sz w:val="20"/>
                <w:szCs w:val="20"/>
                <w:color w:val="auto"/>
              </w:rPr>
            </w:pPr>
            <w:r>
              <w:rPr>
                <w:rFonts w:ascii="Arial" w:cs="Arial" w:eastAsia="Arial" w:hAnsi="Arial"/>
                <w:sz w:val="13"/>
                <w:szCs w:val="13"/>
                <w:color w:val="auto"/>
              </w:rPr>
              <w:t>subsidiaries</w:t>
            </w:r>
          </w:p>
        </w:tc>
        <w:tc>
          <w:tcPr>
            <w:tcW w:w="2220" w:type="dxa"/>
            <w:vAlign w:val="bottom"/>
            <w:tcBorders>
              <w:right w:val="single" w:sz="8" w:color="auto"/>
            </w:tcBorders>
          </w:tcPr>
          <w:p>
            <w:pPr>
              <w:spacing w:after="0"/>
              <w:rPr>
                <w:sz w:val="8"/>
                <w:szCs w:val="8"/>
                <w:color w:val="auto"/>
              </w:rPr>
            </w:pPr>
          </w:p>
        </w:tc>
        <w:tc>
          <w:tcPr>
            <w:tcW w:w="1680" w:type="dxa"/>
            <w:vAlign w:val="bottom"/>
            <w:vMerge w:val="restart"/>
          </w:tcPr>
          <w:p>
            <w:pPr>
              <w:jc w:val="right"/>
              <w:ind w:right="375"/>
              <w:spacing w:after="0" w:line="146" w:lineRule="exact"/>
              <w:rPr>
                <w:sz w:val="20"/>
                <w:szCs w:val="20"/>
                <w:color w:val="auto"/>
              </w:rPr>
            </w:pPr>
            <w:r>
              <w:rPr>
                <w:rFonts w:ascii="Arial" w:cs="Arial" w:eastAsia="Arial" w:hAnsi="Arial"/>
                <w:sz w:val="13"/>
                <w:szCs w:val="13"/>
                <w:color w:val="auto"/>
              </w:rPr>
              <w:t>(2,714,749)</w:t>
            </w:r>
          </w:p>
        </w:tc>
        <w:tc>
          <w:tcPr>
            <w:tcW w:w="10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(2,772,786)</w:t>
            </w:r>
          </w:p>
        </w:tc>
        <w:tc>
          <w:tcPr>
            <w:tcW w:w="13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720" w:type="dxa"/>
            <w:vAlign w:val="bottom"/>
            <w:tcBorders>
              <w:left w:val="single" w:sz="8" w:color="auto"/>
            </w:tcBorders>
            <w:vMerge w:val="continue"/>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1680" w:type="dxa"/>
            <w:vAlign w:val="bottom"/>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Intangibles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(1,124,983)</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(1,294,279)</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7"/>
              </w:rPr>
              <w:t>15.0%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3"/>
                <w:szCs w:val="13"/>
                <w:color w:val="auto"/>
              </w:rPr>
              <w:t>Goodwill</w:t>
            </w:r>
          </w:p>
        </w:tc>
        <w:tc>
          <w:tcPr>
            <w:tcW w:w="222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(122,083)</w:t>
            </w:r>
          </w:p>
        </w:tc>
        <w:tc>
          <w:tcPr>
            <w:tcW w:w="10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color w:val="auto"/>
              </w:rPr>
              <w:t>(122,083)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Total Regulatory Capital</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26,397,466</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26,792,823</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1.5%</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Tier 1 Common Equity (2)</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19,609,166</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20,090,096</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2.5%</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Regulatory Tier 1 Capital (3)</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19,609,166</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20,090,096</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2.5%</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Regulatory Tier 2 Capital (4)</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6,788,300</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6,702,727</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-1.3%</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tcBorders>
            <w:shd w:val="clear" w:color="auto" w:fill="2AD2C9"/>
          </w:tcPr>
          <w:p>
            <w:pPr>
              <w:ind w:left="80"/>
              <w:spacing w:after="0" w:line="139" w:lineRule="exact"/>
              <w:rPr>
                <w:sz w:val="20"/>
                <w:szCs w:val="20"/>
                <w:color w:val="auto"/>
              </w:rPr>
            </w:pPr>
            <w:r>
              <w:rPr>
                <w:rFonts w:ascii="Arial" w:cs="Arial" w:eastAsia="Arial" w:hAnsi="Arial"/>
                <w:sz w:val="13"/>
                <w:szCs w:val="13"/>
                <w:b w:val="1"/>
                <w:bCs w:val="1"/>
                <w:color w:val="FFFFFF"/>
              </w:rPr>
              <w:t>Total risk-weighted assets</w:t>
            </w:r>
          </w:p>
        </w:tc>
        <w:tc>
          <w:tcPr>
            <w:tcW w:w="2220" w:type="dxa"/>
            <w:vAlign w:val="bottom"/>
            <w:tcBorders>
              <w:right w:val="single" w:sz="8" w:color="auto"/>
            </w:tcBorders>
            <w:shd w:val="clear" w:color="auto" w:fill="2AD2C9"/>
          </w:tcPr>
          <w:p>
            <w:pPr>
              <w:spacing w:after="0"/>
              <w:rPr>
                <w:sz w:val="12"/>
                <w:szCs w:val="12"/>
                <w:color w:val="auto"/>
              </w:rPr>
            </w:pPr>
          </w:p>
        </w:tc>
        <w:tc>
          <w:tcPr>
            <w:tcW w:w="1680" w:type="dxa"/>
            <w:vAlign w:val="bottom"/>
            <w:shd w:val="clear" w:color="auto" w:fill="2AD2C9"/>
          </w:tcPr>
          <w:p>
            <w:pPr>
              <w:jc w:val="right"/>
              <w:ind w:right="35"/>
              <w:spacing w:after="0" w:line="139" w:lineRule="exact"/>
              <w:rPr>
                <w:sz w:val="20"/>
                <w:szCs w:val="20"/>
                <w:color w:val="auto"/>
              </w:rPr>
            </w:pPr>
            <w:r>
              <w:rPr>
                <w:rFonts w:ascii="Arial" w:cs="Arial" w:eastAsia="Arial" w:hAnsi="Arial"/>
                <w:sz w:val="13"/>
                <w:szCs w:val="13"/>
                <w:b w:val="1"/>
                <w:bCs w:val="1"/>
                <w:color w:val="FFFFFF"/>
              </w:rPr>
              <w:t>Quarter</w:t>
            </w:r>
          </w:p>
        </w:tc>
        <w:tc>
          <w:tcPr>
            <w:tcW w:w="1020" w:type="dxa"/>
            <w:vAlign w:val="bottom"/>
            <w:tcBorders>
              <w:right w:val="single" w:sz="8" w:color="auto"/>
            </w:tcBorders>
            <w:shd w:val="clear" w:color="auto" w:fill="2AD2C9"/>
          </w:tcPr>
          <w:p>
            <w:pPr>
              <w:spacing w:after="0"/>
              <w:rPr>
                <w:sz w:val="12"/>
                <w:szCs w:val="12"/>
                <w:color w:val="auto"/>
              </w:rPr>
            </w:pPr>
          </w:p>
        </w:tc>
        <w:tc>
          <w:tcPr>
            <w:tcW w:w="1340" w:type="dxa"/>
            <w:vAlign w:val="bottom"/>
            <w:shd w:val="clear" w:color="auto" w:fill="2AD2C9"/>
          </w:tcPr>
          <w:p>
            <w:pPr>
              <w:jc w:val="center"/>
              <w:spacing w:after="0" w:line="139" w:lineRule="exact"/>
              <w:rPr>
                <w:sz w:val="20"/>
                <w:szCs w:val="20"/>
                <w:color w:val="auto"/>
              </w:rPr>
            </w:pPr>
            <w:r>
              <w:rPr>
                <w:rFonts w:ascii="Arial" w:cs="Arial" w:eastAsia="Arial" w:hAnsi="Arial"/>
                <w:sz w:val="13"/>
                <w:szCs w:val="13"/>
                <w:b w:val="1"/>
                <w:bCs w:val="1"/>
                <w:color w:val="FFFFFF"/>
                <w:w w:val="98"/>
              </w:rPr>
              <w:t>% 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bottom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color w:val="FFFFFF"/>
              </w:rPr>
              <w:t>(S/ thousand)</w:t>
            </w:r>
          </w:p>
        </w:tc>
        <w:tc>
          <w:tcPr>
            <w:tcW w:w="2220" w:type="dxa"/>
            <w:vAlign w:val="bottom"/>
            <w:tcBorders>
              <w:bottom w:val="single" w:sz="8" w:color="auto"/>
              <w:right w:val="single" w:sz="8" w:color="auto"/>
            </w:tcBorders>
            <w:shd w:val="clear" w:color="auto" w:fill="2AD2C9"/>
          </w:tcPr>
          <w:p>
            <w:pPr>
              <w:spacing w:after="0"/>
              <w:rPr>
                <w:sz w:val="12"/>
                <w:szCs w:val="12"/>
                <w:color w:val="auto"/>
              </w:rPr>
            </w:pPr>
          </w:p>
        </w:tc>
        <w:tc>
          <w:tcPr>
            <w:tcW w:w="1680" w:type="dxa"/>
            <w:vAlign w:val="bottom"/>
            <w:tcBorders>
              <w:bottom w:val="single" w:sz="8" w:color="auto"/>
            </w:tcBorders>
            <w:shd w:val="clear" w:color="auto" w:fill="2AD2C9"/>
          </w:tcPr>
          <w:p>
            <w:pPr>
              <w:ind w:left="460"/>
              <w:spacing w:after="0" w:line="146" w:lineRule="exact"/>
              <w:rPr>
                <w:sz w:val="20"/>
                <w:szCs w:val="20"/>
                <w:color w:val="auto"/>
              </w:rPr>
            </w:pPr>
            <w:r>
              <w:rPr>
                <w:rFonts w:ascii="Arial" w:cs="Arial" w:eastAsia="Arial" w:hAnsi="Arial"/>
                <w:sz w:val="13"/>
                <w:szCs w:val="13"/>
                <w:b w:val="1"/>
                <w:bCs w:val="1"/>
                <w:color w:val="FFFFFF"/>
              </w:rPr>
              <w:t>Sep 23</w:t>
            </w:r>
          </w:p>
        </w:tc>
        <w:tc>
          <w:tcPr>
            <w:tcW w:w="1020" w:type="dxa"/>
            <w:vAlign w:val="bottom"/>
            <w:tcBorders>
              <w:bottom w:val="single" w:sz="8" w:color="auto"/>
              <w:right w:val="single" w:sz="8" w:color="auto"/>
            </w:tcBorders>
            <w:shd w:val="clear" w:color="auto" w:fill="2AD2C9"/>
          </w:tcPr>
          <w:p>
            <w:pPr>
              <w:ind w:left="120"/>
              <w:spacing w:after="0" w:line="146" w:lineRule="exact"/>
              <w:rPr>
                <w:sz w:val="20"/>
                <w:szCs w:val="20"/>
                <w:color w:val="auto"/>
              </w:rPr>
            </w:pPr>
            <w:r>
              <w:rPr>
                <w:rFonts w:ascii="Arial" w:cs="Arial" w:eastAsia="Arial" w:hAnsi="Arial"/>
                <w:sz w:val="13"/>
                <w:szCs w:val="13"/>
                <w:b w:val="1"/>
                <w:bCs w:val="1"/>
                <w:color w:val="FFFFFF"/>
              </w:rPr>
              <w:t>Dec 23</w:t>
            </w:r>
          </w:p>
        </w:tc>
        <w:tc>
          <w:tcPr>
            <w:tcW w:w="1340" w:type="dxa"/>
            <w:vAlign w:val="bottom"/>
            <w:tcBorders>
              <w:bottom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9"/>
              </w:rPr>
              <w:t>QoQ</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tcBorders>
              <w:left w:val="single" w:sz="8" w:color="auto"/>
            </w:tcBorders>
          </w:tcPr>
          <w:p>
            <w:pPr>
              <w:ind w:left="80"/>
              <w:spacing w:after="0" w:line="131" w:lineRule="exact"/>
              <w:rPr>
                <w:sz w:val="20"/>
                <w:szCs w:val="20"/>
                <w:color w:val="auto"/>
              </w:rPr>
            </w:pPr>
            <w:r>
              <w:rPr>
                <w:rFonts w:ascii="Arial" w:cs="Arial" w:eastAsia="Arial" w:hAnsi="Arial"/>
                <w:sz w:val="13"/>
                <w:szCs w:val="13"/>
                <w:color w:val="auto"/>
              </w:rPr>
              <w:t>Market risk-weighted assets (5)</w:t>
            </w:r>
          </w:p>
        </w:tc>
        <w:tc>
          <w:tcPr>
            <w:tcW w:w="2220" w:type="dxa"/>
            <w:vAlign w:val="bottom"/>
            <w:tcBorders>
              <w:right w:val="single" w:sz="8" w:color="auto"/>
            </w:tcBorders>
          </w:tcPr>
          <w:p>
            <w:pPr>
              <w:spacing w:after="0"/>
              <w:rPr>
                <w:sz w:val="11"/>
                <w:szCs w:val="11"/>
                <w:color w:val="auto"/>
              </w:rPr>
            </w:pPr>
          </w:p>
        </w:tc>
        <w:tc>
          <w:tcPr>
            <w:tcW w:w="1680" w:type="dxa"/>
            <w:vAlign w:val="bottom"/>
          </w:tcPr>
          <w:p>
            <w:pPr>
              <w:jc w:val="right"/>
              <w:ind w:right="375"/>
              <w:spacing w:after="0" w:line="131" w:lineRule="exact"/>
              <w:rPr>
                <w:sz w:val="20"/>
                <w:szCs w:val="20"/>
                <w:color w:val="auto"/>
              </w:rPr>
            </w:pPr>
            <w:r>
              <w:rPr>
                <w:rFonts w:ascii="Arial" w:cs="Arial" w:eastAsia="Arial" w:hAnsi="Arial"/>
                <w:sz w:val="13"/>
                <w:szCs w:val="13"/>
                <w:color w:val="auto"/>
              </w:rPr>
              <w:t>2,576,734</w:t>
            </w:r>
          </w:p>
        </w:tc>
        <w:tc>
          <w:tcPr>
            <w:tcW w:w="1020" w:type="dxa"/>
            <w:vAlign w:val="bottom"/>
            <w:tcBorders>
              <w:right w:val="single" w:sz="8" w:color="auto"/>
            </w:tcBorders>
          </w:tcPr>
          <w:p>
            <w:pPr>
              <w:jc w:val="right"/>
              <w:ind w:right="55"/>
              <w:spacing w:after="0" w:line="131" w:lineRule="exact"/>
              <w:rPr>
                <w:sz w:val="20"/>
                <w:szCs w:val="20"/>
                <w:color w:val="auto"/>
              </w:rPr>
            </w:pPr>
            <w:r>
              <w:rPr>
                <w:rFonts w:ascii="Arial" w:cs="Arial" w:eastAsia="Arial" w:hAnsi="Arial"/>
                <w:sz w:val="13"/>
                <w:szCs w:val="13"/>
                <w:color w:val="auto"/>
              </w:rPr>
              <w:t>2,680,010</w:t>
            </w:r>
          </w:p>
        </w:tc>
        <w:tc>
          <w:tcPr>
            <w:tcW w:w="1340" w:type="dxa"/>
            <w:vAlign w:val="bottom"/>
          </w:tcPr>
          <w:p>
            <w:pPr>
              <w:jc w:val="center"/>
              <w:spacing w:after="0" w:line="131" w:lineRule="exact"/>
              <w:rPr>
                <w:sz w:val="20"/>
                <w:szCs w:val="20"/>
                <w:color w:val="auto"/>
              </w:rPr>
            </w:pPr>
            <w:r>
              <w:rPr>
                <w:rFonts w:ascii="Arial" w:cs="Arial" w:eastAsia="Arial" w:hAnsi="Arial"/>
                <w:sz w:val="13"/>
                <w:szCs w:val="13"/>
                <w:color w:val="auto"/>
                <w:w w:val="94"/>
              </w:rPr>
              <w:t>4.0%</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Credit risk-weighted assets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132,297,592</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134,427,146</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1.6%</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3"/>
                <w:szCs w:val="13"/>
                <w:color w:val="auto"/>
              </w:rPr>
              <w:t>Operational risk-weighted assets</w:t>
            </w:r>
          </w:p>
        </w:tc>
        <w:tc>
          <w:tcPr>
            <w:tcW w:w="222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15,862,960</w:t>
            </w:r>
          </w:p>
        </w:tc>
        <w:tc>
          <w:tcPr>
            <w:tcW w:w="10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color w:val="auto"/>
              </w:rPr>
              <w:t>16,365,974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3.2%</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Total</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150,737,286</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153,473,130</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1.8%</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tcBorders>
            <w:shd w:val="clear" w:color="auto" w:fill="2AD2C9"/>
          </w:tcPr>
          <w:p>
            <w:pPr>
              <w:ind w:left="80"/>
              <w:spacing w:after="0" w:line="139" w:lineRule="exact"/>
              <w:rPr>
                <w:sz w:val="20"/>
                <w:szCs w:val="20"/>
                <w:color w:val="auto"/>
              </w:rPr>
            </w:pPr>
            <w:r>
              <w:rPr>
                <w:rFonts w:ascii="Arial" w:cs="Arial" w:eastAsia="Arial" w:hAnsi="Arial"/>
                <w:sz w:val="13"/>
                <w:szCs w:val="13"/>
                <w:b w:val="1"/>
                <w:bCs w:val="1"/>
                <w:color w:val="FFFFFF"/>
              </w:rPr>
              <w:t>Capital requirement</w:t>
            </w:r>
          </w:p>
        </w:tc>
        <w:tc>
          <w:tcPr>
            <w:tcW w:w="2220" w:type="dxa"/>
            <w:vAlign w:val="bottom"/>
            <w:tcBorders>
              <w:right w:val="single" w:sz="8" w:color="auto"/>
            </w:tcBorders>
            <w:shd w:val="clear" w:color="auto" w:fill="2AD2C9"/>
          </w:tcPr>
          <w:p>
            <w:pPr>
              <w:spacing w:after="0"/>
              <w:rPr>
                <w:sz w:val="12"/>
                <w:szCs w:val="12"/>
                <w:color w:val="auto"/>
              </w:rPr>
            </w:pPr>
          </w:p>
        </w:tc>
        <w:tc>
          <w:tcPr>
            <w:tcW w:w="1680" w:type="dxa"/>
            <w:vAlign w:val="bottom"/>
            <w:shd w:val="clear" w:color="auto" w:fill="2AD2C9"/>
          </w:tcPr>
          <w:p>
            <w:pPr>
              <w:jc w:val="right"/>
              <w:ind w:right="35"/>
              <w:spacing w:after="0" w:line="139" w:lineRule="exact"/>
              <w:rPr>
                <w:sz w:val="20"/>
                <w:szCs w:val="20"/>
                <w:color w:val="auto"/>
              </w:rPr>
            </w:pPr>
            <w:r>
              <w:rPr>
                <w:rFonts w:ascii="Arial" w:cs="Arial" w:eastAsia="Arial" w:hAnsi="Arial"/>
                <w:sz w:val="13"/>
                <w:szCs w:val="13"/>
                <w:b w:val="1"/>
                <w:bCs w:val="1"/>
                <w:color w:val="FFFFFF"/>
              </w:rPr>
              <w:t>Quarter</w:t>
            </w:r>
          </w:p>
        </w:tc>
        <w:tc>
          <w:tcPr>
            <w:tcW w:w="1020" w:type="dxa"/>
            <w:vAlign w:val="bottom"/>
            <w:tcBorders>
              <w:right w:val="single" w:sz="8" w:color="auto"/>
            </w:tcBorders>
            <w:shd w:val="clear" w:color="auto" w:fill="2AD2C9"/>
          </w:tcPr>
          <w:p>
            <w:pPr>
              <w:spacing w:after="0"/>
              <w:rPr>
                <w:sz w:val="12"/>
                <w:szCs w:val="12"/>
                <w:color w:val="auto"/>
              </w:rPr>
            </w:pPr>
          </w:p>
        </w:tc>
        <w:tc>
          <w:tcPr>
            <w:tcW w:w="1340" w:type="dxa"/>
            <w:vAlign w:val="bottom"/>
            <w:shd w:val="clear" w:color="auto" w:fill="2AD2C9"/>
          </w:tcPr>
          <w:p>
            <w:pPr>
              <w:jc w:val="center"/>
              <w:spacing w:after="0" w:line="139" w:lineRule="exact"/>
              <w:rPr>
                <w:sz w:val="20"/>
                <w:szCs w:val="20"/>
                <w:color w:val="auto"/>
              </w:rPr>
            </w:pPr>
            <w:r>
              <w:rPr>
                <w:rFonts w:ascii="Arial" w:cs="Arial" w:eastAsia="Arial" w:hAnsi="Arial"/>
                <w:sz w:val="13"/>
                <w:szCs w:val="13"/>
                <w:b w:val="1"/>
                <w:bCs w:val="1"/>
                <w:color w:val="FFFFFF"/>
                <w:w w:val="98"/>
              </w:rPr>
              <w:t>% 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bottom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color w:val="FFFFFF"/>
              </w:rPr>
              <w:t>(S/ thousand)</w:t>
            </w:r>
          </w:p>
        </w:tc>
        <w:tc>
          <w:tcPr>
            <w:tcW w:w="2220" w:type="dxa"/>
            <w:vAlign w:val="bottom"/>
            <w:tcBorders>
              <w:bottom w:val="single" w:sz="8" w:color="auto"/>
              <w:right w:val="single" w:sz="8" w:color="auto"/>
            </w:tcBorders>
            <w:shd w:val="clear" w:color="auto" w:fill="2AD2C9"/>
          </w:tcPr>
          <w:p>
            <w:pPr>
              <w:spacing w:after="0"/>
              <w:rPr>
                <w:sz w:val="12"/>
                <w:szCs w:val="12"/>
                <w:color w:val="auto"/>
              </w:rPr>
            </w:pPr>
          </w:p>
        </w:tc>
        <w:tc>
          <w:tcPr>
            <w:tcW w:w="1680" w:type="dxa"/>
            <w:vAlign w:val="bottom"/>
            <w:tcBorders>
              <w:bottom w:val="single" w:sz="8" w:color="auto"/>
            </w:tcBorders>
            <w:shd w:val="clear" w:color="auto" w:fill="2AD2C9"/>
          </w:tcPr>
          <w:p>
            <w:pPr>
              <w:ind w:left="460"/>
              <w:spacing w:after="0" w:line="146" w:lineRule="exact"/>
              <w:rPr>
                <w:sz w:val="20"/>
                <w:szCs w:val="20"/>
                <w:color w:val="auto"/>
              </w:rPr>
            </w:pPr>
            <w:r>
              <w:rPr>
                <w:rFonts w:ascii="Arial" w:cs="Arial" w:eastAsia="Arial" w:hAnsi="Arial"/>
                <w:sz w:val="13"/>
                <w:szCs w:val="13"/>
                <w:b w:val="1"/>
                <w:bCs w:val="1"/>
                <w:color w:val="FFFFFF"/>
              </w:rPr>
              <w:t>Sep 23</w:t>
            </w:r>
          </w:p>
        </w:tc>
        <w:tc>
          <w:tcPr>
            <w:tcW w:w="1020" w:type="dxa"/>
            <w:vAlign w:val="bottom"/>
            <w:tcBorders>
              <w:bottom w:val="single" w:sz="8" w:color="auto"/>
              <w:right w:val="single" w:sz="8" w:color="auto"/>
            </w:tcBorders>
            <w:shd w:val="clear" w:color="auto" w:fill="2AD2C9"/>
          </w:tcPr>
          <w:p>
            <w:pPr>
              <w:ind w:left="120"/>
              <w:spacing w:after="0" w:line="146" w:lineRule="exact"/>
              <w:rPr>
                <w:sz w:val="20"/>
                <w:szCs w:val="20"/>
                <w:color w:val="auto"/>
              </w:rPr>
            </w:pPr>
            <w:r>
              <w:rPr>
                <w:rFonts w:ascii="Arial" w:cs="Arial" w:eastAsia="Arial" w:hAnsi="Arial"/>
                <w:sz w:val="13"/>
                <w:szCs w:val="13"/>
                <w:b w:val="1"/>
                <w:bCs w:val="1"/>
                <w:color w:val="FFFFFF"/>
              </w:rPr>
              <w:t>Dec 23</w:t>
            </w:r>
          </w:p>
        </w:tc>
        <w:tc>
          <w:tcPr>
            <w:tcW w:w="1340" w:type="dxa"/>
            <w:vAlign w:val="bottom"/>
            <w:tcBorders>
              <w:bottom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9"/>
              </w:rPr>
              <w:t>QoQ</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tcBorders>
              <w:left w:val="single" w:sz="8" w:color="auto"/>
            </w:tcBorders>
          </w:tcPr>
          <w:p>
            <w:pPr>
              <w:ind w:left="80"/>
              <w:spacing w:after="0" w:line="131" w:lineRule="exact"/>
              <w:rPr>
                <w:sz w:val="20"/>
                <w:szCs w:val="20"/>
                <w:color w:val="auto"/>
              </w:rPr>
            </w:pPr>
            <w:r>
              <w:rPr>
                <w:rFonts w:ascii="Arial" w:cs="Arial" w:eastAsia="Arial" w:hAnsi="Arial"/>
                <w:sz w:val="13"/>
                <w:szCs w:val="13"/>
                <w:color w:val="auto"/>
              </w:rPr>
              <w:t>Market risk capital requirement (5)</w:t>
            </w:r>
          </w:p>
        </w:tc>
        <w:tc>
          <w:tcPr>
            <w:tcW w:w="2220" w:type="dxa"/>
            <w:vAlign w:val="bottom"/>
            <w:tcBorders>
              <w:right w:val="single" w:sz="8" w:color="auto"/>
            </w:tcBorders>
          </w:tcPr>
          <w:p>
            <w:pPr>
              <w:spacing w:after="0"/>
              <w:rPr>
                <w:sz w:val="11"/>
                <w:szCs w:val="11"/>
                <w:color w:val="auto"/>
              </w:rPr>
            </w:pPr>
          </w:p>
        </w:tc>
        <w:tc>
          <w:tcPr>
            <w:tcW w:w="1680" w:type="dxa"/>
            <w:vAlign w:val="bottom"/>
          </w:tcPr>
          <w:p>
            <w:pPr>
              <w:jc w:val="right"/>
              <w:ind w:right="375"/>
              <w:spacing w:after="0" w:line="131" w:lineRule="exact"/>
              <w:rPr>
                <w:sz w:val="20"/>
                <w:szCs w:val="20"/>
                <w:color w:val="auto"/>
              </w:rPr>
            </w:pPr>
            <w:r>
              <w:rPr>
                <w:rFonts w:ascii="Arial" w:cs="Arial" w:eastAsia="Arial" w:hAnsi="Arial"/>
                <w:sz w:val="13"/>
                <w:szCs w:val="13"/>
                <w:color w:val="auto"/>
              </w:rPr>
              <w:t>257,673</w:t>
            </w:r>
          </w:p>
        </w:tc>
        <w:tc>
          <w:tcPr>
            <w:tcW w:w="1020" w:type="dxa"/>
            <w:vAlign w:val="bottom"/>
            <w:tcBorders>
              <w:right w:val="single" w:sz="8" w:color="auto"/>
            </w:tcBorders>
          </w:tcPr>
          <w:p>
            <w:pPr>
              <w:jc w:val="right"/>
              <w:ind w:right="55"/>
              <w:spacing w:after="0" w:line="131" w:lineRule="exact"/>
              <w:rPr>
                <w:sz w:val="20"/>
                <w:szCs w:val="20"/>
                <w:color w:val="auto"/>
              </w:rPr>
            </w:pPr>
            <w:r>
              <w:rPr>
                <w:rFonts w:ascii="Arial" w:cs="Arial" w:eastAsia="Arial" w:hAnsi="Arial"/>
                <w:sz w:val="13"/>
                <w:szCs w:val="13"/>
                <w:color w:val="auto"/>
              </w:rPr>
              <w:t>268,001</w:t>
            </w:r>
          </w:p>
        </w:tc>
        <w:tc>
          <w:tcPr>
            <w:tcW w:w="1340" w:type="dxa"/>
            <w:vAlign w:val="bottom"/>
          </w:tcPr>
          <w:p>
            <w:pPr>
              <w:jc w:val="center"/>
              <w:spacing w:after="0" w:line="131" w:lineRule="exact"/>
              <w:rPr>
                <w:sz w:val="20"/>
                <w:szCs w:val="20"/>
                <w:color w:val="auto"/>
              </w:rPr>
            </w:pPr>
            <w:r>
              <w:rPr>
                <w:rFonts w:ascii="Arial" w:cs="Arial" w:eastAsia="Arial" w:hAnsi="Arial"/>
                <w:sz w:val="13"/>
                <w:szCs w:val="13"/>
                <w:color w:val="auto"/>
                <w:w w:val="94"/>
              </w:rPr>
              <w:t>4.0%</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Credit risk capital requirement</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11,906,783</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12,098,443</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1.6%</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Operational risk capital requirement</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1,586,296</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1,636,597</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3.2%</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3"/>
                <w:szCs w:val="13"/>
                <w:color w:val="auto"/>
              </w:rPr>
              <w:t>Additional capital requirements</w:t>
            </w:r>
          </w:p>
        </w:tc>
        <w:tc>
          <w:tcPr>
            <w:tcW w:w="222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3,595,810</w:t>
            </w:r>
          </w:p>
        </w:tc>
        <w:tc>
          <w:tcPr>
            <w:tcW w:w="10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color w:val="auto"/>
              </w:rPr>
              <w:t>5,383,837</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49.7%</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Total</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17,346,562</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19,386,878</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7"/>
              </w:rPr>
              <w:t>11.8%</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720" w:type="dxa"/>
            <w:vAlign w:val="bottom"/>
          </w:tcPr>
          <w:p>
            <w:pPr>
              <w:spacing w:after="0"/>
              <w:rPr>
                <w:sz w:val="24"/>
                <w:szCs w:val="24"/>
                <w:color w:val="auto"/>
              </w:rPr>
            </w:pPr>
          </w:p>
        </w:tc>
        <w:tc>
          <w:tcPr>
            <w:tcW w:w="3900" w:type="dxa"/>
            <w:vAlign w:val="bottom"/>
            <w:gridSpan w:val="2"/>
          </w:tcPr>
          <w:p>
            <w:pPr>
              <w:jc w:val="right"/>
              <w:ind w:right="895"/>
              <w:spacing w:after="0"/>
              <w:rPr>
                <w:sz w:val="20"/>
                <w:szCs w:val="20"/>
                <w:color w:val="auto"/>
              </w:rPr>
            </w:pPr>
            <w:r>
              <w:rPr>
                <w:rFonts w:ascii="Arial" w:cs="Arial" w:eastAsia="Arial" w:hAnsi="Arial"/>
                <w:sz w:val="13"/>
                <w:szCs w:val="13"/>
                <w:b w:val="1"/>
                <w:bCs w:val="1"/>
                <w:color w:val="auto"/>
              </w:rPr>
              <w:t>Capital Ratios under Local Regulation</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Borders>
              <w:bottom w:val="single" w:sz="8" w:color="auto"/>
            </w:tcBorders>
          </w:tcPr>
          <w:p>
            <w:pPr>
              <w:spacing w:after="0"/>
              <w:rPr>
                <w:sz w:val="12"/>
                <w:szCs w:val="12"/>
                <w:color w:val="auto"/>
              </w:rPr>
            </w:pPr>
          </w:p>
        </w:tc>
        <w:tc>
          <w:tcPr>
            <w:tcW w:w="2220" w:type="dxa"/>
            <w:vAlign w:val="bottom"/>
            <w:tcBorders>
              <w:bottom w:val="single" w:sz="8" w:color="auto"/>
              <w:right w:val="single" w:sz="8" w:color="2AD2C9"/>
            </w:tcBorders>
          </w:tcPr>
          <w:p>
            <w:pPr>
              <w:spacing w:after="0"/>
              <w:rPr>
                <w:sz w:val="12"/>
                <w:szCs w:val="12"/>
                <w:color w:val="auto"/>
              </w:rPr>
            </w:pPr>
          </w:p>
        </w:tc>
        <w:tc>
          <w:tcPr>
            <w:tcW w:w="1680" w:type="dxa"/>
            <w:vAlign w:val="bottom"/>
            <w:tcBorders>
              <w:bottom w:val="single" w:sz="8" w:color="auto"/>
            </w:tcBorders>
            <w:shd w:val="clear" w:color="auto" w:fill="2AD2C9"/>
          </w:tcPr>
          <w:p>
            <w:pPr>
              <w:ind w:left="460"/>
              <w:spacing w:after="0" w:line="139" w:lineRule="exact"/>
              <w:rPr>
                <w:sz w:val="20"/>
                <w:szCs w:val="20"/>
                <w:color w:val="auto"/>
              </w:rPr>
            </w:pPr>
            <w:r>
              <w:rPr>
                <w:rFonts w:ascii="Arial" w:cs="Arial" w:eastAsia="Arial" w:hAnsi="Arial"/>
                <w:sz w:val="13"/>
                <w:szCs w:val="13"/>
                <w:b w:val="1"/>
                <w:bCs w:val="1"/>
                <w:color w:val="FFFFFF"/>
              </w:rPr>
              <w:t>Sep 23</w:t>
            </w:r>
          </w:p>
        </w:tc>
        <w:tc>
          <w:tcPr>
            <w:tcW w:w="1020" w:type="dxa"/>
            <w:vAlign w:val="bottom"/>
            <w:tcBorders>
              <w:bottom w:val="single" w:sz="8" w:color="auto"/>
              <w:right w:val="single" w:sz="8" w:color="2AD2C9"/>
            </w:tcBorders>
            <w:shd w:val="clear" w:color="auto" w:fill="2AD2C9"/>
          </w:tcPr>
          <w:p>
            <w:pPr>
              <w:ind w:left="120"/>
              <w:spacing w:after="0" w:line="139" w:lineRule="exact"/>
              <w:rPr>
                <w:sz w:val="20"/>
                <w:szCs w:val="20"/>
                <w:color w:val="auto"/>
              </w:rPr>
            </w:pPr>
            <w:r>
              <w:rPr>
                <w:rFonts w:ascii="Arial" w:cs="Arial" w:eastAsia="Arial" w:hAnsi="Arial"/>
                <w:sz w:val="13"/>
                <w:szCs w:val="13"/>
                <w:b w:val="1"/>
                <w:bCs w:val="1"/>
                <w:color w:val="FFFFFF"/>
              </w:rPr>
              <w:t>Dec 23</w:t>
            </w:r>
          </w:p>
        </w:tc>
        <w:tc>
          <w:tcPr>
            <w:tcW w:w="1340" w:type="dxa"/>
            <w:vAlign w:val="bottom"/>
            <w:tcBorders>
              <w:bottom w:val="single" w:sz="8" w:color="auto"/>
            </w:tcBorders>
            <w:shd w:val="clear" w:color="auto" w:fill="2AD2C9"/>
          </w:tcPr>
          <w:p>
            <w:pPr>
              <w:jc w:val="center"/>
              <w:spacing w:after="0" w:line="139" w:lineRule="exact"/>
              <w:rPr>
                <w:sz w:val="20"/>
                <w:szCs w:val="20"/>
                <w:color w:val="auto"/>
              </w:rPr>
            </w:pPr>
            <w:r>
              <w:rPr>
                <w:rFonts w:ascii="Arial" w:cs="Arial" w:eastAsia="Arial" w:hAnsi="Arial"/>
                <w:sz w:val="13"/>
                <w:szCs w:val="13"/>
                <w:b w:val="1"/>
                <w:bCs w:val="1"/>
                <w:color w:val="FFFFFF"/>
              </w:rPr>
              <w:t>Change</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tcPr>
          <w:p>
            <w:pPr>
              <w:ind w:left="80"/>
              <w:spacing w:after="0" w:line="131" w:lineRule="exact"/>
              <w:rPr>
                <w:sz w:val="20"/>
                <w:szCs w:val="20"/>
                <w:color w:val="auto"/>
              </w:rPr>
            </w:pPr>
            <w:r>
              <w:rPr>
                <w:rFonts w:ascii="Arial" w:cs="Arial" w:eastAsia="Arial" w:hAnsi="Arial"/>
                <w:sz w:val="13"/>
                <w:szCs w:val="13"/>
                <w:b w:val="1"/>
                <w:bCs w:val="1"/>
                <w:color w:val="auto"/>
              </w:rPr>
              <w:t>Common Equity Tier 1 ratio</w:t>
            </w:r>
          </w:p>
        </w:tc>
        <w:tc>
          <w:tcPr>
            <w:tcW w:w="3900" w:type="dxa"/>
            <w:vAlign w:val="bottom"/>
            <w:gridSpan w:val="2"/>
          </w:tcPr>
          <w:p>
            <w:pPr>
              <w:ind w:left="2660"/>
              <w:spacing w:after="0" w:line="131" w:lineRule="exact"/>
              <w:rPr>
                <w:sz w:val="20"/>
                <w:szCs w:val="20"/>
                <w:color w:val="auto"/>
              </w:rPr>
            </w:pPr>
            <w:r>
              <w:rPr>
                <w:rFonts w:ascii="Arial" w:cs="Arial" w:eastAsia="Arial" w:hAnsi="Arial"/>
                <w:sz w:val="13"/>
                <w:szCs w:val="13"/>
                <w:color w:val="auto"/>
              </w:rPr>
              <w:t>13.01%</w:t>
            </w:r>
          </w:p>
        </w:tc>
        <w:tc>
          <w:tcPr>
            <w:tcW w:w="1020" w:type="dxa"/>
            <w:vAlign w:val="bottom"/>
          </w:tcPr>
          <w:p>
            <w:pPr>
              <w:ind w:left="100"/>
              <w:spacing w:after="0" w:line="131" w:lineRule="exact"/>
              <w:rPr>
                <w:sz w:val="20"/>
                <w:szCs w:val="20"/>
                <w:color w:val="auto"/>
              </w:rPr>
            </w:pPr>
            <w:r>
              <w:rPr>
                <w:rFonts w:ascii="Arial" w:cs="Arial" w:eastAsia="Arial" w:hAnsi="Arial"/>
                <w:sz w:val="13"/>
                <w:szCs w:val="13"/>
                <w:color w:val="auto"/>
              </w:rPr>
              <w:t>13.09%</w:t>
            </w:r>
          </w:p>
        </w:tc>
        <w:tc>
          <w:tcPr>
            <w:tcW w:w="1340" w:type="dxa"/>
            <w:vAlign w:val="bottom"/>
          </w:tcPr>
          <w:p>
            <w:pPr>
              <w:jc w:val="center"/>
              <w:spacing w:after="0" w:line="131" w:lineRule="exact"/>
              <w:rPr>
                <w:sz w:val="20"/>
                <w:szCs w:val="20"/>
                <w:color w:val="auto"/>
              </w:rPr>
            </w:pPr>
            <w:r>
              <w:rPr>
                <w:rFonts w:ascii="Arial" w:cs="Arial" w:eastAsia="Arial" w:hAnsi="Arial"/>
                <w:sz w:val="13"/>
                <w:szCs w:val="13"/>
                <w:color w:val="auto"/>
              </w:rPr>
              <w:t>8 pbs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Pr>
          <w:p>
            <w:pPr>
              <w:ind w:left="80"/>
              <w:spacing w:after="0" w:line="146" w:lineRule="exact"/>
              <w:rPr>
                <w:sz w:val="20"/>
                <w:szCs w:val="20"/>
                <w:color w:val="auto"/>
              </w:rPr>
            </w:pPr>
            <w:r>
              <w:rPr>
                <w:rFonts w:ascii="Arial" w:cs="Arial" w:eastAsia="Arial" w:hAnsi="Arial"/>
                <w:sz w:val="13"/>
                <w:szCs w:val="13"/>
                <w:b w:val="1"/>
                <w:bCs w:val="1"/>
                <w:color w:val="auto"/>
              </w:rPr>
              <w:t>Tier 1 Capital ratio</w:t>
            </w:r>
          </w:p>
        </w:tc>
        <w:tc>
          <w:tcPr>
            <w:tcW w:w="3900" w:type="dxa"/>
            <w:vAlign w:val="bottom"/>
            <w:gridSpan w:val="2"/>
          </w:tcPr>
          <w:p>
            <w:pPr>
              <w:ind w:left="2660"/>
              <w:spacing w:after="0" w:line="146" w:lineRule="exact"/>
              <w:rPr>
                <w:sz w:val="20"/>
                <w:szCs w:val="20"/>
                <w:color w:val="auto"/>
              </w:rPr>
            </w:pPr>
            <w:r>
              <w:rPr>
                <w:rFonts w:ascii="Arial" w:cs="Arial" w:eastAsia="Arial" w:hAnsi="Arial"/>
                <w:sz w:val="13"/>
                <w:szCs w:val="13"/>
                <w:color w:val="auto"/>
              </w:rPr>
              <w:t>13.01%</w:t>
            </w:r>
          </w:p>
        </w:tc>
        <w:tc>
          <w:tcPr>
            <w:tcW w:w="1020" w:type="dxa"/>
            <w:vAlign w:val="bottom"/>
          </w:tcPr>
          <w:p>
            <w:pPr>
              <w:ind w:left="100"/>
              <w:spacing w:after="0" w:line="146" w:lineRule="exact"/>
              <w:rPr>
                <w:sz w:val="20"/>
                <w:szCs w:val="20"/>
                <w:color w:val="auto"/>
              </w:rPr>
            </w:pPr>
            <w:r>
              <w:rPr>
                <w:rFonts w:ascii="Arial" w:cs="Arial" w:eastAsia="Arial" w:hAnsi="Arial"/>
                <w:sz w:val="13"/>
                <w:szCs w:val="13"/>
                <w:color w:val="auto"/>
              </w:rPr>
              <w:t>13.09%</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rPr>
              <w:t>8 pbs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Regulatory Global Capital ratio</w:t>
            </w:r>
          </w:p>
        </w:tc>
        <w:tc>
          <w:tcPr>
            <w:tcW w:w="3900" w:type="dxa"/>
            <w:vAlign w:val="bottom"/>
            <w:gridSpan w:val="2"/>
          </w:tcPr>
          <w:p>
            <w:pPr>
              <w:ind w:left="2660"/>
              <w:spacing w:after="0"/>
              <w:rPr>
                <w:sz w:val="20"/>
                <w:szCs w:val="20"/>
                <w:color w:val="auto"/>
              </w:rPr>
            </w:pPr>
            <w:r>
              <w:rPr>
                <w:rFonts w:ascii="Arial" w:cs="Arial" w:eastAsia="Arial" w:hAnsi="Arial"/>
                <w:sz w:val="13"/>
                <w:szCs w:val="13"/>
                <w:color w:val="auto"/>
              </w:rPr>
              <w:t>17.51%</w:t>
            </w:r>
          </w:p>
        </w:tc>
        <w:tc>
          <w:tcPr>
            <w:tcW w:w="1020" w:type="dxa"/>
            <w:vAlign w:val="bottom"/>
          </w:tcPr>
          <w:p>
            <w:pPr>
              <w:ind w:left="100"/>
              <w:spacing w:after="0"/>
              <w:rPr>
                <w:sz w:val="20"/>
                <w:szCs w:val="20"/>
                <w:color w:val="auto"/>
              </w:rPr>
            </w:pPr>
            <w:r>
              <w:rPr>
                <w:rFonts w:ascii="Arial" w:cs="Arial" w:eastAsia="Arial" w:hAnsi="Arial"/>
                <w:sz w:val="13"/>
                <w:szCs w:val="13"/>
                <w:color w:val="auto"/>
              </w:rPr>
              <w:t>17.46%</w:t>
            </w:r>
          </w:p>
        </w:tc>
        <w:tc>
          <w:tcPr>
            <w:tcW w:w="1340" w:type="dxa"/>
            <w:vAlign w:val="bottom"/>
          </w:tcPr>
          <w:p>
            <w:pPr>
              <w:jc w:val="center"/>
              <w:spacing w:after="0"/>
              <w:rPr>
                <w:sz w:val="20"/>
                <w:szCs w:val="20"/>
                <w:color w:val="auto"/>
              </w:rPr>
            </w:pPr>
            <w:r>
              <w:rPr>
                <w:rFonts w:ascii="Arial" w:cs="Arial" w:eastAsia="Arial" w:hAnsi="Arial"/>
                <w:sz w:val="13"/>
                <w:szCs w:val="13"/>
                <w:color w:val="auto"/>
                <w:w w:val="99"/>
              </w:rPr>
              <w:t>-5 pbs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-390525</wp:posOffset>
            </wp:positionV>
            <wp:extent cx="5713095" cy="394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13095" cy="394970"/>
                    </a:xfrm>
                    <a:prstGeom prst="rect">
                      <a:avLst/>
                    </a:prstGeom>
                    <a:noFill/>
                  </pic:spPr>
                </pic:pic>
              </a:graphicData>
            </a:graphic>
          </wp:anchor>
        </w:drawing>
      </w:r>
    </w:p>
    <w:p>
      <w:pPr>
        <w:ind w:left="1280" w:hanging="155"/>
        <w:spacing w:after="0" w:line="231" w:lineRule="auto"/>
        <w:tabs>
          <w:tab w:leader="none" w:pos="12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Up to 1.25% of total risk-weighted assets.</w:t>
      </w:r>
    </w:p>
    <w:p>
      <w:pPr>
        <w:ind w:left="1120" w:right="1140" w:firstLine="5"/>
        <w:spacing w:after="0" w:line="231" w:lineRule="auto"/>
        <w:tabs>
          <w:tab w:leader="none" w:pos="1285" w:val="left"/>
        </w:tabs>
        <w:numPr>
          <w:ilvl w:val="0"/>
          <w:numId w:val="56"/>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1280" w:hanging="155"/>
        <w:spacing w:after="0" w:line="231" w:lineRule="auto"/>
        <w:tabs>
          <w:tab w:leader="none" w:pos="12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Regulatory Tier 1 Capital = Common Equity Tier 1 + Tier 1 Subordinated Debt (Perpetual).</w:t>
      </w:r>
    </w:p>
    <w:p>
      <w:pPr>
        <w:ind w:left="1280" w:hanging="155"/>
        <w:spacing w:after="0"/>
        <w:tabs>
          <w:tab w:leader="none" w:pos="12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Regulatory Tier 2 Capital = Subordinated Debt + Loan loss reserves.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65" w:name="page66"/>
    <w:bookmarkEnd w:id="65"/>
    <w:p>
      <w:pPr>
        <w:jc w:val="right"/>
        <w:ind w:right="420"/>
        <w:spacing w:after="0"/>
        <w:tabs>
          <w:tab w:leader="none" w:pos="8300" w:val="left"/>
          <w:tab w:leader="none" w:pos="37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Regulatory Capital and Capital Adequacy Ratios at Mibanco</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 thousands, IFRS)</w:t>
      </w:r>
    </w:p>
    <w:p>
      <w:pPr>
        <w:spacing w:after="0" w:line="163" w:lineRule="exact"/>
        <w:rPr>
          <w:sz w:val="20"/>
          <w:szCs w:val="20"/>
          <w:color w:val="auto"/>
        </w:rPr>
      </w:pPr>
    </w:p>
    <w:tbl>
      <w:tblPr>
        <w:tblLayout w:type="fixed"/>
        <w:tblInd w:w="1150" w:type="dxa"/>
        <w:tblCellMar>
          <w:top w:w="0" w:type="dxa"/>
          <w:left w:w="0" w:type="dxa"/>
          <w:bottom w:w="0" w:type="dxa"/>
          <w:right w:w="0" w:type="dxa"/>
        </w:tblCellMar>
      </w:tblPr>
      <w:tr>
        <w:trPr>
          <w:trHeight w:val="158"/>
        </w:trPr>
        <w:tc>
          <w:tcPr>
            <w:tcW w:w="2720" w:type="dxa"/>
            <w:vAlign w:val="bottom"/>
            <w:tcBorders>
              <w:top w:val="single" w:sz="8" w:color="auto"/>
              <w:left w:val="single" w:sz="8" w:color="auto"/>
            </w:tcBorders>
            <w:shd w:val="clear" w:color="auto" w:fill="2AD2C9"/>
          </w:tcPr>
          <w:p>
            <w:pPr>
              <w:ind w:left="80"/>
              <w:spacing w:after="0"/>
              <w:rPr>
                <w:sz w:val="20"/>
                <w:szCs w:val="20"/>
                <w:color w:val="auto"/>
              </w:rPr>
            </w:pPr>
            <w:r>
              <w:rPr>
                <w:rFonts w:ascii="Arial" w:cs="Arial" w:eastAsia="Arial" w:hAnsi="Arial"/>
                <w:sz w:val="13"/>
                <w:szCs w:val="13"/>
                <w:b w:val="1"/>
                <w:bCs w:val="1"/>
                <w:color w:val="FFFFFF"/>
              </w:rPr>
              <w:t>Regulatory Capital</w:t>
            </w:r>
          </w:p>
        </w:tc>
        <w:tc>
          <w:tcPr>
            <w:tcW w:w="2220" w:type="dxa"/>
            <w:vAlign w:val="bottom"/>
            <w:tcBorders>
              <w:top w:val="single" w:sz="8" w:color="auto"/>
              <w:right w:val="single" w:sz="8" w:color="auto"/>
            </w:tcBorders>
            <w:shd w:val="clear" w:color="auto" w:fill="2AD2C9"/>
          </w:tcPr>
          <w:p>
            <w:pPr>
              <w:spacing w:after="0"/>
              <w:rPr>
                <w:sz w:val="13"/>
                <w:szCs w:val="13"/>
                <w:color w:val="auto"/>
              </w:rPr>
            </w:pPr>
          </w:p>
        </w:tc>
        <w:tc>
          <w:tcPr>
            <w:tcW w:w="1680" w:type="dxa"/>
            <w:vAlign w:val="bottom"/>
            <w:tcBorders>
              <w:top w:val="single" w:sz="8" w:color="auto"/>
            </w:tcBorders>
            <w:shd w:val="clear" w:color="auto" w:fill="2AD2C9"/>
          </w:tcPr>
          <w:p>
            <w:pPr>
              <w:jc w:val="right"/>
              <w:ind w:right="35"/>
              <w:spacing w:after="0"/>
              <w:rPr>
                <w:sz w:val="20"/>
                <w:szCs w:val="20"/>
                <w:color w:val="auto"/>
              </w:rPr>
            </w:pPr>
            <w:r>
              <w:rPr>
                <w:rFonts w:ascii="Arial" w:cs="Arial" w:eastAsia="Arial" w:hAnsi="Arial"/>
                <w:sz w:val="13"/>
                <w:szCs w:val="13"/>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3"/>
                <w:szCs w:val="13"/>
                <w:color w:val="auto"/>
              </w:rPr>
            </w:pPr>
          </w:p>
        </w:tc>
        <w:tc>
          <w:tcPr>
            <w:tcW w:w="13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8"/>
              </w:rPr>
              <w:t>% change</w:t>
            </w:r>
          </w:p>
        </w:tc>
        <w:tc>
          <w:tcPr>
            <w:tcW w:w="20" w:type="dxa"/>
            <w:vAlign w:val="bottom"/>
            <w:tcBorders>
              <w:top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bottom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color w:val="FFFFFF"/>
              </w:rPr>
              <w:t>(S/ thousand)</w:t>
            </w:r>
          </w:p>
        </w:tc>
        <w:tc>
          <w:tcPr>
            <w:tcW w:w="2220" w:type="dxa"/>
            <w:vAlign w:val="bottom"/>
            <w:tcBorders>
              <w:bottom w:val="single" w:sz="8" w:color="auto"/>
              <w:right w:val="single" w:sz="8" w:color="auto"/>
            </w:tcBorders>
            <w:shd w:val="clear" w:color="auto" w:fill="2AD2C9"/>
          </w:tcPr>
          <w:p>
            <w:pPr>
              <w:spacing w:after="0"/>
              <w:rPr>
                <w:sz w:val="12"/>
                <w:szCs w:val="12"/>
                <w:color w:val="auto"/>
              </w:rPr>
            </w:pPr>
          </w:p>
        </w:tc>
        <w:tc>
          <w:tcPr>
            <w:tcW w:w="1680" w:type="dxa"/>
            <w:vAlign w:val="bottom"/>
            <w:tcBorders>
              <w:bottom w:val="single" w:sz="8" w:color="auto"/>
            </w:tcBorders>
            <w:shd w:val="clear" w:color="auto" w:fill="2AD2C9"/>
          </w:tcPr>
          <w:p>
            <w:pPr>
              <w:ind w:left="460"/>
              <w:spacing w:after="0" w:line="146" w:lineRule="exact"/>
              <w:rPr>
                <w:sz w:val="20"/>
                <w:szCs w:val="20"/>
                <w:color w:val="auto"/>
              </w:rPr>
            </w:pPr>
            <w:r>
              <w:rPr>
                <w:rFonts w:ascii="Arial" w:cs="Arial" w:eastAsia="Arial" w:hAnsi="Arial"/>
                <w:sz w:val="13"/>
                <w:szCs w:val="13"/>
                <w:b w:val="1"/>
                <w:bCs w:val="1"/>
                <w:color w:val="FFFFFF"/>
              </w:rPr>
              <w:t>Sep 23</w:t>
            </w:r>
          </w:p>
        </w:tc>
        <w:tc>
          <w:tcPr>
            <w:tcW w:w="1020" w:type="dxa"/>
            <w:vAlign w:val="bottom"/>
            <w:tcBorders>
              <w:bottom w:val="single" w:sz="8" w:color="auto"/>
              <w:right w:val="single" w:sz="8" w:color="auto"/>
            </w:tcBorders>
            <w:shd w:val="clear" w:color="auto" w:fill="2AD2C9"/>
          </w:tcPr>
          <w:p>
            <w:pPr>
              <w:ind w:left="120"/>
              <w:spacing w:after="0" w:line="146" w:lineRule="exact"/>
              <w:rPr>
                <w:sz w:val="20"/>
                <w:szCs w:val="20"/>
                <w:color w:val="auto"/>
              </w:rPr>
            </w:pPr>
            <w:r>
              <w:rPr>
                <w:rFonts w:ascii="Arial" w:cs="Arial" w:eastAsia="Arial" w:hAnsi="Arial"/>
                <w:sz w:val="13"/>
                <w:szCs w:val="13"/>
                <w:b w:val="1"/>
                <w:bCs w:val="1"/>
                <w:color w:val="FFFFFF"/>
              </w:rPr>
              <w:t>Dec 23</w:t>
            </w:r>
          </w:p>
        </w:tc>
        <w:tc>
          <w:tcPr>
            <w:tcW w:w="1340" w:type="dxa"/>
            <w:vAlign w:val="bottom"/>
            <w:tcBorders>
              <w:bottom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9"/>
              </w:rPr>
              <w:t>QoQ</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tcBorders>
              <w:left w:val="single" w:sz="8" w:color="auto"/>
            </w:tcBorders>
          </w:tcPr>
          <w:p>
            <w:pPr>
              <w:ind w:left="80"/>
              <w:spacing w:after="0" w:line="131" w:lineRule="exact"/>
              <w:rPr>
                <w:sz w:val="20"/>
                <w:szCs w:val="20"/>
                <w:color w:val="auto"/>
              </w:rPr>
            </w:pPr>
            <w:r>
              <w:rPr>
                <w:rFonts w:ascii="Arial" w:cs="Arial" w:eastAsia="Arial" w:hAnsi="Arial"/>
                <w:sz w:val="13"/>
                <w:szCs w:val="13"/>
                <w:color w:val="auto"/>
              </w:rPr>
              <w:t>Capital Stock</w:t>
            </w:r>
          </w:p>
        </w:tc>
        <w:tc>
          <w:tcPr>
            <w:tcW w:w="2220" w:type="dxa"/>
            <w:vAlign w:val="bottom"/>
            <w:tcBorders>
              <w:right w:val="single" w:sz="8" w:color="auto"/>
            </w:tcBorders>
          </w:tcPr>
          <w:p>
            <w:pPr>
              <w:spacing w:after="0"/>
              <w:rPr>
                <w:sz w:val="11"/>
                <w:szCs w:val="11"/>
                <w:color w:val="auto"/>
              </w:rPr>
            </w:pPr>
          </w:p>
        </w:tc>
        <w:tc>
          <w:tcPr>
            <w:tcW w:w="1680" w:type="dxa"/>
            <w:vAlign w:val="bottom"/>
          </w:tcPr>
          <w:p>
            <w:pPr>
              <w:jc w:val="right"/>
              <w:ind w:right="375"/>
              <w:spacing w:after="0" w:line="131" w:lineRule="exact"/>
              <w:rPr>
                <w:sz w:val="20"/>
                <w:szCs w:val="20"/>
                <w:color w:val="auto"/>
              </w:rPr>
            </w:pPr>
            <w:r>
              <w:rPr>
                <w:rFonts w:ascii="Arial" w:cs="Arial" w:eastAsia="Arial" w:hAnsi="Arial"/>
                <w:sz w:val="13"/>
                <w:szCs w:val="13"/>
                <w:color w:val="auto"/>
              </w:rPr>
              <w:t>1,840,606</w:t>
            </w:r>
          </w:p>
        </w:tc>
        <w:tc>
          <w:tcPr>
            <w:tcW w:w="1020" w:type="dxa"/>
            <w:vAlign w:val="bottom"/>
            <w:tcBorders>
              <w:right w:val="single" w:sz="8" w:color="auto"/>
            </w:tcBorders>
          </w:tcPr>
          <w:p>
            <w:pPr>
              <w:jc w:val="right"/>
              <w:ind w:right="55"/>
              <w:spacing w:after="0" w:line="131" w:lineRule="exact"/>
              <w:rPr>
                <w:sz w:val="20"/>
                <w:szCs w:val="20"/>
                <w:color w:val="auto"/>
              </w:rPr>
            </w:pPr>
            <w:r>
              <w:rPr>
                <w:rFonts w:ascii="Arial" w:cs="Arial" w:eastAsia="Arial" w:hAnsi="Arial"/>
                <w:sz w:val="13"/>
                <w:szCs w:val="13"/>
                <w:color w:val="auto"/>
              </w:rPr>
              <w:t>1,840,606</w:t>
            </w:r>
          </w:p>
        </w:tc>
        <w:tc>
          <w:tcPr>
            <w:tcW w:w="1340" w:type="dxa"/>
            <w:vAlign w:val="bottom"/>
          </w:tcPr>
          <w:p>
            <w:pPr>
              <w:jc w:val="center"/>
              <w:spacing w:after="0" w:line="131" w:lineRule="exact"/>
              <w:rPr>
                <w:sz w:val="20"/>
                <w:szCs w:val="20"/>
                <w:color w:val="auto"/>
              </w:rPr>
            </w:pPr>
            <w:r>
              <w:rPr>
                <w:rFonts w:ascii="Arial" w:cs="Arial" w:eastAsia="Arial" w:hAnsi="Arial"/>
                <w:sz w:val="13"/>
                <w:szCs w:val="13"/>
                <w:color w:val="auto"/>
                <w:w w:val="94"/>
              </w:rPr>
              <w:t>0.0%</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Reserves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308,056</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308,056</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0.0%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Accumulated earnings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669,894</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717,919</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7.2%</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Loan loss reserves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163,158</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157,368</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-3.5%</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Perpetual subordinated debt</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rPr>
              <w:t>n.a</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Subordinated debt</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173,000</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173,000</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0.0%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Unrealidez Profit or Losses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(13,584)</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(1,695)</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7"/>
              </w:rPr>
              <w:t>-87.5%</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40" w:type="dxa"/>
            <w:vAlign w:val="bottom"/>
            <w:tcBorders>
              <w:left w:val="single" w:sz="8" w:color="auto"/>
              <w:right w:val="single" w:sz="8" w:color="auto"/>
            </w:tcBorders>
            <w:gridSpan w:val="2"/>
          </w:tcPr>
          <w:p>
            <w:pPr>
              <w:ind w:left="80"/>
              <w:spacing w:after="0" w:line="146" w:lineRule="exact"/>
              <w:rPr>
                <w:sz w:val="20"/>
                <w:szCs w:val="20"/>
                <w:color w:val="auto"/>
              </w:rPr>
            </w:pPr>
            <w:r>
              <w:rPr>
                <w:rFonts w:ascii="Arial" w:cs="Arial" w:eastAsia="Arial" w:hAnsi="Arial"/>
                <w:sz w:val="13"/>
                <w:szCs w:val="13"/>
                <w:color w:val="auto"/>
              </w:rPr>
              <w:t>Investment in subsidiaries and others, net of unrealized profit and net income in</w:t>
            </w:r>
          </w:p>
        </w:tc>
        <w:tc>
          <w:tcPr>
            <w:tcW w:w="16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w w:val="94"/>
              </w:rPr>
              <w:t>2.2%</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720" w:type="dxa"/>
            <w:vAlign w:val="bottom"/>
            <w:tcBorders>
              <w:left w:val="single" w:sz="8" w:color="auto"/>
            </w:tcBorders>
            <w:vMerge w:val="restart"/>
          </w:tcPr>
          <w:p>
            <w:pPr>
              <w:ind w:left="80"/>
              <w:spacing w:after="0" w:line="146" w:lineRule="exact"/>
              <w:rPr>
                <w:sz w:val="20"/>
                <w:szCs w:val="20"/>
                <w:color w:val="auto"/>
              </w:rPr>
            </w:pPr>
            <w:r>
              <w:rPr>
                <w:rFonts w:ascii="Arial" w:cs="Arial" w:eastAsia="Arial" w:hAnsi="Arial"/>
                <w:sz w:val="13"/>
                <w:szCs w:val="13"/>
                <w:color w:val="auto"/>
              </w:rPr>
              <w:t>subsidiaries</w:t>
            </w:r>
          </w:p>
        </w:tc>
        <w:tc>
          <w:tcPr>
            <w:tcW w:w="2220" w:type="dxa"/>
            <w:vAlign w:val="bottom"/>
            <w:tcBorders>
              <w:right w:val="single" w:sz="8" w:color="auto"/>
            </w:tcBorders>
          </w:tcPr>
          <w:p>
            <w:pPr>
              <w:spacing w:after="0"/>
              <w:rPr>
                <w:sz w:val="8"/>
                <w:szCs w:val="8"/>
                <w:color w:val="auto"/>
              </w:rPr>
            </w:pPr>
          </w:p>
        </w:tc>
        <w:tc>
          <w:tcPr>
            <w:tcW w:w="1680" w:type="dxa"/>
            <w:vAlign w:val="bottom"/>
            <w:vMerge w:val="restart"/>
          </w:tcPr>
          <w:p>
            <w:pPr>
              <w:jc w:val="right"/>
              <w:ind w:right="375"/>
              <w:spacing w:after="0" w:line="146" w:lineRule="exact"/>
              <w:rPr>
                <w:sz w:val="20"/>
                <w:szCs w:val="20"/>
                <w:color w:val="auto"/>
              </w:rPr>
            </w:pPr>
            <w:r>
              <w:rPr>
                <w:rFonts w:ascii="Arial" w:cs="Arial" w:eastAsia="Arial" w:hAnsi="Arial"/>
                <w:sz w:val="13"/>
                <w:szCs w:val="13"/>
                <w:color w:val="auto"/>
              </w:rPr>
              <w:t>(276)</w:t>
            </w:r>
          </w:p>
        </w:tc>
        <w:tc>
          <w:tcPr>
            <w:tcW w:w="1020" w:type="dxa"/>
            <w:vAlign w:val="bottom"/>
            <w:tcBorders>
              <w:right w:val="single" w:sz="8" w:color="auto"/>
            </w:tcBorders>
            <w:vMerge w:val="restart"/>
          </w:tcPr>
          <w:p>
            <w:pPr>
              <w:jc w:val="right"/>
              <w:ind w:right="55"/>
              <w:spacing w:after="0" w:line="146" w:lineRule="exact"/>
              <w:rPr>
                <w:sz w:val="20"/>
                <w:szCs w:val="20"/>
                <w:color w:val="auto"/>
              </w:rPr>
            </w:pPr>
            <w:r>
              <w:rPr>
                <w:rFonts w:ascii="Arial" w:cs="Arial" w:eastAsia="Arial" w:hAnsi="Arial"/>
                <w:sz w:val="13"/>
                <w:szCs w:val="13"/>
                <w:color w:val="auto"/>
              </w:rPr>
              <w:t>(282)</w:t>
            </w:r>
          </w:p>
        </w:tc>
        <w:tc>
          <w:tcPr>
            <w:tcW w:w="13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720" w:type="dxa"/>
            <w:vAlign w:val="bottom"/>
            <w:tcBorders>
              <w:left w:val="single" w:sz="8" w:color="auto"/>
            </w:tcBorders>
            <w:vMerge w:val="continue"/>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1680" w:type="dxa"/>
            <w:vAlign w:val="bottom"/>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Intangibles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(140,573)</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(156,884)</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7"/>
              </w:rPr>
              <w:t>11.6%</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3"/>
                <w:szCs w:val="13"/>
                <w:color w:val="auto"/>
              </w:rPr>
              <w:t>Goodwill</w:t>
            </w:r>
          </w:p>
        </w:tc>
        <w:tc>
          <w:tcPr>
            <w:tcW w:w="222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(139,180)</w:t>
            </w:r>
          </w:p>
        </w:tc>
        <w:tc>
          <w:tcPr>
            <w:tcW w:w="10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color w:val="auto"/>
              </w:rPr>
              <w:t>(139,180)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Total Regulatory Capital</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2,861,101</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2,898,907</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1.3%</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Tier Common Equity (2)</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2,524,943</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2,568,539</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1.7%</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Regulatory Tier 1 Capital (3)</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2,524,943</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2,568,539</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1.7%</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Regulatory Tier 2 Capital (4)</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336,158</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330,368</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-1.7%</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tcBorders>
            <w:shd w:val="clear" w:color="auto" w:fill="2AD2C9"/>
          </w:tcPr>
          <w:p>
            <w:pPr>
              <w:ind w:left="80"/>
              <w:spacing w:after="0" w:line="139" w:lineRule="exact"/>
              <w:rPr>
                <w:sz w:val="20"/>
                <w:szCs w:val="20"/>
                <w:color w:val="auto"/>
              </w:rPr>
            </w:pPr>
            <w:r>
              <w:rPr>
                <w:rFonts w:ascii="Arial" w:cs="Arial" w:eastAsia="Arial" w:hAnsi="Arial"/>
                <w:sz w:val="13"/>
                <w:szCs w:val="13"/>
                <w:b w:val="1"/>
                <w:bCs w:val="1"/>
                <w:color w:val="FFFFFF"/>
              </w:rPr>
              <w:t>Total risk-weighted assets</w:t>
            </w:r>
          </w:p>
        </w:tc>
        <w:tc>
          <w:tcPr>
            <w:tcW w:w="2220" w:type="dxa"/>
            <w:vAlign w:val="bottom"/>
            <w:tcBorders>
              <w:right w:val="single" w:sz="8" w:color="auto"/>
            </w:tcBorders>
            <w:shd w:val="clear" w:color="auto" w:fill="2AD2C9"/>
          </w:tcPr>
          <w:p>
            <w:pPr>
              <w:spacing w:after="0"/>
              <w:rPr>
                <w:sz w:val="12"/>
                <w:szCs w:val="12"/>
                <w:color w:val="auto"/>
              </w:rPr>
            </w:pPr>
          </w:p>
        </w:tc>
        <w:tc>
          <w:tcPr>
            <w:tcW w:w="1680" w:type="dxa"/>
            <w:vAlign w:val="bottom"/>
            <w:shd w:val="clear" w:color="auto" w:fill="2AD2C9"/>
          </w:tcPr>
          <w:p>
            <w:pPr>
              <w:jc w:val="right"/>
              <w:ind w:right="35"/>
              <w:spacing w:after="0" w:line="139" w:lineRule="exact"/>
              <w:rPr>
                <w:sz w:val="20"/>
                <w:szCs w:val="20"/>
                <w:color w:val="auto"/>
              </w:rPr>
            </w:pPr>
            <w:r>
              <w:rPr>
                <w:rFonts w:ascii="Arial" w:cs="Arial" w:eastAsia="Arial" w:hAnsi="Arial"/>
                <w:sz w:val="13"/>
                <w:szCs w:val="13"/>
                <w:b w:val="1"/>
                <w:bCs w:val="1"/>
                <w:color w:val="FFFFFF"/>
              </w:rPr>
              <w:t>Quarter</w:t>
            </w:r>
          </w:p>
        </w:tc>
        <w:tc>
          <w:tcPr>
            <w:tcW w:w="1020" w:type="dxa"/>
            <w:vAlign w:val="bottom"/>
            <w:tcBorders>
              <w:right w:val="single" w:sz="8" w:color="auto"/>
            </w:tcBorders>
            <w:shd w:val="clear" w:color="auto" w:fill="2AD2C9"/>
          </w:tcPr>
          <w:p>
            <w:pPr>
              <w:spacing w:after="0"/>
              <w:rPr>
                <w:sz w:val="12"/>
                <w:szCs w:val="12"/>
                <w:color w:val="auto"/>
              </w:rPr>
            </w:pPr>
          </w:p>
        </w:tc>
        <w:tc>
          <w:tcPr>
            <w:tcW w:w="1340" w:type="dxa"/>
            <w:vAlign w:val="bottom"/>
            <w:shd w:val="clear" w:color="auto" w:fill="2AD2C9"/>
          </w:tcPr>
          <w:p>
            <w:pPr>
              <w:jc w:val="center"/>
              <w:spacing w:after="0" w:line="139" w:lineRule="exact"/>
              <w:rPr>
                <w:sz w:val="20"/>
                <w:szCs w:val="20"/>
                <w:color w:val="auto"/>
              </w:rPr>
            </w:pPr>
            <w:r>
              <w:rPr>
                <w:rFonts w:ascii="Arial" w:cs="Arial" w:eastAsia="Arial" w:hAnsi="Arial"/>
                <w:sz w:val="13"/>
                <w:szCs w:val="13"/>
                <w:b w:val="1"/>
                <w:bCs w:val="1"/>
                <w:color w:val="FFFFFF"/>
                <w:w w:val="98"/>
              </w:rPr>
              <w:t>% 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bottom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color w:val="FFFFFF"/>
              </w:rPr>
              <w:t>(S/ thousand)</w:t>
            </w:r>
          </w:p>
        </w:tc>
        <w:tc>
          <w:tcPr>
            <w:tcW w:w="2220" w:type="dxa"/>
            <w:vAlign w:val="bottom"/>
            <w:tcBorders>
              <w:bottom w:val="single" w:sz="8" w:color="auto"/>
              <w:right w:val="single" w:sz="8" w:color="auto"/>
            </w:tcBorders>
            <w:shd w:val="clear" w:color="auto" w:fill="2AD2C9"/>
          </w:tcPr>
          <w:p>
            <w:pPr>
              <w:spacing w:after="0"/>
              <w:rPr>
                <w:sz w:val="12"/>
                <w:szCs w:val="12"/>
                <w:color w:val="auto"/>
              </w:rPr>
            </w:pPr>
          </w:p>
        </w:tc>
        <w:tc>
          <w:tcPr>
            <w:tcW w:w="1680" w:type="dxa"/>
            <w:vAlign w:val="bottom"/>
            <w:tcBorders>
              <w:bottom w:val="single" w:sz="8" w:color="auto"/>
            </w:tcBorders>
            <w:shd w:val="clear" w:color="auto" w:fill="2AD2C9"/>
          </w:tcPr>
          <w:p>
            <w:pPr>
              <w:ind w:left="460"/>
              <w:spacing w:after="0" w:line="146" w:lineRule="exact"/>
              <w:rPr>
                <w:sz w:val="20"/>
                <w:szCs w:val="20"/>
                <w:color w:val="auto"/>
              </w:rPr>
            </w:pPr>
            <w:r>
              <w:rPr>
                <w:rFonts w:ascii="Arial" w:cs="Arial" w:eastAsia="Arial" w:hAnsi="Arial"/>
                <w:sz w:val="13"/>
                <w:szCs w:val="13"/>
                <w:b w:val="1"/>
                <w:bCs w:val="1"/>
                <w:color w:val="FFFFFF"/>
              </w:rPr>
              <w:t>Sep 23</w:t>
            </w:r>
          </w:p>
        </w:tc>
        <w:tc>
          <w:tcPr>
            <w:tcW w:w="1020" w:type="dxa"/>
            <w:vAlign w:val="bottom"/>
            <w:tcBorders>
              <w:bottom w:val="single" w:sz="8" w:color="auto"/>
              <w:right w:val="single" w:sz="8" w:color="auto"/>
            </w:tcBorders>
            <w:shd w:val="clear" w:color="auto" w:fill="2AD2C9"/>
          </w:tcPr>
          <w:p>
            <w:pPr>
              <w:ind w:left="120"/>
              <w:spacing w:after="0" w:line="146" w:lineRule="exact"/>
              <w:rPr>
                <w:sz w:val="20"/>
                <w:szCs w:val="20"/>
                <w:color w:val="auto"/>
              </w:rPr>
            </w:pPr>
            <w:r>
              <w:rPr>
                <w:rFonts w:ascii="Arial" w:cs="Arial" w:eastAsia="Arial" w:hAnsi="Arial"/>
                <w:sz w:val="13"/>
                <w:szCs w:val="13"/>
                <w:b w:val="1"/>
                <w:bCs w:val="1"/>
                <w:color w:val="FFFFFF"/>
              </w:rPr>
              <w:t>Dec 23</w:t>
            </w:r>
          </w:p>
        </w:tc>
        <w:tc>
          <w:tcPr>
            <w:tcW w:w="1340" w:type="dxa"/>
            <w:vAlign w:val="bottom"/>
            <w:tcBorders>
              <w:bottom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9"/>
              </w:rPr>
              <w:t>QoQ</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tcBorders>
              <w:left w:val="single" w:sz="8" w:color="auto"/>
            </w:tcBorders>
          </w:tcPr>
          <w:p>
            <w:pPr>
              <w:ind w:left="80"/>
              <w:spacing w:after="0" w:line="131" w:lineRule="exact"/>
              <w:rPr>
                <w:sz w:val="20"/>
                <w:szCs w:val="20"/>
                <w:color w:val="auto"/>
              </w:rPr>
            </w:pPr>
            <w:r>
              <w:rPr>
                <w:rFonts w:ascii="Arial" w:cs="Arial" w:eastAsia="Arial" w:hAnsi="Arial"/>
                <w:sz w:val="13"/>
                <w:szCs w:val="13"/>
                <w:color w:val="auto"/>
              </w:rPr>
              <w:t>Market risk-weighted assets</w:t>
            </w:r>
          </w:p>
        </w:tc>
        <w:tc>
          <w:tcPr>
            <w:tcW w:w="2220" w:type="dxa"/>
            <w:vAlign w:val="bottom"/>
            <w:tcBorders>
              <w:right w:val="single" w:sz="8" w:color="auto"/>
            </w:tcBorders>
          </w:tcPr>
          <w:p>
            <w:pPr>
              <w:spacing w:after="0"/>
              <w:rPr>
                <w:sz w:val="11"/>
                <w:szCs w:val="11"/>
                <w:color w:val="auto"/>
              </w:rPr>
            </w:pPr>
          </w:p>
        </w:tc>
        <w:tc>
          <w:tcPr>
            <w:tcW w:w="1680" w:type="dxa"/>
            <w:vAlign w:val="bottom"/>
          </w:tcPr>
          <w:p>
            <w:pPr>
              <w:jc w:val="right"/>
              <w:ind w:right="375"/>
              <w:spacing w:after="0" w:line="131" w:lineRule="exact"/>
              <w:rPr>
                <w:sz w:val="20"/>
                <w:szCs w:val="20"/>
                <w:color w:val="auto"/>
              </w:rPr>
            </w:pPr>
            <w:r>
              <w:rPr>
                <w:rFonts w:ascii="Arial" w:cs="Arial" w:eastAsia="Arial" w:hAnsi="Arial"/>
                <w:sz w:val="13"/>
                <w:szCs w:val="13"/>
                <w:color w:val="auto"/>
              </w:rPr>
              <w:t>163,853</w:t>
            </w:r>
          </w:p>
        </w:tc>
        <w:tc>
          <w:tcPr>
            <w:tcW w:w="1020" w:type="dxa"/>
            <w:vAlign w:val="bottom"/>
            <w:tcBorders>
              <w:right w:val="single" w:sz="8" w:color="auto"/>
            </w:tcBorders>
          </w:tcPr>
          <w:p>
            <w:pPr>
              <w:jc w:val="right"/>
              <w:ind w:right="55"/>
              <w:spacing w:after="0" w:line="131" w:lineRule="exact"/>
              <w:rPr>
                <w:sz w:val="20"/>
                <w:szCs w:val="20"/>
                <w:color w:val="auto"/>
              </w:rPr>
            </w:pPr>
            <w:r>
              <w:rPr>
                <w:rFonts w:ascii="Arial" w:cs="Arial" w:eastAsia="Arial" w:hAnsi="Arial"/>
                <w:sz w:val="13"/>
                <w:szCs w:val="13"/>
                <w:color w:val="auto"/>
              </w:rPr>
              <w:t>220,327</w:t>
            </w:r>
          </w:p>
        </w:tc>
        <w:tc>
          <w:tcPr>
            <w:tcW w:w="1340" w:type="dxa"/>
            <w:vAlign w:val="bottom"/>
          </w:tcPr>
          <w:p>
            <w:pPr>
              <w:jc w:val="center"/>
              <w:spacing w:after="0" w:line="131" w:lineRule="exact"/>
              <w:rPr>
                <w:sz w:val="20"/>
                <w:szCs w:val="20"/>
                <w:color w:val="auto"/>
              </w:rPr>
            </w:pPr>
            <w:r>
              <w:rPr>
                <w:rFonts w:ascii="Arial" w:cs="Arial" w:eastAsia="Arial" w:hAnsi="Arial"/>
                <w:sz w:val="13"/>
                <w:szCs w:val="13"/>
                <w:color w:val="auto"/>
                <w:w w:val="97"/>
              </w:rPr>
              <w:t>34.5%</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Credit risk-weighted assets</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12,799,766</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12,349,400</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-3.5%</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3"/>
                <w:szCs w:val="13"/>
                <w:color w:val="auto"/>
              </w:rPr>
              <w:t>Operational risk-weighted assets</w:t>
            </w:r>
          </w:p>
        </w:tc>
        <w:tc>
          <w:tcPr>
            <w:tcW w:w="222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1,522,681</w:t>
            </w:r>
          </w:p>
        </w:tc>
        <w:tc>
          <w:tcPr>
            <w:tcW w:w="10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color w:val="auto"/>
              </w:rPr>
              <w:t>1,527,140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0.3%</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Total</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14,486,300</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14,096,867</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-2.7%</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tcBorders>
            <w:shd w:val="clear" w:color="auto" w:fill="2AD2C9"/>
          </w:tcPr>
          <w:p>
            <w:pPr>
              <w:ind w:left="80"/>
              <w:spacing w:after="0" w:line="139" w:lineRule="exact"/>
              <w:rPr>
                <w:sz w:val="20"/>
                <w:szCs w:val="20"/>
                <w:color w:val="auto"/>
              </w:rPr>
            </w:pPr>
            <w:r>
              <w:rPr>
                <w:rFonts w:ascii="Arial" w:cs="Arial" w:eastAsia="Arial" w:hAnsi="Arial"/>
                <w:sz w:val="13"/>
                <w:szCs w:val="13"/>
                <w:b w:val="1"/>
                <w:bCs w:val="1"/>
                <w:color w:val="FFFFFF"/>
              </w:rPr>
              <w:t>Capital requirement</w:t>
            </w:r>
          </w:p>
        </w:tc>
        <w:tc>
          <w:tcPr>
            <w:tcW w:w="2220" w:type="dxa"/>
            <w:vAlign w:val="bottom"/>
            <w:tcBorders>
              <w:right w:val="single" w:sz="8" w:color="auto"/>
            </w:tcBorders>
            <w:shd w:val="clear" w:color="auto" w:fill="2AD2C9"/>
          </w:tcPr>
          <w:p>
            <w:pPr>
              <w:spacing w:after="0"/>
              <w:rPr>
                <w:sz w:val="12"/>
                <w:szCs w:val="12"/>
                <w:color w:val="auto"/>
              </w:rPr>
            </w:pPr>
          </w:p>
        </w:tc>
        <w:tc>
          <w:tcPr>
            <w:tcW w:w="1680" w:type="dxa"/>
            <w:vAlign w:val="bottom"/>
            <w:shd w:val="clear" w:color="auto" w:fill="2AD2C9"/>
          </w:tcPr>
          <w:p>
            <w:pPr>
              <w:jc w:val="right"/>
              <w:ind w:right="35"/>
              <w:spacing w:after="0" w:line="139" w:lineRule="exact"/>
              <w:rPr>
                <w:sz w:val="20"/>
                <w:szCs w:val="20"/>
                <w:color w:val="auto"/>
              </w:rPr>
            </w:pPr>
            <w:r>
              <w:rPr>
                <w:rFonts w:ascii="Arial" w:cs="Arial" w:eastAsia="Arial" w:hAnsi="Arial"/>
                <w:sz w:val="13"/>
                <w:szCs w:val="13"/>
                <w:b w:val="1"/>
                <w:bCs w:val="1"/>
                <w:color w:val="FFFFFF"/>
              </w:rPr>
              <w:t>Quarter</w:t>
            </w:r>
          </w:p>
        </w:tc>
        <w:tc>
          <w:tcPr>
            <w:tcW w:w="1020" w:type="dxa"/>
            <w:vAlign w:val="bottom"/>
            <w:tcBorders>
              <w:right w:val="single" w:sz="8" w:color="auto"/>
            </w:tcBorders>
            <w:shd w:val="clear" w:color="auto" w:fill="2AD2C9"/>
          </w:tcPr>
          <w:p>
            <w:pPr>
              <w:spacing w:after="0"/>
              <w:rPr>
                <w:sz w:val="12"/>
                <w:szCs w:val="12"/>
                <w:color w:val="auto"/>
              </w:rPr>
            </w:pPr>
          </w:p>
        </w:tc>
        <w:tc>
          <w:tcPr>
            <w:tcW w:w="1340" w:type="dxa"/>
            <w:vAlign w:val="bottom"/>
            <w:shd w:val="clear" w:color="auto" w:fill="2AD2C9"/>
          </w:tcPr>
          <w:p>
            <w:pPr>
              <w:jc w:val="center"/>
              <w:spacing w:after="0" w:line="139" w:lineRule="exact"/>
              <w:rPr>
                <w:sz w:val="20"/>
                <w:szCs w:val="20"/>
                <w:color w:val="auto"/>
              </w:rPr>
            </w:pPr>
            <w:r>
              <w:rPr>
                <w:rFonts w:ascii="Arial" w:cs="Arial" w:eastAsia="Arial" w:hAnsi="Arial"/>
                <w:sz w:val="13"/>
                <w:szCs w:val="13"/>
                <w:b w:val="1"/>
                <w:bCs w:val="1"/>
                <w:color w:val="FFFFFF"/>
                <w:w w:val="98"/>
              </w:rPr>
              <w:t>% 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bottom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color w:val="FFFFFF"/>
              </w:rPr>
              <w:t>(S/ thousand)</w:t>
            </w:r>
          </w:p>
        </w:tc>
        <w:tc>
          <w:tcPr>
            <w:tcW w:w="2220" w:type="dxa"/>
            <w:vAlign w:val="bottom"/>
            <w:tcBorders>
              <w:bottom w:val="single" w:sz="8" w:color="auto"/>
              <w:right w:val="single" w:sz="8" w:color="auto"/>
            </w:tcBorders>
            <w:shd w:val="clear" w:color="auto" w:fill="2AD2C9"/>
          </w:tcPr>
          <w:p>
            <w:pPr>
              <w:spacing w:after="0"/>
              <w:rPr>
                <w:sz w:val="12"/>
                <w:szCs w:val="12"/>
                <w:color w:val="auto"/>
              </w:rPr>
            </w:pPr>
          </w:p>
        </w:tc>
        <w:tc>
          <w:tcPr>
            <w:tcW w:w="1680" w:type="dxa"/>
            <w:vAlign w:val="bottom"/>
            <w:tcBorders>
              <w:bottom w:val="single" w:sz="8" w:color="auto"/>
            </w:tcBorders>
            <w:shd w:val="clear" w:color="auto" w:fill="2AD2C9"/>
          </w:tcPr>
          <w:p>
            <w:pPr>
              <w:ind w:left="460"/>
              <w:spacing w:after="0" w:line="146" w:lineRule="exact"/>
              <w:rPr>
                <w:sz w:val="20"/>
                <w:szCs w:val="20"/>
                <w:color w:val="auto"/>
              </w:rPr>
            </w:pPr>
            <w:r>
              <w:rPr>
                <w:rFonts w:ascii="Arial" w:cs="Arial" w:eastAsia="Arial" w:hAnsi="Arial"/>
                <w:sz w:val="13"/>
                <w:szCs w:val="13"/>
                <w:b w:val="1"/>
                <w:bCs w:val="1"/>
                <w:color w:val="FFFFFF"/>
              </w:rPr>
              <w:t>Sep 23</w:t>
            </w:r>
          </w:p>
        </w:tc>
        <w:tc>
          <w:tcPr>
            <w:tcW w:w="1020" w:type="dxa"/>
            <w:vAlign w:val="bottom"/>
            <w:tcBorders>
              <w:bottom w:val="single" w:sz="8" w:color="auto"/>
              <w:right w:val="single" w:sz="8" w:color="auto"/>
            </w:tcBorders>
            <w:shd w:val="clear" w:color="auto" w:fill="2AD2C9"/>
          </w:tcPr>
          <w:p>
            <w:pPr>
              <w:ind w:left="120"/>
              <w:spacing w:after="0" w:line="146" w:lineRule="exact"/>
              <w:rPr>
                <w:sz w:val="20"/>
                <w:szCs w:val="20"/>
                <w:color w:val="auto"/>
              </w:rPr>
            </w:pPr>
            <w:r>
              <w:rPr>
                <w:rFonts w:ascii="Arial" w:cs="Arial" w:eastAsia="Arial" w:hAnsi="Arial"/>
                <w:sz w:val="13"/>
                <w:szCs w:val="13"/>
                <w:b w:val="1"/>
                <w:bCs w:val="1"/>
                <w:color w:val="FFFFFF"/>
              </w:rPr>
              <w:t>Dec 23</w:t>
            </w:r>
          </w:p>
        </w:tc>
        <w:tc>
          <w:tcPr>
            <w:tcW w:w="1340" w:type="dxa"/>
            <w:vAlign w:val="bottom"/>
            <w:tcBorders>
              <w:bottom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9"/>
              </w:rPr>
              <w:t>QoQ</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tcBorders>
              <w:left w:val="single" w:sz="8" w:color="auto"/>
            </w:tcBorders>
          </w:tcPr>
          <w:p>
            <w:pPr>
              <w:ind w:left="80"/>
              <w:spacing w:after="0" w:line="131" w:lineRule="exact"/>
              <w:rPr>
                <w:sz w:val="20"/>
                <w:szCs w:val="20"/>
                <w:color w:val="auto"/>
              </w:rPr>
            </w:pPr>
            <w:r>
              <w:rPr>
                <w:rFonts w:ascii="Arial" w:cs="Arial" w:eastAsia="Arial" w:hAnsi="Arial"/>
                <w:sz w:val="13"/>
                <w:szCs w:val="13"/>
                <w:color w:val="auto"/>
              </w:rPr>
              <w:t>Market risk capital requirement (5)</w:t>
            </w:r>
          </w:p>
        </w:tc>
        <w:tc>
          <w:tcPr>
            <w:tcW w:w="2220" w:type="dxa"/>
            <w:vAlign w:val="bottom"/>
            <w:tcBorders>
              <w:right w:val="single" w:sz="8" w:color="auto"/>
            </w:tcBorders>
          </w:tcPr>
          <w:p>
            <w:pPr>
              <w:spacing w:after="0"/>
              <w:rPr>
                <w:sz w:val="11"/>
                <w:szCs w:val="11"/>
                <w:color w:val="auto"/>
              </w:rPr>
            </w:pPr>
          </w:p>
        </w:tc>
        <w:tc>
          <w:tcPr>
            <w:tcW w:w="1680" w:type="dxa"/>
            <w:vAlign w:val="bottom"/>
          </w:tcPr>
          <w:p>
            <w:pPr>
              <w:jc w:val="right"/>
              <w:ind w:right="375"/>
              <w:spacing w:after="0" w:line="131" w:lineRule="exact"/>
              <w:rPr>
                <w:sz w:val="20"/>
                <w:szCs w:val="20"/>
                <w:color w:val="auto"/>
              </w:rPr>
            </w:pPr>
            <w:r>
              <w:rPr>
                <w:rFonts w:ascii="Arial" w:cs="Arial" w:eastAsia="Arial" w:hAnsi="Arial"/>
                <w:sz w:val="13"/>
                <w:szCs w:val="13"/>
                <w:color w:val="auto"/>
              </w:rPr>
              <w:t>16,385</w:t>
            </w:r>
          </w:p>
        </w:tc>
        <w:tc>
          <w:tcPr>
            <w:tcW w:w="1020" w:type="dxa"/>
            <w:vAlign w:val="bottom"/>
            <w:tcBorders>
              <w:right w:val="single" w:sz="8" w:color="auto"/>
            </w:tcBorders>
          </w:tcPr>
          <w:p>
            <w:pPr>
              <w:jc w:val="right"/>
              <w:ind w:right="55"/>
              <w:spacing w:after="0" w:line="131" w:lineRule="exact"/>
              <w:rPr>
                <w:sz w:val="20"/>
                <w:szCs w:val="20"/>
                <w:color w:val="auto"/>
              </w:rPr>
            </w:pPr>
            <w:r>
              <w:rPr>
                <w:rFonts w:ascii="Arial" w:cs="Arial" w:eastAsia="Arial" w:hAnsi="Arial"/>
                <w:sz w:val="13"/>
                <w:szCs w:val="13"/>
                <w:color w:val="auto"/>
              </w:rPr>
              <w:t>22,033</w:t>
            </w:r>
          </w:p>
        </w:tc>
        <w:tc>
          <w:tcPr>
            <w:tcW w:w="1340" w:type="dxa"/>
            <w:vAlign w:val="bottom"/>
          </w:tcPr>
          <w:p>
            <w:pPr>
              <w:jc w:val="center"/>
              <w:spacing w:after="0" w:line="131" w:lineRule="exact"/>
              <w:rPr>
                <w:sz w:val="20"/>
                <w:szCs w:val="20"/>
                <w:color w:val="auto"/>
              </w:rPr>
            </w:pPr>
            <w:r>
              <w:rPr>
                <w:rFonts w:ascii="Arial" w:cs="Arial" w:eastAsia="Arial" w:hAnsi="Arial"/>
                <w:sz w:val="13"/>
                <w:szCs w:val="13"/>
                <w:color w:val="auto"/>
                <w:w w:val="97"/>
              </w:rPr>
              <w:t>34.5%</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Credit risk capital requirement</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1,215,978</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1,111,446</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-8.6%</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color w:val="auto"/>
              </w:rPr>
              <w:t>Operational risk capital requirement</w:t>
            </w:r>
          </w:p>
        </w:tc>
        <w:tc>
          <w:tcPr>
            <w:tcW w:w="2220" w:type="dxa"/>
            <w:vAlign w:val="bottom"/>
            <w:tcBorders>
              <w:right w:val="single" w:sz="8" w:color="auto"/>
            </w:tcBorders>
          </w:tcPr>
          <w:p>
            <w:pPr>
              <w:spacing w:after="0"/>
              <w:rPr>
                <w:sz w:val="12"/>
                <w:szCs w:val="12"/>
                <w:color w:val="auto"/>
              </w:rPr>
            </w:pPr>
          </w:p>
        </w:tc>
        <w:tc>
          <w:tcPr>
            <w:tcW w:w="1680" w:type="dxa"/>
            <w:vAlign w:val="bottom"/>
          </w:tcPr>
          <w:p>
            <w:pPr>
              <w:jc w:val="right"/>
              <w:ind w:right="375"/>
              <w:spacing w:after="0" w:line="146" w:lineRule="exact"/>
              <w:rPr>
                <w:sz w:val="20"/>
                <w:szCs w:val="20"/>
                <w:color w:val="auto"/>
              </w:rPr>
            </w:pPr>
            <w:r>
              <w:rPr>
                <w:rFonts w:ascii="Arial" w:cs="Arial" w:eastAsia="Arial" w:hAnsi="Arial"/>
                <w:sz w:val="13"/>
                <w:szCs w:val="13"/>
                <w:color w:val="auto"/>
              </w:rPr>
              <w:t>152,268</w:t>
            </w:r>
          </w:p>
        </w:tc>
        <w:tc>
          <w:tcPr>
            <w:tcW w:w="1020" w:type="dxa"/>
            <w:vAlign w:val="bottom"/>
            <w:tcBorders>
              <w:right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152,714</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w w:val="94"/>
              </w:rPr>
              <w:t>0.3%</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3"/>
                <w:szCs w:val="13"/>
                <w:color w:val="auto"/>
              </w:rPr>
              <w:t>Additional capital requirements</w:t>
            </w:r>
          </w:p>
        </w:tc>
        <w:tc>
          <w:tcPr>
            <w:tcW w:w="222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399,691</w:t>
            </w:r>
          </w:p>
        </w:tc>
        <w:tc>
          <w:tcPr>
            <w:tcW w:w="10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color w:val="auto"/>
              </w:rPr>
              <w:t>557,637</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39.5%</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Borders>
              <w:left w:val="single" w:sz="8" w:color="auto"/>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Total</w:t>
            </w:r>
          </w:p>
        </w:tc>
        <w:tc>
          <w:tcPr>
            <w:tcW w:w="22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jc w:val="right"/>
              <w:ind w:right="375"/>
              <w:spacing w:after="0" w:line="139" w:lineRule="exact"/>
              <w:rPr>
                <w:sz w:val="20"/>
                <w:szCs w:val="20"/>
                <w:color w:val="auto"/>
              </w:rPr>
            </w:pPr>
            <w:r>
              <w:rPr>
                <w:rFonts w:ascii="Arial" w:cs="Arial" w:eastAsia="Arial" w:hAnsi="Arial"/>
                <w:sz w:val="13"/>
                <w:szCs w:val="13"/>
                <w:b w:val="1"/>
                <w:bCs w:val="1"/>
                <w:color w:val="auto"/>
              </w:rPr>
              <w:t>1,784,322</w:t>
            </w:r>
          </w:p>
        </w:tc>
        <w:tc>
          <w:tcPr>
            <w:tcW w:w="1020" w:type="dxa"/>
            <w:vAlign w:val="bottom"/>
            <w:tcBorders>
              <w:bottom w:val="single" w:sz="8" w:color="auto"/>
              <w:right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1,843,830</w:t>
            </w:r>
          </w:p>
        </w:tc>
        <w:tc>
          <w:tcPr>
            <w:tcW w:w="13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4"/>
              </w:rPr>
              <w:t>3.3%</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720" w:type="dxa"/>
            <w:vAlign w:val="bottom"/>
          </w:tcPr>
          <w:p>
            <w:pPr>
              <w:spacing w:after="0"/>
              <w:rPr>
                <w:sz w:val="24"/>
                <w:szCs w:val="24"/>
                <w:color w:val="auto"/>
              </w:rPr>
            </w:pPr>
          </w:p>
        </w:tc>
        <w:tc>
          <w:tcPr>
            <w:tcW w:w="3900" w:type="dxa"/>
            <w:vAlign w:val="bottom"/>
            <w:gridSpan w:val="2"/>
          </w:tcPr>
          <w:p>
            <w:pPr>
              <w:jc w:val="right"/>
              <w:ind w:right="895"/>
              <w:spacing w:after="0"/>
              <w:rPr>
                <w:sz w:val="20"/>
                <w:szCs w:val="20"/>
                <w:color w:val="auto"/>
              </w:rPr>
            </w:pPr>
            <w:r>
              <w:rPr>
                <w:rFonts w:ascii="Arial" w:cs="Arial" w:eastAsia="Arial" w:hAnsi="Arial"/>
                <w:sz w:val="13"/>
                <w:szCs w:val="13"/>
                <w:b w:val="1"/>
                <w:bCs w:val="1"/>
                <w:color w:val="auto"/>
              </w:rPr>
              <w:t>Capital Ratios under Local Regulation</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Borders>
              <w:bottom w:val="single" w:sz="8" w:color="auto"/>
            </w:tcBorders>
          </w:tcPr>
          <w:p>
            <w:pPr>
              <w:spacing w:after="0"/>
              <w:rPr>
                <w:sz w:val="12"/>
                <w:szCs w:val="12"/>
                <w:color w:val="auto"/>
              </w:rPr>
            </w:pPr>
          </w:p>
        </w:tc>
        <w:tc>
          <w:tcPr>
            <w:tcW w:w="2220" w:type="dxa"/>
            <w:vAlign w:val="bottom"/>
            <w:tcBorders>
              <w:bottom w:val="single" w:sz="8" w:color="auto"/>
              <w:right w:val="single" w:sz="8" w:color="2AD2C9"/>
            </w:tcBorders>
          </w:tcPr>
          <w:p>
            <w:pPr>
              <w:spacing w:after="0"/>
              <w:rPr>
                <w:sz w:val="12"/>
                <w:szCs w:val="12"/>
                <w:color w:val="auto"/>
              </w:rPr>
            </w:pPr>
          </w:p>
        </w:tc>
        <w:tc>
          <w:tcPr>
            <w:tcW w:w="1680" w:type="dxa"/>
            <w:vAlign w:val="bottom"/>
            <w:tcBorders>
              <w:bottom w:val="single" w:sz="8" w:color="auto"/>
            </w:tcBorders>
            <w:shd w:val="clear" w:color="auto" w:fill="2AD2C9"/>
          </w:tcPr>
          <w:p>
            <w:pPr>
              <w:ind w:left="460"/>
              <w:spacing w:after="0" w:line="139" w:lineRule="exact"/>
              <w:rPr>
                <w:sz w:val="20"/>
                <w:szCs w:val="20"/>
                <w:color w:val="auto"/>
              </w:rPr>
            </w:pPr>
            <w:r>
              <w:rPr>
                <w:rFonts w:ascii="Arial" w:cs="Arial" w:eastAsia="Arial" w:hAnsi="Arial"/>
                <w:sz w:val="13"/>
                <w:szCs w:val="13"/>
                <w:b w:val="1"/>
                <w:bCs w:val="1"/>
                <w:color w:val="FFFFFF"/>
              </w:rPr>
              <w:t>Sep 23</w:t>
            </w:r>
          </w:p>
        </w:tc>
        <w:tc>
          <w:tcPr>
            <w:tcW w:w="1020" w:type="dxa"/>
            <w:vAlign w:val="bottom"/>
            <w:tcBorders>
              <w:bottom w:val="single" w:sz="8" w:color="auto"/>
              <w:right w:val="single" w:sz="8" w:color="2AD2C9"/>
            </w:tcBorders>
            <w:shd w:val="clear" w:color="auto" w:fill="2AD2C9"/>
          </w:tcPr>
          <w:p>
            <w:pPr>
              <w:ind w:left="120"/>
              <w:spacing w:after="0" w:line="139" w:lineRule="exact"/>
              <w:rPr>
                <w:sz w:val="20"/>
                <w:szCs w:val="20"/>
                <w:color w:val="auto"/>
              </w:rPr>
            </w:pPr>
            <w:r>
              <w:rPr>
                <w:rFonts w:ascii="Arial" w:cs="Arial" w:eastAsia="Arial" w:hAnsi="Arial"/>
                <w:sz w:val="13"/>
                <w:szCs w:val="13"/>
                <w:b w:val="1"/>
                <w:bCs w:val="1"/>
                <w:color w:val="FFFFFF"/>
              </w:rPr>
              <w:t>Dec 23</w:t>
            </w:r>
          </w:p>
        </w:tc>
        <w:tc>
          <w:tcPr>
            <w:tcW w:w="1340" w:type="dxa"/>
            <w:vAlign w:val="bottom"/>
            <w:tcBorders>
              <w:bottom w:val="single" w:sz="8" w:color="auto"/>
            </w:tcBorders>
            <w:shd w:val="clear" w:color="auto" w:fill="2AD2C9"/>
          </w:tcPr>
          <w:p>
            <w:pPr>
              <w:jc w:val="center"/>
              <w:spacing w:after="0" w:line="139" w:lineRule="exact"/>
              <w:rPr>
                <w:sz w:val="20"/>
                <w:szCs w:val="20"/>
                <w:color w:val="auto"/>
              </w:rPr>
            </w:pPr>
            <w:r>
              <w:rPr>
                <w:rFonts w:ascii="Arial" w:cs="Arial" w:eastAsia="Arial" w:hAnsi="Arial"/>
                <w:sz w:val="13"/>
                <w:szCs w:val="13"/>
                <w:b w:val="1"/>
                <w:bCs w:val="1"/>
                <w:color w:val="FFFFFF"/>
                <w:w w:val="98"/>
              </w:rPr>
              <w:t>% change</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tcPr>
          <w:p>
            <w:pPr>
              <w:ind w:left="80"/>
              <w:spacing w:after="0" w:line="131" w:lineRule="exact"/>
              <w:rPr>
                <w:sz w:val="20"/>
                <w:szCs w:val="20"/>
                <w:color w:val="auto"/>
              </w:rPr>
            </w:pPr>
            <w:r>
              <w:rPr>
                <w:rFonts w:ascii="Arial" w:cs="Arial" w:eastAsia="Arial" w:hAnsi="Arial"/>
                <w:sz w:val="13"/>
                <w:szCs w:val="13"/>
                <w:b w:val="1"/>
                <w:bCs w:val="1"/>
                <w:color w:val="auto"/>
              </w:rPr>
              <w:t>Common Equity Tier 1 Ratio</w:t>
            </w:r>
          </w:p>
        </w:tc>
        <w:tc>
          <w:tcPr>
            <w:tcW w:w="3900" w:type="dxa"/>
            <w:vAlign w:val="bottom"/>
            <w:gridSpan w:val="2"/>
          </w:tcPr>
          <w:p>
            <w:pPr>
              <w:ind w:left="2660"/>
              <w:spacing w:after="0" w:line="131" w:lineRule="exact"/>
              <w:rPr>
                <w:sz w:val="20"/>
                <w:szCs w:val="20"/>
                <w:color w:val="auto"/>
              </w:rPr>
            </w:pPr>
            <w:r>
              <w:rPr>
                <w:rFonts w:ascii="Arial" w:cs="Arial" w:eastAsia="Arial" w:hAnsi="Arial"/>
                <w:sz w:val="13"/>
                <w:szCs w:val="13"/>
                <w:color w:val="auto"/>
              </w:rPr>
              <w:t>17.43%</w:t>
            </w:r>
          </w:p>
        </w:tc>
        <w:tc>
          <w:tcPr>
            <w:tcW w:w="1020" w:type="dxa"/>
            <w:vAlign w:val="bottom"/>
          </w:tcPr>
          <w:p>
            <w:pPr>
              <w:ind w:left="100"/>
              <w:spacing w:after="0" w:line="131" w:lineRule="exact"/>
              <w:rPr>
                <w:sz w:val="20"/>
                <w:szCs w:val="20"/>
                <w:color w:val="auto"/>
              </w:rPr>
            </w:pPr>
            <w:r>
              <w:rPr>
                <w:rFonts w:ascii="Arial" w:cs="Arial" w:eastAsia="Arial" w:hAnsi="Arial"/>
                <w:sz w:val="13"/>
                <w:szCs w:val="13"/>
                <w:color w:val="auto"/>
              </w:rPr>
              <w:t>18.22%</w:t>
            </w:r>
          </w:p>
        </w:tc>
        <w:tc>
          <w:tcPr>
            <w:tcW w:w="1340" w:type="dxa"/>
            <w:vAlign w:val="bottom"/>
          </w:tcPr>
          <w:p>
            <w:pPr>
              <w:jc w:val="center"/>
              <w:spacing w:after="0" w:line="131" w:lineRule="exact"/>
              <w:rPr>
                <w:sz w:val="20"/>
                <w:szCs w:val="20"/>
                <w:color w:val="auto"/>
              </w:rPr>
            </w:pPr>
            <w:r>
              <w:rPr>
                <w:rFonts w:ascii="Arial" w:cs="Arial" w:eastAsia="Arial" w:hAnsi="Arial"/>
                <w:sz w:val="13"/>
                <w:szCs w:val="13"/>
                <w:color w:val="auto"/>
              </w:rPr>
              <w:t>79 pbs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20" w:type="dxa"/>
            <w:vAlign w:val="bottom"/>
          </w:tcPr>
          <w:p>
            <w:pPr>
              <w:ind w:left="80"/>
              <w:spacing w:after="0" w:line="146" w:lineRule="exact"/>
              <w:rPr>
                <w:sz w:val="20"/>
                <w:szCs w:val="20"/>
                <w:color w:val="auto"/>
              </w:rPr>
            </w:pPr>
            <w:r>
              <w:rPr>
                <w:rFonts w:ascii="Arial" w:cs="Arial" w:eastAsia="Arial" w:hAnsi="Arial"/>
                <w:sz w:val="13"/>
                <w:szCs w:val="13"/>
                <w:b w:val="1"/>
                <w:bCs w:val="1"/>
                <w:color w:val="auto"/>
              </w:rPr>
              <w:t>Tier 1 Capital ratio</w:t>
            </w:r>
          </w:p>
        </w:tc>
        <w:tc>
          <w:tcPr>
            <w:tcW w:w="3900" w:type="dxa"/>
            <w:vAlign w:val="bottom"/>
            <w:gridSpan w:val="2"/>
          </w:tcPr>
          <w:p>
            <w:pPr>
              <w:ind w:left="2660"/>
              <w:spacing w:after="0" w:line="146" w:lineRule="exact"/>
              <w:rPr>
                <w:sz w:val="20"/>
                <w:szCs w:val="20"/>
                <w:color w:val="auto"/>
              </w:rPr>
            </w:pPr>
            <w:r>
              <w:rPr>
                <w:rFonts w:ascii="Arial" w:cs="Arial" w:eastAsia="Arial" w:hAnsi="Arial"/>
                <w:sz w:val="13"/>
                <w:szCs w:val="13"/>
                <w:color w:val="auto"/>
              </w:rPr>
              <w:t>17.43%</w:t>
            </w:r>
          </w:p>
        </w:tc>
        <w:tc>
          <w:tcPr>
            <w:tcW w:w="1020" w:type="dxa"/>
            <w:vAlign w:val="bottom"/>
          </w:tcPr>
          <w:p>
            <w:pPr>
              <w:ind w:left="100"/>
              <w:spacing w:after="0" w:line="146" w:lineRule="exact"/>
              <w:rPr>
                <w:sz w:val="20"/>
                <w:szCs w:val="20"/>
                <w:color w:val="auto"/>
              </w:rPr>
            </w:pPr>
            <w:r>
              <w:rPr>
                <w:rFonts w:ascii="Arial" w:cs="Arial" w:eastAsia="Arial" w:hAnsi="Arial"/>
                <w:sz w:val="13"/>
                <w:szCs w:val="13"/>
                <w:color w:val="auto"/>
              </w:rPr>
              <w:t>18.22%</w:t>
            </w:r>
          </w:p>
        </w:tc>
        <w:tc>
          <w:tcPr>
            <w:tcW w:w="1340" w:type="dxa"/>
            <w:vAlign w:val="bottom"/>
          </w:tcPr>
          <w:p>
            <w:pPr>
              <w:jc w:val="center"/>
              <w:spacing w:after="0" w:line="146" w:lineRule="exact"/>
              <w:rPr>
                <w:sz w:val="20"/>
                <w:szCs w:val="20"/>
                <w:color w:val="auto"/>
              </w:rPr>
            </w:pPr>
            <w:r>
              <w:rPr>
                <w:rFonts w:ascii="Arial" w:cs="Arial" w:eastAsia="Arial" w:hAnsi="Arial"/>
                <w:sz w:val="13"/>
                <w:szCs w:val="13"/>
                <w:color w:val="auto"/>
              </w:rPr>
              <w:t>79 pbs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Regulatory Global Capital Ratio</w:t>
            </w:r>
          </w:p>
        </w:tc>
        <w:tc>
          <w:tcPr>
            <w:tcW w:w="3900" w:type="dxa"/>
            <w:vAlign w:val="bottom"/>
            <w:gridSpan w:val="2"/>
          </w:tcPr>
          <w:p>
            <w:pPr>
              <w:ind w:left="2660"/>
              <w:spacing w:after="0"/>
              <w:rPr>
                <w:sz w:val="20"/>
                <w:szCs w:val="20"/>
                <w:color w:val="auto"/>
              </w:rPr>
            </w:pPr>
            <w:r>
              <w:rPr>
                <w:rFonts w:ascii="Arial" w:cs="Arial" w:eastAsia="Arial" w:hAnsi="Arial"/>
                <w:sz w:val="13"/>
                <w:szCs w:val="13"/>
                <w:color w:val="auto"/>
              </w:rPr>
              <w:t>19.75%</w:t>
            </w:r>
          </w:p>
        </w:tc>
        <w:tc>
          <w:tcPr>
            <w:tcW w:w="1020" w:type="dxa"/>
            <w:vAlign w:val="bottom"/>
          </w:tcPr>
          <w:p>
            <w:pPr>
              <w:ind w:left="100"/>
              <w:spacing w:after="0"/>
              <w:rPr>
                <w:sz w:val="20"/>
                <w:szCs w:val="20"/>
                <w:color w:val="auto"/>
              </w:rPr>
            </w:pPr>
            <w:r>
              <w:rPr>
                <w:rFonts w:ascii="Arial" w:cs="Arial" w:eastAsia="Arial" w:hAnsi="Arial"/>
                <w:sz w:val="13"/>
                <w:szCs w:val="13"/>
                <w:color w:val="auto"/>
              </w:rPr>
              <w:t>20.56%</w:t>
            </w:r>
          </w:p>
        </w:tc>
        <w:tc>
          <w:tcPr>
            <w:tcW w:w="1340" w:type="dxa"/>
            <w:vAlign w:val="bottom"/>
          </w:tcPr>
          <w:p>
            <w:pPr>
              <w:jc w:val="center"/>
              <w:spacing w:after="0"/>
              <w:rPr>
                <w:sz w:val="20"/>
                <w:szCs w:val="20"/>
                <w:color w:val="auto"/>
              </w:rPr>
            </w:pPr>
            <w:r>
              <w:rPr>
                <w:rFonts w:ascii="Arial" w:cs="Arial" w:eastAsia="Arial" w:hAnsi="Arial"/>
                <w:sz w:val="13"/>
                <w:szCs w:val="13"/>
                <w:color w:val="auto"/>
              </w:rPr>
              <w:t>81 pbs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-390525</wp:posOffset>
            </wp:positionV>
            <wp:extent cx="5713095" cy="394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13095" cy="394970"/>
                    </a:xfrm>
                    <a:prstGeom prst="rect">
                      <a:avLst/>
                    </a:prstGeom>
                    <a:noFill/>
                  </pic:spPr>
                </pic:pic>
              </a:graphicData>
            </a:graphic>
          </wp:anchor>
        </w:drawing>
      </w:r>
    </w:p>
    <w:p>
      <w:pPr>
        <w:ind w:left="1280" w:hanging="155"/>
        <w:spacing w:after="0" w:line="231" w:lineRule="auto"/>
        <w:tabs>
          <w:tab w:leader="none" w:pos="12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Up to 1.25% of total risk-weighted assets.</w:t>
      </w:r>
    </w:p>
    <w:p>
      <w:pPr>
        <w:ind w:left="1120" w:right="1140" w:firstLine="5"/>
        <w:spacing w:after="0" w:line="231" w:lineRule="auto"/>
        <w:tabs>
          <w:tab w:leader="none" w:pos="1285" w:val="left"/>
        </w:tabs>
        <w:numPr>
          <w:ilvl w:val="0"/>
          <w:numId w:val="57"/>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1280" w:hanging="155"/>
        <w:spacing w:after="0" w:line="231" w:lineRule="auto"/>
        <w:tabs>
          <w:tab w:leader="none" w:pos="12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Regulatory Tier 1 Capital = Common Equity Tier 1 + Tier 1 Subordinated Debt (Perpetual).</w:t>
      </w:r>
    </w:p>
    <w:p>
      <w:pPr>
        <w:ind w:left="1280" w:hanging="155"/>
        <w:spacing w:after="0"/>
        <w:tabs>
          <w:tab w:leader="none" w:pos="12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Regulatory Tier 2 Capital = Subordinated Debt + Loan loss reserves.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66" w:name="page67"/>
    <w:bookmarkEnd w:id="66"/>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Common Equity Tier 1 IFRS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BCP Stand-alone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60" w:type="dxa"/>
            <w:vAlign w:val="bottom"/>
            <w:tcBorders>
              <w:right w:val="single" w:sz="8" w:color="auto"/>
            </w:tcBorders>
          </w:tcPr>
          <w:p>
            <w:pPr>
              <w:spacing w:after="0"/>
              <w:rPr>
                <w:sz w:val="10"/>
                <w:szCs w:val="10"/>
                <w:color w:val="auto"/>
              </w:rPr>
            </w:pPr>
          </w:p>
        </w:tc>
        <w:tc>
          <w:tcPr>
            <w:tcW w:w="2260" w:type="dxa"/>
            <w:vAlign w:val="bottom"/>
            <w:tcBorders>
              <w:top w:val="single" w:sz="8" w:color="auto"/>
              <w:right w:val="single" w:sz="8" w:color="auto"/>
            </w:tcBorders>
            <w:shd w:val="clear" w:color="auto" w:fill="2AD2C9"/>
          </w:tcPr>
          <w:p>
            <w:pPr>
              <w:ind w:left="60"/>
              <w:spacing w:after="0" w:line="119" w:lineRule="exact"/>
              <w:rPr>
                <w:sz w:val="20"/>
                <w:szCs w:val="20"/>
                <w:color w:val="auto"/>
              </w:rPr>
            </w:pPr>
            <w:r>
              <w:rPr>
                <w:rFonts w:ascii="Arial" w:cs="Arial" w:eastAsia="Arial" w:hAnsi="Arial"/>
                <w:sz w:val="11"/>
                <w:szCs w:val="11"/>
                <w:b w:val="1"/>
                <w:bCs w:val="1"/>
                <w:color w:val="FFFFFF"/>
              </w:rPr>
              <w:t>Common Equity Tier 1 IFRS</w:t>
            </w:r>
          </w:p>
        </w:tc>
        <w:tc>
          <w:tcPr>
            <w:tcW w:w="1480" w:type="dxa"/>
            <w:vAlign w:val="bottom"/>
            <w:tcBorders>
              <w:top w:val="single" w:sz="8" w:color="auto"/>
            </w:tcBorders>
            <w:shd w:val="clear" w:color="auto" w:fill="2AD2C9"/>
          </w:tcPr>
          <w:p>
            <w:pPr>
              <w:spacing w:after="0"/>
              <w:rPr>
                <w:sz w:val="10"/>
                <w:szCs w:val="10"/>
                <w:color w:val="auto"/>
              </w:rPr>
            </w:pPr>
          </w:p>
        </w:tc>
        <w:tc>
          <w:tcPr>
            <w:tcW w:w="1360" w:type="dxa"/>
            <w:vAlign w:val="bottom"/>
            <w:tcBorders>
              <w:top w:val="single" w:sz="8" w:color="auto"/>
            </w:tcBorders>
            <w:shd w:val="clear" w:color="auto" w:fill="2AD2C9"/>
          </w:tcPr>
          <w:p>
            <w:pPr>
              <w:jc w:val="center"/>
              <w:ind w:right="342"/>
              <w:spacing w:after="0" w:line="119" w:lineRule="exact"/>
              <w:rPr>
                <w:sz w:val="20"/>
                <w:szCs w:val="20"/>
                <w:color w:val="auto"/>
              </w:rPr>
            </w:pPr>
            <w:r>
              <w:rPr>
                <w:rFonts w:ascii="Arial" w:cs="Arial" w:eastAsia="Arial" w:hAnsi="Arial"/>
                <w:sz w:val="11"/>
                <w:szCs w:val="11"/>
                <w:b w:val="1"/>
                <w:bCs w:val="1"/>
                <w:color w:val="FFFFFF"/>
              </w:rPr>
              <w:t>Quarter</w:t>
            </w:r>
          </w:p>
        </w:tc>
        <w:tc>
          <w:tcPr>
            <w:tcW w:w="1180" w:type="dxa"/>
            <w:vAlign w:val="bottom"/>
            <w:tcBorders>
              <w:top w:val="single" w:sz="8" w:color="auto"/>
              <w:right w:val="single" w:sz="8" w:color="auto"/>
            </w:tcBorders>
            <w:shd w:val="clear" w:color="auto" w:fill="2AD2C9"/>
          </w:tcPr>
          <w:p>
            <w:pPr>
              <w:spacing w:after="0"/>
              <w:rPr>
                <w:sz w:val="10"/>
                <w:szCs w:val="10"/>
                <w:color w:val="auto"/>
              </w:rPr>
            </w:pPr>
          </w:p>
        </w:tc>
        <w:tc>
          <w:tcPr>
            <w:tcW w:w="1340" w:type="dxa"/>
            <w:vAlign w:val="bottom"/>
            <w:tcBorders>
              <w:top w:val="single" w:sz="8" w:color="auto"/>
              <w:right w:val="single" w:sz="8" w:color="auto"/>
            </w:tcBorders>
            <w:shd w:val="clear" w:color="auto" w:fill="2AD2C9"/>
          </w:tcPr>
          <w:p>
            <w:pPr>
              <w:jc w:val="center"/>
              <w:spacing w:after="0" w:line="119" w:lineRule="exact"/>
              <w:rPr>
                <w:sz w:val="20"/>
                <w:szCs w:val="20"/>
                <w:color w:val="auto"/>
              </w:rPr>
            </w:pPr>
            <w:r>
              <w:rPr>
                <w:rFonts w:ascii="Arial" w:cs="Arial" w:eastAsia="Arial" w:hAnsi="Arial"/>
                <w:sz w:val="11"/>
                <w:szCs w:val="11"/>
                <w:b w:val="1"/>
                <w:bCs w:val="1"/>
                <w:color w:val="FFFFFF"/>
              </w:rPr>
              <w:t>% Change</w:t>
            </w:r>
          </w:p>
        </w:tc>
        <w:tc>
          <w:tcPr>
            <w:tcW w:w="1360" w:type="dxa"/>
            <w:vAlign w:val="bottom"/>
            <w:tcBorders>
              <w:top w:val="single" w:sz="8" w:color="auto"/>
              <w:right w:val="single" w:sz="8" w:color="auto"/>
            </w:tcBorders>
            <w:shd w:val="clear" w:color="auto" w:fill="2AD2C9"/>
          </w:tcPr>
          <w:p>
            <w:pPr>
              <w:jc w:val="center"/>
              <w:spacing w:after="0" w:line="119" w:lineRule="exact"/>
              <w:rPr>
                <w:sz w:val="20"/>
                <w:szCs w:val="20"/>
                <w:color w:val="auto"/>
              </w:rPr>
            </w:pPr>
            <w:r>
              <w:rPr>
                <w:rFonts w:ascii="Arial" w:cs="Arial" w:eastAsia="Arial" w:hAnsi="Arial"/>
                <w:sz w:val="11"/>
                <w:szCs w:val="11"/>
                <w:b w:val="1"/>
                <w:bCs w:val="1"/>
                <w:color w:val="FFFFFF"/>
              </w:rPr>
              <w:t>% Change</w:t>
            </w:r>
          </w:p>
        </w:tc>
        <w:tc>
          <w:tcPr>
            <w:tcW w:w="1120" w:type="dxa"/>
            <w:vAlign w:val="bottom"/>
          </w:tcPr>
          <w:p>
            <w:pPr>
              <w:spacing w:after="0"/>
              <w:rPr>
                <w:sz w:val="10"/>
                <w:szCs w:val="10"/>
                <w:color w:val="auto"/>
              </w:rPr>
            </w:pPr>
          </w:p>
        </w:tc>
      </w:tr>
      <w:tr>
        <w:trPr>
          <w:trHeight w:val="137"/>
        </w:trPr>
        <w:tc>
          <w:tcPr>
            <w:tcW w:w="1160" w:type="dxa"/>
            <w:vAlign w:val="bottom"/>
            <w:tcBorders>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1"/>
                <w:szCs w:val="11"/>
                <w:color w:val="FFFFFF"/>
              </w:rPr>
              <w:t>(S/. thousand)</w:t>
            </w:r>
          </w:p>
        </w:tc>
        <w:tc>
          <w:tcPr>
            <w:tcW w:w="1480" w:type="dxa"/>
            <w:vAlign w:val="bottom"/>
            <w:tcBorders>
              <w:bottom w:val="single" w:sz="8" w:color="auto"/>
            </w:tcBorders>
            <w:shd w:val="clear" w:color="auto" w:fill="2AD2C9"/>
          </w:tcPr>
          <w:p>
            <w:pPr>
              <w:jc w:val="right"/>
              <w:ind w:right="623"/>
              <w:spacing w:after="0"/>
              <w:rPr>
                <w:sz w:val="20"/>
                <w:szCs w:val="20"/>
                <w:color w:val="auto"/>
              </w:rPr>
            </w:pPr>
            <w:r>
              <w:rPr>
                <w:rFonts w:ascii="Arial" w:cs="Arial" w:eastAsia="Arial" w:hAnsi="Arial"/>
                <w:sz w:val="11"/>
                <w:szCs w:val="11"/>
                <w:b w:val="1"/>
                <w:bCs w:val="1"/>
                <w:color w:val="FFFFFF"/>
              </w:rPr>
              <w:t>Dec 22</w:t>
            </w:r>
          </w:p>
        </w:tc>
        <w:tc>
          <w:tcPr>
            <w:tcW w:w="1360" w:type="dxa"/>
            <w:vAlign w:val="bottom"/>
            <w:tcBorders>
              <w:bottom w:val="single" w:sz="8" w:color="auto"/>
            </w:tcBorders>
            <w:shd w:val="clear" w:color="auto" w:fill="2AD2C9"/>
          </w:tcPr>
          <w:p>
            <w:pPr>
              <w:jc w:val="center"/>
              <w:ind w:right="342"/>
              <w:spacing w:after="0"/>
              <w:rPr>
                <w:sz w:val="20"/>
                <w:szCs w:val="20"/>
                <w:color w:val="auto"/>
              </w:rPr>
            </w:pPr>
            <w:r>
              <w:rPr>
                <w:rFonts w:ascii="Arial" w:cs="Arial" w:eastAsia="Arial" w:hAnsi="Arial"/>
                <w:sz w:val="11"/>
                <w:szCs w:val="11"/>
                <w:b w:val="1"/>
                <w:bCs w:val="1"/>
                <w:color w:val="FFFFFF"/>
              </w:rPr>
              <w:t>Sep 23</w:t>
            </w:r>
          </w:p>
        </w:tc>
        <w:tc>
          <w:tcPr>
            <w:tcW w:w="1180" w:type="dxa"/>
            <w:vAlign w:val="bottom"/>
            <w:tcBorders>
              <w:bottom w:val="single" w:sz="8" w:color="auto"/>
              <w:right w:val="single" w:sz="8" w:color="auto"/>
            </w:tcBorders>
            <w:shd w:val="clear" w:color="auto" w:fill="2AD2C9"/>
          </w:tcPr>
          <w:p>
            <w:pPr>
              <w:jc w:val="right"/>
              <w:ind w:right="463"/>
              <w:spacing w:after="0"/>
              <w:rPr>
                <w:sz w:val="20"/>
                <w:szCs w:val="20"/>
                <w:color w:val="auto"/>
              </w:rPr>
            </w:pPr>
            <w:r>
              <w:rPr>
                <w:rFonts w:ascii="Arial" w:cs="Arial" w:eastAsia="Arial" w:hAnsi="Arial"/>
                <w:sz w:val="11"/>
                <w:szCs w:val="11"/>
                <w:b w:val="1"/>
                <w:bCs w:val="1"/>
                <w:color w:val="FFFFFF"/>
              </w:rPr>
              <w:t>Dec 23</w:t>
            </w:r>
          </w:p>
        </w:tc>
        <w:tc>
          <w:tcPr>
            <w:tcW w:w="1340" w:type="dxa"/>
            <w:vAlign w:val="bottom"/>
            <w:tcBorders>
              <w:bottom w:val="single" w:sz="8" w:color="auto"/>
              <w:right w:val="single" w:sz="8" w:color="auto"/>
            </w:tcBorders>
            <w:shd w:val="clear" w:color="auto" w:fill="2AD2C9"/>
          </w:tcPr>
          <w:p>
            <w:pPr>
              <w:jc w:val="center"/>
              <w:ind w:right="3"/>
              <w:spacing w:after="0"/>
              <w:rPr>
                <w:sz w:val="20"/>
                <w:szCs w:val="20"/>
                <w:color w:val="auto"/>
              </w:rPr>
            </w:pPr>
            <w:r>
              <w:rPr>
                <w:rFonts w:ascii="Arial" w:cs="Arial" w:eastAsia="Arial" w:hAnsi="Arial"/>
                <w:sz w:val="11"/>
                <w:szCs w:val="11"/>
                <w:b w:val="1"/>
                <w:bCs w:val="1"/>
                <w:color w:val="FFFFFF"/>
              </w:rPr>
              <w:t>QoQ</w:t>
            </w:r>
          </w:p>
        </w:tc>
        <w:tc>
          <w:tcPr>
            <w:tcW w:w="13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3"/>
              </w:rPr>
              <w:t>YoY</w:t>
            </w:r>
          </w:p>
        </w:tc>
        <w:tc>
          <w:tcPr>
            <w:tcW w:w="1120" w:type="dxa"/>
            <w:vAlign w:val="bottom"/>
          </w:tcPr>
          <w:p>
            <w:pPr>
              <w:spacing w:after="0"/>
              <w:rPr>
                <w:sz w:val="11"/>
                <w:szCs w:val="11"/>
                <w:color w:val="auto"/>
              </w:rPr>
            </w:pPr>
          </w:p>
        </w:tc>
      </w:tr>
      <w:tr>
        <w:trPr>
          <w:trHeight w:val="99"/>
        </w:trPr>
        <w:tc>
          <w:tcPr>
            <w:tcW w:w="11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1"/>
                <w:szCs w:val="11"/>
                <w:color w:val="auto"/>
              </w:rPr>
              <w:t>Capital and reserves</w:t>
            </w:r>
          </w:p>
        </w:tc>
        <w:tc>
          <w:tcPr>
            <w:tcW w:w="1480" w:type="dxa"/>
            <w:vAlign w:val="bottom"/>
          </w:tcPr>
          <w:p>
            <w:pPr>
              <w:jc w:val="right"/>
              <w:ind w:right="223"/>
              <w:spacing w:after="0" w:line="99" w:lineRule="exact"/>
              <w:rPr>
                <w:sz w:val="20"/>
                <w:szCs w:val="20"/>
                <w:color w:val="auto"/>
              </w:rPr>
            </w:pPr>
            <w:r>
              <w:rPr>
                <w:rFonts w:ascii="Arial" w:cs="Arial" w:eastAsia="Arial" w:hAnsi="Arial"/>
                <w:sz w:val="11"/>
                <w:szCs w:val="11"/>
                <w:color w:val="auto"/>
              </w:rPr>
              <w:t>18,423,649</w:t>
            </w:r>
          </w:p>
        </w:tc>
        <w:tc>
          <w:tcPr>
            <w:tcW w:w="1360" w:type="dxa"/>
            <w:vAlign w:val="bottom"/>
          </w:tcPr>
          <w:p>
            <w:pPr>
              <w:jc w:val="right"/>
              <w:ind w:right="242"/>
              <w:spacing w:after="0" w:line="99" w:lineRule="exact"/>
              <w:rPr>
                <w:sz w:val="20"/>
                <w:szCs w:val="20"/>
                <w:color w:val="auto"/>
              </w:rPr>
            </w:pPr>
            <w:r>
              <w:rPr>
                <w:rFonts w:ascii="Arial" w:cs="Arial" w:eastAsia="Arial" w:hAnsi="Arial"/>
                <w:sz w:val="11"/>
                <w:szCs w:val="11"/>
                <w:color w:val="auto"/>
              </w:rPr>
              <w:t>19,500,725</w:t>
            </w:r>
          </w:p>
        </w:tc>
        <w:tc>
          <w:tcPr>
            <w:tcW w:w="1180" w:type="dxa"/>
            <w:vAlign w:val="bottom"/>
            <w:tcBorders>
              <w:right w:val="single" w:sz="8" w:color="auto"/>
            </w:tcBorders>
          </w:tcPr>
          <w:p>
            <w:pPr>
              <w:jc w:val="right"/>
              <w:ind w:right="63"/>
              <w:spacing w:after="0" w:line="99" w:lineRule="exact"/>
              <w:rPr>
                <w:sz w:val="20"/>
                <w:szCs w:val="20"/>
                <w:color w:val="auto"/>
              </w:rPr>
            </w:pPr>
            <w:r>
              <w:rPr>
                <w:rFonts w:ascii="Arial" w:cs="Arial" w:eastAsia="Arial" w:hAnsi="Arial"/>
                <w:sz w:val="11"/>
                <w:szCs w:val="11"/>
                <w:color w:val="auto"/>
              </w:rPr>
              <w:t>19,051,853</w:t>
            </w:r>
          </w:p>
        </w:tc>
        <w:tc>
          <w:tcPr>
            <w:tcW w:w="13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-2.3%</w:t>
            </w:r>
          </w:p>
        </w:tc>
        <w:tc>
          <w:tcPr>
            <w:tcW w:w="13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w w:val="95"/>
              </w:rPr>
              <w:t>3.4%</w:t>
            </w:r>
          </w:p>
        </w:tc>
        <w:tc>
          <w:tcPr>
            <w:tcW w:w="1120" w:type="dxa"/>
            <w:vAlign w:val="bottom"/>
          </w:tcPr>
          <w:p>
            <w:pPr>
              <w:spacing w:after="0"/>
              <w:rPr>
                <w:sz w:val="8"/>
                <w:szCs w:val="8"/>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Retained earnings</w:t>
            </w:r>
          </w:p>
        </w:tc>
        <w:tc>
          <w:tcPr>
            <w:tcW w:w="14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5,249,495</w:t>
            </w:r>
          </w:p>
        </w:tc>
        <w:tc>
          <w:tcPr>
            <w:tcW w:w="1360" w:type="dxa"/>
            <w:vAlign w:val="bottom"/>
          </w:tcPr>
          <w:p>
            <w:pPr>
              <w:jc w:val="right"/>
              <w:ind w:right="242"/>
              <w:spacing w:after="0" w:line="122" w:lineRule="exact"/>
              <w:rPr>
                <w:sz w:val="20"/>
                <w:szCs w:val="20"/>
                <w:color w:val="auto"/>
              </w:rPr>
            </w:pPr>
            <w:r>
              <w:rPr>
                <w:rFonts w:ascii="Arial" w:cs="Arial" w:eastAsia="Arial" w:hAnsi="Arial"/>
                <w:sz w:val="11"/>
                <w:szCs w:val="11"/>
                <w:color w:val="auto"/>
              </w:rPr>
              <w:t>5,104,881</w:t>
            </w:r>
          </w:p>
        </w:tc>
        <w:tc>
          <w:tcPr>
            <w:tcW w:w="118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6,058,923</w:t>
            </w:r>
          </w:p>
        </w:tc>
        <w:tc>
          <w:tcPr>
            <w:tcW w:w="134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color w:val="auto"/>
              </w:rPr>
              <w:t>18.7%</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15.4%</w:t>
            </w:r>
          </w:p>
        </w:tc>
        <w:tc>
          <w:tcPr>
            <w:tcW w:w="1120" w:type="dxa"/>
            <w:vAlign w:val="bottom"/>
          </w:tcPr>
          <w:p>
            <w:pPr>
              <w:spacing w:after="0"/>
              <w:rPr>
                <w:sz w:val="10"/>
                <w:szCs w:val="10"/>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Unrealized gains (losses)</w:t>
            </w:r>
          </w:p>
        </w:tc>
        <w:tc>
          <w:tcPr>
            <w:tcW w:w="14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(549,319)</w:t>
            </w:r>
          </w:p>
        </w:tc>
        <w:tc>
          <w:tcPr>
            <w:tcW w:w="1360" w:type="dxa"/>
            <w:vAlign w:val="bottom"/>
          </w:tcPr>
          <w:p>
            <w:pPr>
              <w:jc w:val="right"/>
              <w:ind w:right="242"/>
              <w:spacing w:after="0" w:line="122" w:lineRule="exact"/>
              <w:rPr>
                <w:sz w:val="20"/>
                <w:szCs w:val="20"/>
                <w:color w:val="auto"/>
              </w:rPr>
            </w:pPr>
            <w:r>
              <w:rPr>
                <w:rFonts w:ascii="Arial" w:cs="Arial" w:eastAsia="Arial" w:hAnsi="Arial"/>
                <w:sz w:val="11"/>
                <w:szCs w:val="11"/>
                <w:color w:val="auto"/>
              </w:rPr>
              <w:t>(375,086)</w:t>
            </w:r>
          </w:p>
        </w:tc>
        <w:tc>
          <w:tcPr>
            <w:tcW w:w="118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(109,202)</w:t>
            </w:r>
          </w:p>
        </w:tc>
        <w:tc>
          <w:tcPr>
            <w:tcW w:w="134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color w:val="auto"/>
              </w:rPr>
              <w:t>-70.9%</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-80.1%</w:t>
            </w:r>
          </w:p>
        </w:tc>
        <w:tc>
          <w:tcPr>
            <w:tcW w:w="1120" w:type="dxa"/>
            <w:vAlign w:val="bottom"/>
          </w:tcPr>
          <w:p>
            <w:pPr>
              <w:spacing w:after="0"/>
              <w:rPr>
                <w:sz w:val="10"/>
                <w:szCs w:val="10"/>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Goodwill and intangibles</w:t>
            </w:r>
          </w:p>
        </w:tc>
        <w:tc>
          <w:tcPr>
            <w:tcW w:w="14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(1,472,073)</w:t>
            </w:r>
          </w:p>
        </w:tc>
        <w:tc>
          <w:tcPr>
            <w:tcW w:w="1360" w:type="dxa"/>
            <w:vAlign w:val="bottom"/>
          </w:tcPr>
          <w:p>
            <w:pPr>
              <w:jc w:val="right"/>
              <w:ind w:right="242"/>
              <w:spacing w:after="0" w:line="122" w:lineRule="exact"/>
              <w:rPr>
                <w:sz w:val="20"/>
                <w:szCs w:val="20"/>
                <w:color w:val="auto"/>
              </w:rPr>
            </w:pPr>
            <w:r>
              <w:rPr>
                <w:rFonts w:ascii="Arial" w:cs="Arial" w:eastAsia="Arial" w:hAnsi="Arial"/>
                <w:sz w:val="11"/>
                <w:szCs w:val="11"/>
                <w:color w:val="auto"/>
              </w:rPr>
              <w:t>(1,573,072)</w:t>
            </w:r>
          </w:p>
        </w:tc>
        <w:tc>
          <w:tcPr>
            <w:tcW w:w="118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(1,670,116)</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6.2%</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13.5%</w:t>
            </w:r>
          </w:p>
        </w:tc>
        <w:tc>
          <w:tcPr>
            <w:tcW w:w="1120" w:type="dxa"/>
            <w:vAlign w:val="bottom"/>
          </w:tcPr>
          <w:p>
            <w:pPr>
              <w:spacing w:after="0"/>
              <w:rPr>
                <w:sz w:val="10"/>
                <w:szCs w:val="10"/>
                <w:color w:val="auto"/>
              </w:rPr>
            </w:pPr>
          </w:p>
        </w:tc>
      </w:tr>
      <w:tr>
        <w:trPr>
          <w:trHeight w:val="137"/>
        </w:trPr>
        <w:tc>
          <w:tcPr>
            <w:tcW w:w="1160" w:type="dxa"/>
            <w:vAlign w:val="bottom"/>
            <w:tcBorders>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Investments in subsidiaries</w:t>
            </w:r>
          </w:p>
        </w:tc>
        <w:tc>
          <w:tcPr>
            <w:tcW w:w="14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(2,702,065)</w:t>
            </w:r>
          </w:p>
        </w:tc>
        <w:tc>
          <w:tcPr>
            <w:tcW w:w="136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(2,851,285)</w:t>
            </w:r>
          </w:p>
        </w:tc>
        <w:tc>
          <w:tcPr>
            <w:tcW w:w="118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color w:val="auto"/>
              </w:rPr>
              <w:t>(2,917,670)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8.0%</w:t>
            </w:r>
          </w:p>
        </w:tc>
        <w:tc>
          <w:tcPr>
            <w:tcW w:w="1120" w:type="dxa"/>
            <w:vAlign w:val="bottom"/>
          </w:tcPr>
          <w:p>
            <w:pPr>
              <w:spacing w:after="0"/>
              <w:rPr>
                <w:sz w:val="11"/>
                <w:szCs w:val="11"/>
                <w:color w:val="auto"/>
              </w:rPr>
            </w:pPr>
          </w:p>
        </w:tc>
      </w:tr>
      <w:tr>
        <w:trPr>
          <w:trHeight w:val="114"/>
        </w:trPr>
        <w:tc>
          <w:tcPr>
            <w:tcW w:w="116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ind w:left="60"/>
              <w:spacing w:after="0" w:line="114" w:lineRule="exact"/>
              <w:rPr>
                <w:sz w:val="20"/>
                <w:szCs w:val="20"/>
                <w:color w:val="auto"/>
              </w:rPr>
            </w:pPr>
            <w:r>
              <w:rPr>
                <w:rFonts w:ascii="Arial" w:cs="Arial" w:eastAsia="Arial" w:hAnsi="Arial"/>
                <w:sz w:val="11"/>
                <w:szCs w:val="11"/>
                <w:b w:val="1"/>
                <w:bCs w:val="1"/>
                <w:color w:val="auto"/>
              </w:rPr>
              <w:t>Total</w:t>
            </w:r>
          </w:p>
        </w:tc>
        <w:tc>
          <w:tcPr>
            <w:tcW w:w="148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b w:val="1"/>
                <w:bCs w:val="1"/>
                <w:color w:val="auto"/>
              </w:rPr>
              <w:t>18,949,687</w:t>
            </w:r>
          </w:p>
        </w:tc>
        <w:tc>
          <w:tcPr>
            <w:tcW w:w="136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1"/>
                <w:szCs w:val="11"/>
                <w:b w:val="1"/>
                <w:bCs w:val="1"/>
                <w:color w:val="auto"/>
              </w:rPr>
              <w:t>19,806,164</w:t>
            </w:r>
          </w:p>
        </w:tc>
        <w:tc>
          <w:tcPr>
            <w:tcW w:w="1180" w:type="dxa"/>
            <w:vAlign w:val="bottom"/>
            <w:tcBorders>
              <w:bottom w:val="single" w:sz="8" w:color="auto"/>
              <w:right w:val="single" w:sz="8" w:color="auto"/>
            </w:tcBorders>
          </w:tcPr>
          <w:p>
            <w:pPr>
              <w:jc w:val="right"/>
              <w:ind w:right="63"/>
              <w:spacing w:after="0" w:line="114" w:lineRule="exact"/>
              <w:rPr>
                <w:sz w:val="20"/>
                <w:szCs w:val="20"/>
                <w:color w:val="auto"/>
              </w:rPr>
            </w:pPr>
            <w:r>
              <w:rPr>
                <w:rFonts w:ascii="Arial" w:cs="Arial" w:eastAsia="Arial" w:hAnsi="Arial"/>
                <w:sz w:val="11"/>
                <w:szCs w:val="11"/>
                <w:b w:val="1"/>
                <w:bCs w:val="1"/>
                <w:color w:val="auto"/>
              </w:rPr>
              <w:t>20,413,787</w:t>
            </w:r>
          </w:p>
        </w:tc>
        <w:tc>
          <w:tcPr>
            <w:tcW w:w="134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3.1%</w:t>
            </w:r>
          </w:p>
        </w:tc>
        <w:tc>
          <w:tcPr>
            <w:tcW w:w="13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5"/>
              </w:rPr>
              <w:t>7.7%</w:t>
            </w:r>
          </w:p>
        </w:tc>
        <w:tc>
          <w:tcPr>
            <w:tcW w:w="1120" w:type="dxa"/>
            <w:vAlign w:val="bottom"/>
          </w:tcPr>
          <w:p>
            <w:pPr>
              <w:spacing w:after="0"/>
              <w:rPr>
                <w:sz w:val="9"/>
                <w:szCs w:val="9"/>
                <w:color w:val="auto"/>
              </w:rPr>
            </w:pPr>
          </w:p>
        </w:tc>
      </w:tr>
      <w:tr>
        <w:trPr>
          <w:trHeight w:val="114"/>
        </w:trPr>
        <w:tc>
          <w:tcPr>
            <w:tcW w:w="116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r>
      <w:tr>
        <w:trPr>
          <w:trHeight w:val="114"/>
        </w:trPr>
        <w:tc>
          <w:tcPr>
            <w:tcW w:w="116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ind w:left="60"/>
              <w:spacing w:after="0" w:line="114" w:lineRule="exact"/>
              <w:rPr>
                <w:sz w:val="20"/>
                <w:szCs w:val="20"/>
                <w:color w:val="auto"/>
              </w:rPr>
            </w:pPr>
            <w:r>
              <w:rPr>
                <w:rFonts w:ascii="Arial" w:cs="Arial" w:eastAsia="Arial" w:hAnsi="Arial"/>
                <w:sz w:val="11"/>
                <w:szCs w:val="11"/>
                <w:b w:val="1"/>
                <w:bCs w:val="1"/>
                <w:color w:val="auto"/>
              </w:rPr>
              <w:t>Adjusted RWAs IFRS</w:t>
            </w:r>
          </w:p>
        </w:tc>
        <w:tc>
          <w:tcPr>
            <w:tcW w:w="148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b w:val="1"/>
                <w:bCs w:val="1"/>
                <w:color w:val="auto"/>
              </w:rPr>
              <w:t>150,535,662</w:t>
            </w:r>
          </w:p>
        </w:tc>
        <w:tc>
          <w:tcPr>
            <w:tcW w:w="136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1"/>
                <w:szCs w:val="11"/>
                <w:b w:val="1"/>
                <w:bCs w:val="1"/>
                <w:color w:val="auto"/>
              </w:rPr>
              <w:t>151,843,249</w:t>
            </w:r>
          </w:p>
        </w:tc>
        <w:tc>
          <w:tcPr>
            <w:tcW w:w="1180" w:type="dxa"/>
            <w:vAlign w:val="bottom"/>
            <w:tcBorders>
              <w:bottom w:val="single" w:sz="8" w:color="auto"/>
              <w:right w:val="single" w:sz="8" w:color="auto"/>
            </w:tcBorders>
          </w:tcPr>
          <w:p>
            <w:pPr>
              <w:jc w:val="right"/>
              <w:ind w:right="63"/>
              <w:spacing w:after="0" w:line="114" w:lineRule="exact"/>
              <w:rPr>
                <w:sz w:val="20"/>
                <w:szCs w:val="20"/>
                <w:color w:val="auto"/>
              </w:rPr>
            </w:pPr>
            <w:r>
              <w:rPr>
                <w:rFonts w:ascii="Arial" w:cs="Arial" w:eastAsia="Arial" w:hAnsi="Arial"/>
                <w:sz w:val="11"/>
                <w:szCs w:val="11"/>
                <w:b w:val="1"/>
                <w:bCs w:val="1"/>
                <w:color w:val="auto"/>
              </w:rPr>
              <w:t>154,627,042</w:t>
            </w:r>
          </w:p>
        </w:tc>
        <w:tc>
          <w:tcPr>
            <w:tcW w:w="134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1.8%</w:t>
            </w:r>
          </w:p>
        </w:tc>
        <w:tc>
          <w:tcPr>
            <w:tcW w:w="13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5"/>
              </w:rPr>
              <w:t>2.7%</w:t>
            </w:r>
          </w:p>
        </w:tc>
        <w:tc>
          <w:tcPr>
            <w:tcW w:w="1120" w:type="dxa"/>
            <w:vAlign w:val="bottom"/>
          </w:tcPr>
          <w:p>
            <w:pPr>
              <w:spacing w:after="0"/>
              <w:rPr>
                <w:sz w:val="9"/>
                <w:szCs w:val="9"/>
                <w:color w:val="auto"/>
              </w:rPr>
            </w:pPr>
          </w:p>
        </w:tc>
      </w:tr>
      <w:tr>
        <w:trPr>
          <w:trHeight w:val="99"/>
        </w:trPr>
        <w:tc>
          <w:tcPr>
            <w:tcW w:w="11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1"/>
                <w:szCs w:val="11"/>
                <w:color w:val="auto"/>
              </w:rPr>
              <w:t>Adjusted Credit RWAs IFRS</w:t>
            </w:r>
          </w:p>
        </w:tc>
        <w:tc>
          <w:tcPr>
            <w:tcW w:w="1480" w:type="dxa"/>
            <w:vAlign w:val="bottom"/>
          </w:tcPr>
          <w:p>
            <w:pPr>
              <w:jc w:val="right"/>
              <w:ind w:right="223"/>
              <w:spacing w:after="0" w:line="99" w:lineRule="exact"/>
              <w:rPr>
                <w:sz w:val="20"/>
                <w:szCs w:val="20"/>
                <w:color w:val="auto"/>
              </w:rPr>
            </w:pPr>
            <w:r>
              <w:rPr>
                <w:rFonts w:ascii="Arial" w:cs="Arial" w:eastAsia="Arial" w:hAnsi="Arial"/>
                <w:sz w:val="11"/>
                <w:szCs w:val="11"/>
                <w:color w:val="auto"/>
              </w:rPr>
              <w:t>134,564,844</w:t>
            </w:r>
          </w:p>
        </w:tc>
        <w:tc>
          <w:tcPr>
            <w:tcW w:w="1360" w:type="dxa"/>
            <w:vAlign w:val="bottom"/>
          </w:tcPr>
          <w:p>
            <w:pPr>
              <w:jc w:val="right"/>
              <w:ind w:right="242"/>
              <w:spacing w:after="0" w:line="99" w:lineRule="exact"/>
              <w:rPr>
                <w:sz w:val="20"/>
                <w:szCs w:val="20"/>
                <w:color w:val="auto"/>
              </w:rPr>
            </w:pPr>
            <w:r>
              <w:rPr>
                <w:rFonts w:ascii="Arial" w:cs="Arial" w:eastAsia="Arial" w:hAnsi="Arial"/>
                <w:sz w:val="11"/>
                <w:szCs w:val="11"/>
                <w:color w:val="auto"/>
              </w:rPr>
              <w:t>133,403,554</w:t>
            </w:r>
          </w:p>
        </w:tc>
        <w:tc>
          <w:tcPr>
            <w:tcW w:w="1180" w:type="dxa"/>
            <w:vAlign w:val="bottom"/>
            <w:tcBorders>
              <w:right w:val="single" w:sz="8" w:color="auto"/>
            </w:tcBorders>
          </w:tcPr>
          <w:p>
            <w:pPr>
              <w:jc w:val="right"/>
              <w:ind w:right="63"/>
              <w:spacing w:after="0" w:line="99" w:lineRule="exact"/>
              <w:rPr>
                <w:sz w:val="20"/>
                <w:szCs w:val="20"/>
                <w:color w:val="auto"/>
              </w:rPr>
            </w:pPr>
            <w:r>
              <w:rPr>
                <w:rFonts w:ascii="Arial" w:cs="Arial" w:eastAsia="Arial" w:hAnsi="Arial"/>
                <w:sz w:val="11"/>
                <w:szCs w:val="11"/>
                <w:color w:val="auto"/>
              </w:rPr>
              <w:t>135,581,058</w:t>
            </w:r>
          </w:p>
        </w:tc>
        <w:tc>
          <w:tcPr>
            <w:tcW w:w="13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1.6%</w:t>
            </w:r>
          </w:p>
        </w:tc>
        <w:tc>
          <w:tcPr>
            <w:tcW w:w="13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w w:val="95"/>
              </w:rPr>
              <w:t>0.8%</w:t>
            </w:r>
          </w:p>
        </w:tc>
        <w:tc>
          <w:tcPr>
            <w:tcW w:w="1120" w:type="dxa"/>
            <w:vAlign w:val="bottom"/>
          </w:tcPr>
          <w:p>
            <w:pPr>
              <w:spacing w:after="0"/>
              <w:rPr>
                <w:sz w:val="8"/>
                <w:szCs w:val="8"/>
                <w:color w:val="auto"/>
              </w:rPr>
            </w:pPr>
          </w:p>
        </w:tc>
      </w:tr>
      <w:tr>
        <w:trPr>
          <w:trHeight w:val="137"/>
        </w:trPr>
        <w:tc>
          <w:tcPr>
            <w:tcW w:w="1160" w:type="dxa"/>
            <w:vAlign w:val="bottom"/>
            <w:tcBorders>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Others</w:t>
            </w:r>
          </w:p>
        </w:tc>
        <w:tc>
          <w:tcPr>
            <w:tcW w:w="14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15,970,818</w:t>
            </w:r>
          </w:p>
        </w:tc>
        <w:tc>
          <w:tcPr>
            <w:tcW w:w="136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18,439,695</w:t>
            </w:r>
          </w:p>
        </w:tc>
        <w:tc>
          <w:tcPr>
            <w:tcW w:w="118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color w:val="auto"/>
              </w:rPr>
              <w:t>19,045,984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19.3%</w:t>
            </w:r>
          </w:p>
        </w:tc>
        <w:tc>
          <w:tcPr>
            <w:tcW w:w="1120" w:type="dxa"/>
            <w:vAlign w:val="bottom"/>
          </w:tcPr>
          <w:p>
            <w:pPr>
              <w:spacing w:after="0"/>
              <w:rPr>
                <w:sz w:val="11"/>
                <w:szCs w:val="11"/>
                <w:color w:val="auto"/>
              </w:rPr>
            </w:pPr>
          </w:p>
        </w:tc>
      </w:tr>
      <w:tr>
        <w:trPr>
          <w:trHeight w:val="114"/>
        </w:trPr>
        <w:tc>
          <w:tcPr>
            <w:tcW w:w="116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r>
      <w:tr>
        <w:trPr>
          <w:trHeight w:val="114"/>
        </w:trPr>
        <w:tc>
          <w:tcPr>
            <w:tcW w:w="116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ind w:left="60"/>
              <w:spacing w:after="0" w:line="114" w:lineRule="exact"/>
              <w:rPr>
                <w:sz w:val="20"/>
                <w:szCs w:val="20"/>
                <w:color w:val="auto"/>
              </w:rPr>
            </w:pPr>
            <w:r>
              <w:rPr>
                <w:rFonts w:ascii="Arial" w:cs="Arial" w:eastAsia="Arial" w:hAnsi="Arial"/>
                <w:sz w:val="11"/>
                <w:szCs w:val="11"/>
                <w:b w:val="1"/>
                <w:bCs w:val="1"/>
                <w:color w:val="auto"/>
              </w:rPr>
              <w:t>CET1 ratio IFRS</w:t>
            </w:r>
          </w:p>
        </w:tc>
        <w:tc>
          <w:tcPr>
            <w:tcW w:w="148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b w:val="1"/>
                <w:bCs w:val="1"/>
                <w:color w:val="auto"/>
              </w:rPr>
              <w:t>12.59%</w:t>
            </w:r>
          </w:p>
        </w:tc>
        <w:tc>
          <w:tcPr>
            <w:tcW w:w="136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1"/>
                <w:szCs w:val="11"/>
                <w:b w:val="1"/>
                <w:bCs w:val="1"/>
                <w:color w:val="auto"/>
              </w:rPr>
              <w:t>13.04%</w:t>
            </w:r>
          </w:p>
        </w:tc>
        <w:tc>
          <w:tcPr>
            <w:tcW w:w="1180" w:type="dxa"/>
            <w:vAlign w:val="bottom"/>
            <w:tcBorders>
              <w:bottom w:val="single" w:sz="8" w:color="auto"/>
              <w:right w:val="single" w:sz="8" w:color="auto"/>
            </w:tcBorders>
          </w:tcPr>
          <w:p>
            <w:pPr>
              <w:jc w:val="right"/>
              <w:ind w:right="63"/>
              <w:spacing w:after="0" w:line="114" w:lineRule="exact"/>
              <w:rPr>
                <w:sz w:val="20"/>
                <w:szCs w:val="20"/>
                <w:color w:val="auto"/>
              </w:rPr>
            </w:pPr>
            <w:r>
              <w:rPr>
                <w:rFonts w:ascii="Arial" w:cs="Arial" w:eastAsia="Arial" w:hAnsi="Arial"/>
                <w:sz w:val="11"/>
                <w:szCs w:val="11"/>
                <w:b w:val="1"/>
                <w:bCs w:val="1"/>
                <w:color w:val="auto"/>
              </w:rPr>
              <w:t>13.20%</w:t>
            </w:r>
          </w:p>
        </w:tc>
        <w:tc>
          <w:tcPr>
            <w:tcW w:w="1340" w:type="dxa"/>
            <w:vAlign w:val="bottom"/>
            <w:tcBorders>
              <w:bottom w:val="single" w:sz="8" w:color="auto"/>
              <w:right w:val="single" w:sz="8" w:color="auto"/>
            </w:tcBorders>
          </w:tcPr>
          <w:p>
            <w:pPr>
              <w:jc w:val="center"/>
              <w:ind w:right="3"/>
              <w:spacing w:after="0" w:line="114" w:lineRule="exact"/>
              <w:rPr>
                <w:sz w:val="20"/>
                <w:szCs w:val="20"/>
                <w:color w:val="auto"/>
              </w:rPr>
            </w:pPr>
            <w:r>
              <w:rPr>
                <w:rFonts w:ascii="Arial" w:cs="Arial" w:eastAsia="Arial" w:hAnsi="Arial"/>
                <w:sz w:val="11"/>
                <w:szCs w:val="11"/>
                <w:b w:val="1"/>
                <w:bCs w:val="1"/>
                <w:color w:val="auto"/>
              </w:rPr>
              <w:t>16 pbs</w:t>
            </w:r>
          </w:p>
        </w:tc>
        <w:tc>
          <w:tcPr>
            <w:tcW w:w="13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61 pbs</w:t>
            </w:r>
          </w:p>
        </w:tc>
        <w:tc>
          <w:tcPr>
            <w:tcW w:w="1120" w:type="dxa"/>
            <w:vAlign w:val="bottom"/>
          </w:tcPr>
          <w:p>
            <w:pPr>
              <w:spacing w:after="0"/>
              <w:rPr>
                <w:sz w:val="9"/>
                <w:szCs w:val="9"/>
                <w:color w:val="auto"/>
              </w:rPr>
            </w:pPr>
          </w:p>
        </w:tc>
      </w:tr>
      <w:tr>
        <w:trPr>
          <w:trHeight w:val="394"/>
        </w:trPr>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jc w:val="right"/>
              <w:ind w:right="242"/>
              <w:spacing w:after="0"/>
              <w:rPr>
                <w:sz w:val="20"/>
                <w:szCs w:val="20"/>
                <w:color w:val="auto"/>
              </w:rPr>
            </w:pPr>
            <w:r>
              <w:rPr>
                <w:rFonts w:ascii="Arial" w:cs="Arial" w:eastAsia="Arial" w:hAnsi="Arial"/>
                <w:sz w:val="16"/>
                <w:szCs w:val="16"/>
                <w:b w:val="1"/>
                <w:bCs w:val="1"/>
                <w:color w:val="auto"/>
              </w:rPr>
              <w:t>Mibanco</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116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99"/>
        </w:trPr>
        <w:tc>
          <w:tcPr>
            <w:tcW w:w="11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shd w:val="clear" w:color="auto" w:fill="2AD2C9"/>
          </w:tcPr>
          <w:p>
            <w:pPr>
              <w:ind w:left="60"/>
              <w:spacing w:after="0" w:line="99" w:lineRule="exact"/>
              <w:rPr>
                <w:sz w:val="20"/>
                <w:szCs w:val="20"/>
                <w:color w:val="auto"/>
              </w:rPr>
            </w:pPr>
            <w:r>
              <w:rPr>
                <w:rFonts w:ascii="Arial" w:cs="Arial" w:eastAsia="Arial" w:hAnsi="Arial"/>
                <w:sz w:val="11"/>
                <w:szCs w:val="11"/>
                <w:b w:val="1"/>
                <w:bCs w:val="1"/>
                <w:color w:val="FFFFFF"/>
              </w:rPr>
              <w:t>Common Equity Tier 1 IFRS</w:t>
            </w:r>
          </w:p>
        </w:tc>
        <w:tc>
          <w:tcPr>
            <w:tcW w:w="1480" w:type="dxa"/>
            <w:vAlign w:val="bottom"/>
            <w:shd w:val="clear" w:color="auto" w:fill="2AD2C9"/>
          </w:tcPr>
          <w:p>
            <w:pPr>
              <w:spacing w:after="0"/>
              <w:rPr>
                <w:sz w:val="8"/>
                <w:szCs w:val="8"/>
                <w:color w:val="auto"/>
              </w:rPr>
            </w:pPr>
          </w:p>
        </w:tc>
        <w:tc>
          <w:tcPr>
            <w:tcW w:w="1360" w:type="dxa"/>
            <w:vAlign w:val="bottom"/>
            <w:shd w:val="clear" w:color="auto" w:fill="2AD2C9"/>
          </w:tcPr>
          <w:p>
            <w:pPr>
              <w:jc w:val="center"/>
              <w:ind w:right="342"/>
              <w:spacing w:after="0" w:line="99" w:lineRule="exact"/>
              <w:rPr>
                <w:sz w:val="20"/>
                <w:szCs w:val="20"/>
                <w:color w:val="auto"/>
              </w:rPr>
            </w:pPr>
            <w:r>
              <w:rPr>
                <w:rFonts w:ascii="Arial" w:cs="Arial" w:eastAsia="Arial" w:hAnsi="Arial"/>
                <w:sz w:val="11"/>
                <w:szCs w:val="11"/>
                <w:b w:val="1"/>
                <w:bCs w:val="1"/>
                <w:color w:val="FFFFFF"/>
              </w:rPr>
              <w:t>Quarter</w:t>
            </w:r>
          </w:p>
        </w:tc>
        <w:tc>
          <w:tcPr>
            <w:tcW w:w="1180" w:type="dxa"/>
            <w:vAlign w:val="bottom"/>
            <w:tcBorders>
              <w:right w:val="single" w:sz="8" w:color="auto"/>
            </w:tcBorders>
            <w:shd w:val="clear" w:color="auto" w:fill="2AD2C9"/>
          </w:tcPr>
          <w:p>
            <w:pPr>
              <w:spacing w:after="0"/>
              <w:rPr>
                <w:sz w:val="8"/>
                <w:szCs w:val="8"/>
                <w:color w:val="auto"/>
              </w:rPr>
            </w:pPr>
          </w:p>
        </w:tc>
        <w:tc>
          <w:tcPr>
            <w:tcW w:w="1340" w:type="dxa"/>
            <w:vAlign w:val="bottom"/>
            <w:tcBorders>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 Change</w:t>
            </w:r>
          </w:p>
        </w:tc>
        <w:tc>
          <w:tcPr>
            <w:tcW w:w="1360" w:type="dxa"/>
            <w:vAlign w:val="bottom"/>
            <w:tcBorders>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 Change</w:t>
            </w:r>
          </w:p>
        </w:tc>
        <w:tc>
          <w:tcPr>
            <w:tcW w:w="1120" w:type="dxa"/>
            <w:vAlign w:val="bottom"/>
          </w:tcPr>
          <w:p>
            <w:pPr>
              <w:spacing w:after="0"/>
              <w:rPr>
                <w:sz w:val="8"/>
                <w:szCs w:val="8"/>
                <w:color w:val="auto"/>
              </w:rPr>
            </w:pPr>
          </w:p>
        </w:tc>
      </w:tr>
      <w:tr>
        <w:trPr>
          <w:trHeight w:val="137"/>
        </w:trPr>
        <w:tc>
          <w:tcPr>
            <w:tcW w:w="1160" w:type="dxa"/>
            <w:vAlign w:val="bottom"/>
            <w:tcBorders>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1"/>
                <w:szCs w:val="11"/>
                <w:color w:val="FFFFFF"/>
              </w:rPr>
              <w:t>(S/. thousand)</w:t>
            </w:r>
          </w:p>
        </w:tc>
        <w:tc>
          <w:tcPr>
            <w:tcW w:w="1480" w:type="dxa"/>
            <w:vAlign w:val="bottom"/>
            <w:tcBorders>
              <w:bottom w:val="single" w:sz="8" w:color="auto"/>
            </w:tcBorders>
            <w:shd w:val="clear" w:color="auto" w:fill="2AD2C9"/>
          </w:tcPr>
          <w:p>
            <w:pPr>
              <w:jc w:val="right"/>
              <w:ind w:right="623"/>
              <w:spacing w:after="0"/>
              <w:rPr>
                <w:sz w:val="20"/>
                <w:szCs w:val="20"/>
                <w:color w:val="auto"/>
              </w:rPr>
            </w:pPr>
            <w:r>
              <w:rPr>
                <w:rFonts w:ascii="Arial" w:cs="Arial" w:eastAsia="Arial" w:hAnsi="Arial"/>
                <w:sz w:val="11"/>
                <w:szCs w:val="11"/>
                <w:b w:val="1"/>
                <w:bCs w:val="1"/>
                <w:color w:val="FFFFFF"/>
              </w:rPr>
              <w:t>Dec 22</w:t>
            </w:r>
          </w:p>
        </w:tc>
        <w:tc>
          <w:tcPr>
            <w:tcW w:w="1360" w:type="dxa"/>
            <w:vAlign w:val="bottom"/>
            <w:tcBorders>
              <w:bottom w:val="single" w:sz="8" w:color="auto"/>
            </w:tcBorders>
            <w:shd w:val="clear" w:color="auto" w:fill="2AD2C9"/>
          </w:tcPr>
          <w:p>
            <w:pPr>
              <w:jc w:val="center"/>
              <w:ind w:right="342"/>
              <w:spacing w:after="0"/>
              <w:rPr>
                <w:sz w:val="20"/>
                <w:szCs w:val="20"/>
                <w:color w:val="auto"/>
              </w:rPr>
            </w:pPr>
            <w:r>
              <w:rPr>
                <w:rFonts w:ascii="Arial" w:cs="Arial" w:eastAsia="Arial" w:hAnsi="Arial"/>
                <w:sz w:val="11"/>
                <w:szCs w:val="11"/>
                <w:b w:val="1"/>
                <w:bCs w:val="1"/>
                <w:color w:val="FFFFFF"/>
              </w:rPr>
              <w:t>Sep 23</w:t>
            </w:r>
          </w:p>
        </w:tc>
        <w:tc>
          <w:tcPr>
            <w:tcW w:w="1180" w:type="dxa"/>
            <w:vAlign w:val="bottom"/>
            <w:tcBorders>
              <w:bottom w:val="single" w:sz="8" w:color="auto"/>
              <w:right w:val="single" w:sz="8" w:color="auto"/>
            </w:tcBorders>
            <w:shd w:val="clear" w:color="auto" w:fill="2AD2C9"/>
          </w:tcPr>
          <w:p>
            <w:pPr>
              <w:jc w:val="right"/>
              <w:ind w:right="463"/>
              <w:spacing w:after="0"/>
              <w:rPr>
                <w:sz w:val="20"/>
                <w:szCs w:val="20"/>
                <w:color w:val="auto"/>
              </w:rPr>
            </w:pPr>
            <w:r>
              <w:rPr>
                <w:rFonts w:ascii="Arial" w:cs="Arial" w:eastAsia="Arial" w:hAnsi="Arial"/>
                <w:sz w:val="11"/>
                <w:szCs w:val="11"/>
                <w:b w:val="1"/>
                <w:bCs w:val="1"/>
                <w:color w:val="FFFFFF"/>
              </w:rPr>
              <w:t>Dec 23</w:t>
            </w:r>
          </w:p>
        </w:tc>
        <w:tc>
          <w:tcPr>
            <w:tcW w:w="1340" w:type="dxa"/>
            <w:vAlign w:val="bottom"/>
            <w:tcBorders>
              <w:bottom w:val="single" w:sz="8" w:color="auto"/>
              <w:right w:val="single" w:sz="8" w:color="auto"/>
            </w:tcBorders>
            <w:shd w:val="clear" w:color="auto" w:fill="2AD2C9"/>
          </w:tcPr>
          <w:p>
            <w:pPr>
              <w:jc w:val="center"/>
              <w:ind w:right="3"/>
              <w:spacing w:after="0"/>
              <w:rPr>
                <w:sz w:val="20"/>
                <w:szCs w:val="20"/>
                <w:color w:val="auto"/>
              </w:rPr>
            </w:pPr>
            <w:r>
              <w:rPr>
                <w:rFonts w:ascii="Arial" w:cs="Arial" w:eastAsia="Arial" w:hAnsi="Arial"/>
                <w:sz w:val="11"/>
                <w:szCs w:val="11"/>
                <w:b w:val="1"/>
                <w:bCs w:val="1"/>
                <w:color w:val="FFFFFF"/>
              </w:rPr>
              <w:t>QoQ</w:t>
            </w:r>
          </w:p>
        </w:tc>
        <w:tc>
          <w:tcPr>
            <w:tcW w:w="13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3"/>
              </w:rPr>
              <w:t>YoY</w:t>
            </w:r>
          </w:p>
        </w:tc>
        <w:tc>
          <w:tcPr>
            <w:tcW w:w="1120" w:type="dxa"/>
            <w:vAlign w:val="bottom"/>
          </w:tcPr>
          <w:p>
            <w:pPr>
              <w:spacing w:after="0"/>
              <w:rPr>
                <w:sz w:val="11"/>
                <w:szCs w:val="11"/>
                <w:color w:val="auto"/>
              </w:rPr>
            </w:pPr>
          </w:p>
        </w:tc>
      </w:tr>
      <w:tr>
        <w:trPr>
          <w:trHeight w:val="99"/>
        </w:trPr>
        <w:tc>
          <w:tcPr>
            <w:tcW w:w="11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1"/>
                <w:szCs w:val="11"/>
                <w:color w:val="auto"/>
              </w:rPr>
              <w:t>Capital and reserves</w:t>
            </w:r>
          </w:p>
        </w:tc>
        <w:tc>
          <w:tcPr>
            <w:tcW w:w="1480" w:type="dxa"/>
            <w:vAlign w:val="bottom"/>
          </w:tcPr>
          <w:p>
            <w:pPr>
              <w:jc w:val="right"/>
              <w:ind w:right="223"/>
              <w:spacing w:after="0" w:line="99" w:lineRule="exact"/>
              <w:rPr>
                <w:sz w:val="20"/>
                <w:szCs w:val="20"/>
                <w:color w:val="auto"/>
              </w:rPr>
            </w:pPr>
            <w:r>
              <w:rPr>
                <w:rFonts w:ascii="Arial" w:cs="Arial" w:eastAsia="Arial" w:hAnsi="Arial"/>
                <w:sz w:val="11"/>
                <w:szCs w:val="11"/>
                <w:color w:val="auto"/>
              </w:rPr>
              <w:t>2,632,956</w:t>
            </w:r>
          </w:p>
        </w:tc>
        <w:tc>
          <w:tcPr>
            <w:tcW w:w="1360" w:type="dxa"/>
            <w:vAlign w:val="bottom"/>
          </w:tcPr>
          <w:p>
            <w:pPr>
              <w:jc w:val="right"/>
              <w:ind w:right="242"/>
              <w:spacing w:after="0" w:line="99" w:lineRule="exact"/>
              <w:rPr>
                <w:sz w:val="20"/>
                <w:szCs w:val="20"/>
                <w:color w:val="auto"/>
              </w:rPr>
            </w:pPr>
            <w:r>
              <w:rPr>
                <w:rFonts w:ascii="Arial" w:cs="Arial" w:eastAsia="Arial" w:hAnsi="Arial"/>
                <w:sz w:val="11"/>
                <w:szCs w:val="11"/>
                <w:color w:val="auto"/>
              </w:rPr>
              <w:t>2,676,791</w:t>
            </w:r>
          </w:p>
        </w:tc>
        <w:tc>
          <w:tcPr>
            <w:tcW w:w="1180" w:type="dxa"/>
            <w:vAlign w:val="bottom"/>
            <w:tcBorders>
              <w:right w:val="single" w:sz="8" w:color="auto"/>
            </w:tcBorders>
          </w:tcPr>
          <w:p>
            <w:pPr>
              <w:jc w:val="right"/>
              <w:ind w:right="63"/>
              <w:spacing w:after="0" w:line="99" w:lineRule="exact"/>
              <w:rPr>
                <w:sz w:val="20"/>
                <w:szCs w:val="20"/>
                <w:color w:val="auto"/>
              </w:rPr>
            </w:pPr>
            <w:r>
              <w:rPr>
                <w:rFonts w:ascii="Arial" w:cs="Arial" w:eastAsia="Arial" w:hAnsi="Arial"/>
                <w:sz w:val="11"/>
                <w:szCs w:val="11"/>
                <w:color w:val="auto"/>
              </w:rPr>
              <w:t>2,676,791</w:t>
            </w:r>
          </w:p>
        </w:tc>
        <w:tc>
          <w:tcPr>
            <w:tcW w:w="13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0.0%</w:t>
            </w:r>
          </w:p>
        </w:tc>
        <w:tc>
          <w:tcPr>
            <w:tcW w:w="13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w w:val="95"/>
              </w:rPr>
              <w:t>1.7%</w:t>
            </w:r>
          </w:p>
        </w:tc>
        <w:tc>
          <w:tcPr>
            <w:tcW w:w="1120" w:type="dxa"/>
            <w:vAlign w:val="bottom"/>
          </w:tcPr>
          <w:p>
            <w:pPr>
              <w:spacing w:after="0"/>
              <w:rPr>
                <w:sz w:val="8"/>
                <w:szCs w:val="8"/>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Retained earnings</w:t>
            </w:r>
          </w:p>
        </w:tc>
        <w:tc>
          <w:tcPr>
            <w:tcW w:w="14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161,295</w:t>
            </w:r>
          </w:p>
        </w:tc>
        <w:tc>
          <w:tcPr>
            <w:tcW w:w="1360" w:type="dxa"/>
            <w:vAlign w:val="bottom"/>
          </w:tcPr>
          <w:p>
            <w:pPr>
              <w:jc w:val="right"/>
              <w:ind w:right="242"/>
              <w:spacing w:after="0" w:line="122" w:lineRule="exact"/>
              <w:rPr>
                <w:sz w:val="20"/>
                <w:szCs w:val="20"/>
                <w:color w:val="auto"/>
              </w:rPr>
            </w:pPr>
            <w:r>
              <w:rPr>
                <w:rFonts w:ascii="Arial" w:cs="Arial" w:eastAsia="Arial" w:hAnsi="Arial"/>
                <w:sz w:val="11"/>
                <w:szCs w:val="11"/>
                <w:color w:val="auto"/>
              </w:rPr>
              <w:t>267,299</w:t>
            </w:r>
          </w:p>
        </w:tc>
        <w:tc>
          <w:tcPr>
            <w:tcW w:w="118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321,189</w:t>
            </w:r>
          </w:p>
        </w:tc>
        <w:tc>
          <w:tcPr>
            <w:tcW w:w="134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color w:val="auto"/>
              </w:rPr>
              <w:t>20.2%</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99.1%</w:t>
            </w:r>
          </w:p>
        </w:tc>
        <w:tc>
          <w:tcPr>
            <w:tcW w:w="1120" w:type="dxa"/>
            <w:vAlign w:val="bottom"/>
          </w:tcPr>
          <w:p>
            <w:pPr>
              <w:spacing w:after="0"/>
              <w:rPr>
                <w:sz w:val="10"/>
                <w:szCs w:val="10"/>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Unrealized gains (losses)</w:t>
            </w:r>
          </w:p>
        </w:tc>
        <w:tc>
          <w:tcPr>
            <w:tcW w:w="14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(12,686)</w:t>
            </w:r>
          </w:p>
        </w:tc>
        <w:tc>
          <w:tcPr>
            <w:tcW w:w="1360" w:type="dxa"/>
            <w:vAlign w:val="bottom"/>
          </w:tcPr>
          <w:p>
            <w:pPr>
              <w:jc w:val="right"/>
              <w:ind w:right="242"/>
              <w:spacing w:after="0" w:line="122" w:lineRule="exact"/>
              <w:rPr>
                <w:sz w:val="20"/>
                <w:szCs w:val="20"/>
                <w:color w:val="auto"/>
              </w:rPr>
            </w:pPr>
            <w:r>
              <w:rPr>
                <w:rFonts w:ascii="Arial" w:cs="Arial" w:eastAsia="Arial" w:hAnsi="Arial"/>
                <w:sz w:val="11"/>
                <w:szCs w:val="11"/>
                <w:color w:val="auto"/>
              </w:rPr>
              <w:t>(13,268)</w:t>
            </w:r>
          </w:p>
        </w:tc>
        <w:tc>
          <w:tcPr>
            <w:tcW w:w="118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(1,403)</w:t>
            </w:r>
          </w:p>
        </w:tc>
        <w:tc>
          <w:tcPr>
            <w:tcW w:w="1340" w:type="dxa"/>
            <w:vAlign w:val="bottom"/>
            <w:tcBorders>
              <w:right w:val="single" w:sz="8" w:color="auto"/>
            </w:tcBorders>
          </w:tcPr>
          <w:p>
            <w:pPr>
              <w:jc w:val="center"/>
              <w:ind w:right="3"/>
              <w:spacing w:after="0" w:line="122" w:lineRule="exact"/>
              <w:rPr>
                <w:sz w:val="20"/>
                <w:szCs w:val="20"/>
                <w:color w:val="auto"/>
              </w:rPr>
            </w:pPr>
            <w:r>
              <w:rPr>
                <w:rFonts w:ascii="Arial" w:cs="Arial" w:eastAsia="Arial" w:hAnsi="Arial"/>
                <w:sz w:val="11"/>
                <w:szCs w:val="11"/>
                <w:color w:val="auto"/>
              </w:rPr>
              <w:t>-89.4%</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-88.9%</w:t>
            </w:r>
          </w:p>
        </w:tc>
        <w:tc>
          <w:tcPr>
            <w:tcW w:w="1120" w:type="dxa"/>
            <w:vAlign w:val="bottom"/>
          </w:tcPr>
          <w:p>
            <w:pPr>
              <w:spacing w:after="0"/>
              <w:rPr>
                <w:sz w:val="10"/>
                <w:szCs w:val="10"/>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Goodwill and intangibles</w:t>
            </w:r>
          </w:p>
        </w:tc>
        <w:tc>
          <w:tcPr>
            <w:tcW w:w="14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(349,967)</w:t>
            </w:r>
          </w:p>
        </w:tc>
        <w:tc>
          <w:tcPr>
            <w:tcW w:w="1360" w:type="dxa"/>
            <w:vAlign w:val="bottom"/>
          </w:tcPr>
          <w:p>
            <w:pPr>
              <w:jc w:val="right"/>
              <w:ind w:right="242"/>
              <w:spacing w:after="0" w:line="122" w:lineRule="exact"/>
              <w:rPr>
                <w:sz w:val="20"/>
                <w:szCs w:val="20"/>
                <w:color w:val="auto"/>
              </w:rPr>
            </w:pPr>
            <w:r>
              <w:rPr>
                <w:rFonts w:ascii="Arial" w:cs="Arial" w:eastAsia="Arial" w:hAnsi="Arial"/>
                <w:sz w:val="11"/>
                <w:szCs w:val="11"/>
                <w:color w:val="auto"/>
              </w:rPr>
              <w:t>(345,258)</w:t>
            </w:r>
          </w:p>
        </w:tc>
        <w:tc>
          <w:tcPr>
            <w:tcW w:w="118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(360,171)</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4.3%</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2.9%</w:t>
            </w:r>
          </w:p>
        </w:tc>
        <w:tc>
          <w:tcPr>
            <w:tcW w:w="1120" w:type="dxa"/>
            <w:vAlign w:val="bottom"/>
          </w:tcPr>
          <w:p>
            <w:pPr>
              <w:spacing w:after="0"/>
              <w:rPr>
                <w:sz w:val="10"/>
                <w:szCs w:val="10"/>
                <w:color w:val="auto"/>
              </w:rPr>
            </w:pPr>
          </w:p>
        </w:tc>
      </w:tr>
      <w:tr>
        <w:trPr>
          <w:trHeight w:val="137"/>
        </w:trPr>
        <w:tc>
          <w:tcPr>
            <w:tcW w:w="1160" w:type="dxa"/>
            <w:vAlign w:val="bottom"/>
            <w:tcBorders>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Investments in subsidiaries</w:t>
            </w:r>
          </w:p>
        </w:tc>
        <w:tc>
          <w:tcPr>
            <w:tcW w:w="14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(261)</w:t>
            </w:r>
          </w:p>
        </w:tc>
        <w:tc>
          <w:tcPr>
            <w:tcW w:w="136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(276)</w:t>
            </w:r>
          </w:p>
        </w:tc>
        <w:tc>
          <w:tcPr>
            <w:tcW w:w="118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color w:val="auto"/>
              </w:rPr>
              <w:t>(282)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8.1%</w:t>
            </w:r>
          </w:p>
        </w:tc>
        <w:tc>
          <w:tcPr>
            <w:tcW w:w="1120" w:type="dxa"/>
            <w:vAlign w:val="bottom"/>
          </w:tcPr>
          <w:p>
            <w:pPr>
              <w:spacing w:after="0"/>
              <w:rPr>
                <w:sz w:val="11"/>
                <w:szCs w:val="11"/>
                <w:color w:val="auto"/>
              </w:rPr>
            </w:pPr>
          </w:p>
        </w:tc>
      </w:tr>
      <w:tr>
        <w:trPr>
          <w:trHeight w:val="114"/>
        </w:trPr>
        <w:tc>
          <w:tcPr>
            <w:tcW w:w="116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ind w:left="60"/>
              <w:spacing w:after="0" w:line="114" w:lineRule="exact"/>
              <w:rPr>
                <w:sz w:val="20"/>
                <w:szCs w:val="20"/>
                <w:color w:val="auto"/>
              </w:rPr>
            </w:pPr>
            <w:r>
              <w:rPr>
                <w:rFonts w:ascii="Arial" w:cs="Arial" w:eastAsia="Arial" w:hAnsi="Arial"/>
                <w:sz w:val="11"/>
                <w:szCs w:val="11"/>
                <w:b w:val="1"/>
                <w:bCs w:val="1"/>
                <w:color w:val="auto"/>
              </w:rPr>
              <w:t>Total</w:t>
            </w:r>
          </w:p>
        </w:tc>
        <w:tc>
          <w:tcPr>
            <w:tcW w:w="148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b w:val="1"/>
                <w:bCs w:val="1"/>
                <w:color w:val="auto"/>
              </w:rPr>
              <w:t>2,431,337</w:t>
            </w:r>
          </w:p>
        </w:tc>
        <w:tc>
          <w:tcPr>
            <w:tcW w:w="136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1"/>
                <w:szCs w:val="11"/>
                <w:b w:val="1"/>
                <w:bCs w:val="1"/>
                <w:color w:val="auto"/>
              </w:rPr>
              <w:t>2,585,288</w:t>
            </w:r>
          </w:p>
        </w:tc>
        <w:tc>
          <w:tcPr>
            <w:tcW w:w="1180" w:type="dxa"/>
            <w:vAlign w:val="bottom"/>
            <w:tcBorders>
              <w:bottom w:val="single" w:sz="8" w:color="auto"/>
              <w:right w:val="single" w:sz="8" w:color="auto"/>
            </w:tcBorders>
          </w:tcPr>
          <w:p>
            <w:pPr>
              <w:jc w:val="right"/>
              <w:ind w:right="63"/>
              <w:spacing w:after="0" w:line="114" w:lineRule="exact"/>
              <w:rPr>
                <w:sz w:val="20"/>
                <w:szCs w:val="20"/>
                <w:color w:val="auto"/>
              </w:rPr>
            </w:pPr>
            <w:r>
              <w:rPr>
                <w:rFonts w:ascii="Arial" w:cs="Arial" w:eastAsia="Arial" w:hAnsi="Arial"/>
                <w:sz w:val="11"/>
                <w:szCs w:val="11"/>
                <w:b w:val="1"/>
                <w:bCs w:val="1"/>
                <w:color w:val="auto"/>
              </w:rPr>
              <w:t>2,636,124</w:t>
            </w:r>
          </w:p>
        </w:tc>
        <w:tc>
          <w:tcPr>
            <w:tcW w:w="134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2.0%</w:t>
            </w:r>
          </w:p>
        </w:tc>
        <w:tc>
          <w:tcPr>
            <w:tcW w:w="13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5"/>
              </w:rPr>
              <w:t>8.4%</w:t>
            </w:r>
          </w:p>
        </w:tc>
        <w:tc>
          <w:tcPr>
            <w:tcW w:w="1120" w:type="dxa"/>
            <w:vAlign w:val="bottom"/>
          </w:tcPr>
          <w:p>
            <w:pPr>
              <w:spacing w:after="0"/>
              <w:rPr>
                <w:sz w:val="9"/>
                <w:szCs w:val="9"/>
                <w:color w:val="auto"/>
              </w:rPr>
            </w:pPr>
          </w:p>
        </w:tc>
      </w:tr>
      <w:tr>
        <w:trPr>
          <w:trHeight w:val="114"/>
        </w:trPr>
        <w:tc>
          <w:tcPr>
            <w:tcW w:w="116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r>
      <w:tr>
        <w:trPr>
          <w:trHeight w:val="114"/>
        </w:trPr>
        <w:tc>
          <w:tcPr>
            <w:tcW w:w="116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ind w:left="60"/>
              <w:spacing w:after="0" w:line="114" w:lineRule="exact"/>
              <w:rPr>
                <w:sz w:val="20"/>
                <w:szCs w:val="20"/>
                <w:color w:val="auto"/>
              </w:rPr>
            </w:pPr>
            <w:r>
              <w:rPr>
                <w:rFonts w:ascii="Arial" w:cs="Arial" w:eastAsia="Arial" w:hAnsi="Arial"/>
                <w:sz w:val="11"/>
                <w:szCs w:val="11"/>
                <w:b w:val="1"/>
                <w:bCs w:val="1"/>
                <w:color w:val="auto"/>
              </w:rPr>
              <w:t>Adjusted RWAs IFRS</w:t>
            </w:r>
          </w:p>
        </w:tc>
        <w:tc>
          <w:tcPr>
            <w:tcW w:w="148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b w:val="1"/>
                <w:bCs w:val="1"/>
                <w:color w:val="auto"/>
              </w:rPr>
              <w:t>14,772,095</w:t>
            </w:r>
          </w:p>
        </w:tc>
        <w:tc>
          <w:tcPr>
            <w:tcW w:w="136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1"/>
                <w:szCs w:val="11"/>
                <w:b w:val="1"/>
                <w:bCs w:val="1"/>
                <w:color w:val="auto"/>
              </w:rPr>
              <w:t>14,719,637</w:t>
            </w:r>
          </w:p>
        </w:tc>
        <w:tc>
          <w:tcPr>
            <w:tcW w:w="1180" w:type="dxa"/>
            <w:vAlign w:val="bottom"/>
            <w:tcBorders>
              <w:bottom w:val="single" w:sz="8" w:color="auto"/>
              <w:right w:val="single" w:sz="8" w:color="auto"/>
            </w:tcBorders>
          </w:tcPr>
          <w:p>
            <w:pPr>
              <w:jc w:val="right"/>
              <w:ind w:right="63"/>
              <w:spacing w:after="0" w:line="114" w:lineRule="exact"/>
              <w:rPr>
                <w:sz w:val="20"/>
                <w:szCs w:val="20"/>
                <w:color w:val="auto"/>
              </w:rPr>
            </w:pPr>
            <w:r>
              <w:rPr>
                <w:rFonts w:ascii="Arial" w:cs="Arial" w:eastAsia="Arial" w:hAnsi="Arial"/>
                <w:sz w:val="11"/>
                <w:szCs w:val="11"/>
                <w:b w:val="1"/>
                <w:bCs w:val="1"/>
                <w:color w:val="auto"/>
              </w:rPr>
              <w:t>14,351,724</w:t>
            </w:r>
          </w:p>
        </w:tc>
        <w:tc>
          <w:tcPr>
            <w:tcW w:w="134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-2.5%</w:t>
            </w:r>
          </w:p>
        </w:tc>
        <w:tc>
          <w:tcPr>
            <w:tcW w:w="13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7"/>
              </w:rPr>
              <w:t>-2.8%</w:t>
            </w:r>
          </w:p>
        </w:tc>
        <w:tc>
          <w:tcPr>
            <w:tcW w:w="1120" w:type="dxa"/>
            <w:vAlign w:val="bottom"/>
          </w:tcPr>
          <w:p>
            <w:pPr>
              <w:spacing w:after="0"/>
              <w:rPr>
                <w:sz w:val="9"/>
                <w:szCs w:val="9"/>
                <w:color w:val="auto"/>
              </w:rPr>
            </w:pPr>
          </w:p>
        </w:tc>
      </w:tr>
      <w:tr>
        <w:trPr>
          <w:trHeight w:val="99"/>
        </w:trPr>
        <w:tc>
          <w:tcPr>
            <w:tcW w:w="11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1"/>
                <w:szCs w:val="11"/>
                <w:color w:val="auto"/>
              </w:rPr>
              <w:t>Adjusted Credit RWAs IFRS</w:t>
            </w:r>
          </w:p>
        </w:tc>
        <w:tc>
          <w:tcPr>
            <w:tcW w:w="1480" w:type="dxa"/>
            <w:vAlign w:val="bottom"/>
          </w:tcPr>
          <w:p>
            <w:pPr>
              <w:jc w:val="right"/>
              <w:ind w:right="223"/>
              <w:spacing w:after="0" w:line="99" w:lineRule="exact"/>
              <w:rPr>
                <w:sz w:val="20"/>
                <w:szCs w:val="20"/>
                <w:color w:val="auto"/>
              </w:rPr>
            </w:pPr>
            <w:r>
              <w:rPr>
                <w:rFonts w:ascii="Arial" w:cs="Arial" w:eastAsia="Arial" w:hAnsi="Arial"/>
                <w:sz w:val="11"/>
                <w:szCs w:val="11"/>
                <w:color w:val="auto"/>
              </w:rPr>
              <w:t>13,255,788</w:t>
            </w:r>
          </w:p>
        </w:tc>
        <w:tc>
          <w:tcPr>
            <w:tcW w:w="1360" w:type="dxa"/>
            <w:vAlign w:val="bottom"/>
          </w:tcPr>
          <w:p>
            <w:pPr>
              <w:jc w:val="right"/>
              <w:ind w:right="242"/>
              <w:spacing w:after="0" w:line="99" w:lineRule="exact"/>
              <w:rPr>
                <w:sz w:val="20"/>
                <w:szCs w:val="20"/>
                <w:color w:val="auto"/>
              </w:rPr>
            </w:pPr>
            <w:r>
              <w:rPr>
                <w:rFonts w:ascii="Arial" w:cs="Arial" w:eastAsia="Arial" w:hAnsi="Arial"/>
                <w:sz w:val="11"/>
                <w:szCs w:val="11"/>
                <w:color w:val="auto"/>
              </w:rPr>
              <w:t>13,028,635</w:t>
            </w:r>
          </w:p>
        </w:tc>
        <w:tc>
          <w:tcPr>
            <w:tcW w:w="1180" w:type="dxa"/>
            <w:vAlign w:val="bottom"/>
            <w:tcBorders>
              <w:right w:val="single" w:sz="8" w:color="auto"/>
            </w:tcBorders>
          </w:tcPr>
          <w:p>
            <w:pPr>
              <w:jc w:val="right"/>
              <w:ind w:right="63"/>
              <w:spacing w:after="0" w:line="99" w:lineRule="exact"/>
              <w:rPr>
                <w:sz w:val="20"/>
                <w:szCs w:val="20"/>
                <w:color w:val="auto"/>
              </w:rPr>
            </w:pPr>
            <w:r>
              <w:rPr>
                <w:rFonts w:ascii="Arial" w:cs="Arial" w:eastAsia="Arial" w:hAnsi="Arial"/>
                <w:sz w:val="11"/>
                <w:szCs w:val="11"/>
                <w:color w:val="auto"/>
              </w:rPr>
              <w:t>12,597,373</w:t>
            </w:r>
          </w:p>
        </w:tc>
        <w:tc>
          <w:tcPr>
            <w:tcW w:w="13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-3.3%</w:t>
            </w:r>
          </w:p>
        </w:tc>
        <w:tc>
          <w:tcPr>
            <w:tcW w:w="13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w w:val="97"/>
              </w:rPr>
              <w:t>-5.0%</w:t>
            </w:r>
          </w:p>
        </w:tc>
        <w:tc>
          <w:tcPr>
            <w:tcW w:w="1120" w:type="dxa"/>
            <w:vAlign w:val="bottom"/>
          </w:tcPr>
          <w:p>
            <w:pPr>
              <w:spacing w:after="0"/>
              <w:rPr>
                <w:sz w:val="8"/>
                <w:szCs w:val="8"/>
                <w:color w:val="auto"/>
              </w:rPr>
            </w:pPr>
          </w:p>
        </w:tc>
      </w:tr>
      <w:tr>
        <w:trPr>
          <w:trHeight w:val="137"/>
        </w:trPr>
        <w:tc>
          <w:tcPr>
            <w:tcW w:w="1160" w:type="dxa"/>
            <w:vAlign w:val="bottom"/>
            <w:tcBorders>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Others</w:t>
            </w:r>
          </w:p>
        </w:tc>
        <w:tc>
          <w:tcPr>
            <w:tcW w:w="14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1,516,307</w:t>
            </w:r>
          </w:p>
        </w:tc>
        <w:tc>
          <w:tcPr>
            <w:tcW w:w="136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1,691,001</w:t>
            </w:r>
          </w:p>
        </w:tc>
        <w:tc>
          <w:tcPr>
            <w:tcW w:w="118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color w:val="auto"/>
              </w:rPr>
              <w:t>1,754,350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15.7%</w:t>
            </w:r>
          </w:p>
        </w:tc>
        <w:tc>
          <w:tcPr>
            <w:tcW w:w="1120" w:type="dxa"/>
            <w:vAlign w:val="bottom"/>
          </w:tcPr>
          <w:p>
            <w:pPr>
              <w:spacing w:after="0"/>
              <w:rPr>
                <w:sz w:val="11"/>
                <w:szCs w:val="11"/>
                <w:color w:val="auto"/>
              </w:rPr>
            </w:pPr>
          </w:p>
        </w:tc>
      </w:tr>
      <w:tr>
        <w:trPr>
          <w:trHeight w:val="114"/>
        </w:trPr>
        <w:tc>
          <w:tcPr>
            <w:tcW w:w="116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r>
      <w:tr>
        <w:trPr>
          <w:trHeight w:val="114"/>
        </w:trPr>
        <w:tc>
          <w:tcPr>
            <w:tcW w:w="116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ind w:left="60"/>
              <w:spacing w:after="0" w:line="114" w:lineRule="exact"/>
              <w:rPr>
                <w:sz w:val="20"/>
                <w:szCs w:val="20"/>
                <w:color w:val="auto"/>
              </w:rPr>
            </w:pPr>
            <w:r>
              <w:rPr>
                <w:rFonts w:ascii="Arial" w:cs="Arial" w:eastAsia="Arial" w:hAnsi="Arial"/>
                <w:sz w:val="11"/>
                <w:szCs w:val="11"/>
                <w:b w:val="1"/>
                <w:bCs w:val="1"/>
                <w:color w:val="auto"/>
              </w:rPr>
              <w:t>CET1 ratio IFRS</w:t>
            </w:r>
          </w:p>
        </w:tc>
        <w:tc>
          <w:tcPr>
            <w:tcW w:w="148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b w:val="1"/>
                <w:bCs w:val="1"/>
                <w:color w:val="auto"/>
              </w:rPr>
              <w:t>16.46%</w:t>
            </w:r>
          </w:p>
        </w:tc>
        <w:tc>
          <w:tcPr>
            <w:tcW w:w="136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1"/>
                <w:szCs w:val="11"/>
                <w:b w:val="1"/>
                <w:bCs w:val="1"/>
                <w:color w:val="auto"/>
              </w:rPr>
              <w:t>17.56%</w:t>
            </w:r>
          </w:p>
        </w:tc>
        <w:tc>
          <w:tcPr>
            <w:tcW w:w="1180" w:type="dxa"/>
            <w:vAlign w:val="bottom"/>
            <w:tcBorders>
              <w:bottom w:val="single" w:sz="8" w:color="auto"/>
              <w:right w:val="single" w:sz="8" w:color="auto"/>
            </w:tcBorders>
          </w:tcPr>
          <w:p>
            <w:pPr>
              <w:jc w:val="right"/>
              <w:ind w:right="63"/>
              <w:spacing w:after="0" w:line="114" w:lineRule="exact"/>
              <w:rPr>
                <w:sz w:val="20"/>
                <w:szCs w:val="20"/>
                <w:color w:val="auto"/>
              </w:rPr>
            </w:pPr>
            <w:r>
              <w:rPr>
                <w:rFonts w:ascii="Arial" w:cs="Arial" w:eastAsia="Arial" w:hAnsi="Arial"/>
                <w:sz w:val="11"/>
                <w:szCs w:val="11"/>
                <w:b w:val="1"/>
                <w:bCs w:val="1"/>
                <w:color w:val="auto"/>
              </w:rPr>
              <w:t>18.37%</w:t>
            </w:r>
          </w:p>
        </w:tc>
        <w:tc>
          <w:tcPr>
            <w:tcW w:w="1340" w:type="dxa"/>
            <w:vAlign w:val="bottom"/>
            <w:tcBorders>
              <w:bottom w:val="single" w:sz="8" w:color="auto"/>
              <w:right w:val="single" w:sz="8" w:color="auto"/>
            </w:tcBorders>
          </w:tcPr>
          <w:p>
            <w:pPr>
              <w:jc w:val="center"/>
              <w:ind w:right="3"/>
              <w:spacing w:after="0" w:line="114" w:lineRule="exact"/>
              <w:rPr>
                <w:sz w:val="20"/>
                <w:szCs w:val="20"/>
                <w:color w:val="auto"/>
              </w:rPr>
            </w:pPr>
            <w:r>
              <w:rPr>
                <w:rFonts w:ascii="Arial" w:cs="Arial" w:eastAsia="Arial" w:hAnsi="Arial"/>
                <w:sz w:val="11"/>
                <w:szCs w:val="11"/>
                <w:b w:val="1"/>
                <w:bCs w:val="1"/>
                <w:color w:val="auto"/>
              </w:rPr>
              <w:t>80 pbs</w:t>
            </w:r>
          </w:p>
        </w:tc>
        <w:tc>
          <w:tcPr>
            <w:tcW w:w="13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191 pbs</w:t>
            </w:r>
          </w:p>
        </w:tc>
        <w:tc>
          <w:tcPr>
            <w:tcW w:w="1120" w:type="dxa"/>
            <w:vAlign w:val="bottom"/>
          </w:tcPr>
          <w:p>
            <w:pPr>
              <w:spacing w:after="0"/>
              <w:rPr>
                <w:sz w:val="9"/>
                <w:szCs w:val="9"/>
                <w:color w:val="auto"/>
              </w:rPr>
            </w:pPr>
          </w:p>
        </w:tc>
      </w:tr>
      <w:tr>
        <w:trPr>
          <w:trHeight w:val="390"/>
        </w:trPr>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20" w:type="dxa"/>
            <w:vAlign w:val="bottom"/>
            <w:gridSpan w:val="3"/>
          </w:tcPr>
          <w:p>
            <w:pPr>
              <w:jc w:val="right"/>
              <w:ind w:right="483"/>
              <w:spacing w:after="0"/>
              <w:rPr>
                <w:sz w:val="20"/>
                <w:szCs w:val="20"/>
                <w:color w:val="auto"/>
              </w:rPr>
            </w:pPr>
            <w:r>
              <w:rPr>
                <w:rFonts w:ascii="Arial" w:cs="Arial" w:eastAsia="Arial" w:hAnsi="Arial"/>
                <w:sz w:val="13"/>
                <w:szCs w:val="13"/>
                <w:color w:val="0000FF"/>
              </w:rPr>
              <w:t>Datos elaborados por BCP para uso Interno</w:t>
            </w:r>
          </w:p>
        </w:tc>
        <w:tc>
          <w:tcPr>
            <w:tcW w:w="134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143"/>
        </w:trPr>
        <w:tc>
          <w:tcPr>
            <w:tcW w:w="11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67" w:name="page68"/>
    <w:bookmarkEnd w:id="67"/>
    <w:p>
      <w:pPr>
        <w:jc w:val="right"/>
        <w:ind w:right="420"/>
        <w:spacing w:after="0"/>
        <w:tabs>
          <w:tab w:leader="none" w:pos="8300" w:val="left"/>
          <w:tab w:leader="none" w:pos="37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 Financial Statements and Ratios by Business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12.6.1. Credicorp Consolidated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CREDICORP LTD.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63" w:lineRule="exact"/>
        <w:rPr>
          <w:sz w:val="20"/>
          <w:szCs w:val="20"/>
          <w:color w:val="auto"/>
        </w:rPr>
      </w:pPr>
    </w:p>
    <w:tbl>
      <w:tblPr>
        <w:tblLayout w:type="fixed"/>
        <w:tblInd w:w="1150" w:type="dxa"/>
        <w:tblCellMar>
          <w:top w:w="0" w:type="dxa"/>
          <w:left w:w="0" w:type="dxa"/>
          <w:bottom w:w="0" w:type="dxa"/>
          <w:right w:w="0" w:type="dxa"/>
        </w:tblCellMar>
      </w:tblPr>
      <w:tr>
        <w:trPr>
          <w:trHeight w:val="119"/>
        </w:trPr>
        <w:tc>
          <w:tcPr>
            <w:tcW w:w="414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vMerge w:val="restart"/>
            <w:shd w:val="clear" w:color="auto" w:fill="29D2C9"/>
          </w:tcPr>
          <w:p>
            <w:pPr>
              <w:jc w:val="right"/>
              <w:ind w:right="323"/>
              <w:spacing w:after="0"/>
              <w:rPr>
                <w:sz w:val="20"/>
                <w:szCs w:val="20"/>
                <w:color w:val="auto"/>
              </w:rPr>
            </w:pPr>
            <w:r>
              <w:rPr>
                <w:rFonts w:ascii="Arial" w:cs="Arial" w:eastAsia="Arial" w:hAnsi="Arial"/>
                <w:sz w:val="11"/>
                <w:szCs w:val="11"/>
                <w:b w:val="1"/>
                <w:bCs w:val="1"/>
                <w:color w:val="FFFFFF"/>
              </w:rPr>
              <w:t>Dec 22</w:t>
            </w:r>
          </w:p>
        </w:tc>
        <w:tc>
          <w:tcPr>
            <w:tcW w:w="960" w:type="dxa"/>
            <w:vAlign w:val="bottom"/>
            <w:tcBorders>
              <w:top w:val="single" w:sz="8" w:color="auto"/>
            </w:tcBorders>
            <w:shd w:val="clear" w:color="auto" w:fill="29D2C9"/>
          </w:tcPr>
          <w:p>
            <w:pPr>
              <w:jc w:val="right"/>
              <w:ind w:right="343"/>
              <w:spacing w:after="0" w:line="119" w:lineRule="exact"/>
              <w:rPr>
                <w:sz w:val="20"/>
                <w:szCs w:val="20"/>
                <w:color w:val="auto"/>
              </w:rPr>
            </w:pPr>
            <w:r>
              <w:rPr>
                <w:rFonts w:ascii="Arial" w:cs="Arial" w:eastAsia="Arial" w:hAnsi="Arial"/>
                <w:sz w:val="11"/>
                <w:szCs w:val="11"/>
                <w:b w:val="1"/>
                <w:bCs w:val="1"/>
                <w:color w:val="FFFFFF"/>
              </w:rPr>
              <w:t>As of</w:t>
            </w:r>
          </w:p>
        </w:tc>
        <w:tc>
          <w:tcPr>
            <w:tcW w:w="920" w:type="dxa"/>
            <w:vAlign w:val="bottom"/>
            <w:tcBorders>
              <w:top w:val="single" w:sz="8" w:color="auto"/>
              <w:right w:val="single" w:sz="8" w:color="auto"/>
            </w:tcBorders>
            <w:vMerge w:val="restart"/>
            <w:shd w:val="clear" w:color="auto" w:fill="29D2C9"/>
          </w:tcPr>
          <w:p>
            <w:pPr>
              <w:jc w:val="right"/>
              <w:ind w:right="263"/>
              <w:spacing w:after="0"/>
              <w:rPr>
                <w:sz w:val="20"/>
                <w:szCs w:val="20"/>
                <w:color w:val="auto"/>
              </w:rPr>
            </w:pPr>
            <w:r>
              <w:rPr>
                <w:rFonts w:ascii="Arial" w:cs="Arial" w:eastAsia="Arial" w:hAnsi="Arial"/>
                <w:sz w:val="11"/>
                <w:szCs w:val="11"/>
                <w:b w:val="1"/>
                <w:bCs w:val="1"/>
                <w:color w:val="FFFFFF"/>
              </w:rPr>
              <w:t>Dec 23</w:t>
            </w:r>
          </w:p>
        </w:tc>
        <w:tc>
          <w:tcPr>
            <w:tcW w:w="680" w:type="dxa"/>
            <w:vAlign w:val="bottom"/>
            <w:tcBorders>
              <w:top w:val="single" w:sz="8" w:color="auto"/>
            </w:tcBorders>
            <w:vMerge w:val="restart"/>
            <w:shd w:val="clear" w:color="auto" w:fill="29D2C9"/>
          </w:tcPr>
          <w:p>
            <w:pPr>
              <w:jc w:val="center"/>
              <w:ind w:left="223"/>
              <w:spacing w:after="0"/>
              <w:rPr>
                <w:sz w:val="20"/>
                <w:szCs w:val="20"/>
                <w:color w:val="auto"/>
              </w:rPr>
            </w:pPr>
            <w:r>
              <w:rPr>
                <w:rFonts w:ascii="Arial" w:cs="Arial" w:eastAsia="Arial" w:hAnsi="Arial"/>
                <w:sz w:val="11"/>
                <w:szCs w:val="11"/>
                <w:b w:val="1"/>
                <w:bCs w:val="1"/>
                <w:color w:val="FFFFFF"/>
              </w:rPr>
              <w:t>QoQ</w:t>
            </w:r>
          </w:p>
        </w:tc>
        <w:tc>
          <w:tcPr>
            <w:tcW w:w="1280" w:type="dxa"/>
            <w:vAlign w:val="bottom"/>
            <w:tcBorders>
              <w:top w:val="single" w:sz="8" w:color="auto"/>
              <w:right w:val="single" w:sz="8" w:color="auto"/>
            </w:tcBorders>
            <w:shd w:val="clear" w:color="auto" w:fill="29D2C9"/>
          </w:tcPr>
          <w:p>
            <w:pPr>
              <w:ind w:left="20"/>
              <w:spacing w:after="0" w:line="119" w:lineRule="exact"/>
              <w:rPr>
                <w:sz w:val="20"/>
                <w:szCs w:val="20"/>
                <w:color w:val="auto"/>
              </w:rPr>
            </w:pPr>
            <w:r>
              <w:rPr>
                <w:rFonts w:ascii="Arial" w:cs="Arial" w:eastAsia="Arial" w:hAnsi="Arial"/>
                <w:sz w:val="11"/>
                <w:szCs w:val="11"/>
                <w:b w:val="1"/>
                <w:bCs w:val="1"/>
                <w:color w:val="FFFFFF"/>
              </w:rPr>
              <w:t>% change</w:t>
            </w:r>
          </w:p>
        </w:tc>
        <w:tc>
          <w:tcPr>
            <w:tcW w:w="0" w:type="dxa"/>
            <w:vAlign w:val="bottom"/>
          </w:tcPr>
          <w:p>
            <w:pPr>
              <w:spacing w:after="0"/>
              <w:rPr>
                <w:sz w:val="1"/>
                <w:szCs w:val="1"/>
                <w:color w:val="auto"/>
              </w:rPr>
            </w:pPr>
          </w:p>
        </w:tc>
      </w:tr>
      <w:tr>
        <w:trPr>
          <w:trHeight w:val="137"/>
        </w:trPr>
        <w:tc>
          <w:tcPr>
            <w:tcW w:w="41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vMerge w:val="continue"/>
            <w:shd w:val="clear" w:color="auto" w:fill="29D2C9"/>
          </w:tcPr>
          <w:p>
            <w:pPr>
              <w:spacing w:after="0"/>
              <w:rPr>
                <w:sz w:val="11"/>
                <w:szCs w:val="11"/>
                <w:color w:val="auto"/>
              </w:rPr>
            </w:pPr>
          </w:p>
        </w:tc>
        <w:tc>
          <w:tcPr>
            <w:tcW w:w="960" w:type="dxa"/>
            <w:vAlign w:val="bottom"/>
            <w:tcBorders>
              <w:bottom w:val="single" w:sz="8" w:color="auto"/>
            </w:tcBorders>
            <w:shd w:val="clear" w:color="auto" w:fill="29D2C9"/>
          </w:tcPr>
          <w:p>
            <w:pPr>
              <w:jc w:val="right"/>
              <w:ind w:right="323"/>
              <w:spacing w:after="0"/>
              <w:rPr>
                <w:sz w:val="20"/>
                <w:szCs w:val="20"/>
                <w:color w:val="auto"/>
              </w:rPr>
            </w:pPr>
            <w:r>
              <w:rPr>
                <w:rFonts w:ascii="Arial" w:cs="Arial" w:eastAsia="Arial" w:hAnsi="Arial"/>
                <w:sz w:val="11"/>
                <w:szCs w:val="11"/>
                <w:b w:val="1"/>
                <w:bCs w:val="1"/>
                <w:color w:val="FFFFFF"/>
              </w:rPr>
              <w:t>Sep 23</w:t>
            </w:r>
          </w:p>
        </w:tc>
        <w:tc>
          <w:tcPr>
            <w:tcW w:w="920" w:type="dxa"/>
            <w:vAlign w:val="bottom"/>
            <w:tcBorders>
              <w:bottom w:val="single" w:sz="8" w:color="auto"/>
              <w:right w:val="single" w:sz="8" w:color="auto"/>
            </w:tcBorders>
            <w:vMerge w:val="continue"/>
            <w:shd w:val="clear" w:color="auto" w:fill="29D2C9"/>
          </w:tcPr>
          <w:p>
            <w:pPr>
              <w:spacing w:after="0"/>
              <w:rPr>
                <w:sz w:val="11"/>
                <w:szCs w:val="11"/>
                <w:color w:val="auto"/>
              </w:rPr>
            </w:pPr>
          </w:p>
        </w:tc>
        <w:tc>
          <w:tcPr>
            <w:tcW w:w="680" w:type="dxa"/>
            <w:vAlign w:val="bottom"/>
            <w:tcBorders>
              <w:bottom w:val="single" w:sz="8" w:color="auto"/>
            </w:tcBorders>
            <w:vMerge w:val="continue"/>
            <w:shd w:val="clear" w:color="auto" w:fill="29D2C9"/>
          </w:tcPr>
          <w:p>
            <w:pPr>
              <w:spacing w:after="0"/>
              <w:rPr>
                <w:sz w:val="11"/>
                <w:szCs w:val="11"/>
                <w:color w:val="auto"/>
              </w:rPr>
            </w:pPr>
          </w:p>
        </w:tc>
        <w:tc>
          <w:tcPr>
            <w:tcW w:w="1280" w:type="dxa"/>
            <w:vAlign w:val="bottom"/>
            <w:tcBorders>
              <w:bottom w:val="single" w:sz="8" w:color="auto"/>
              <w:right w:val="single" w:sz="8" w:color="auto"/>
            </w:tcBorders>
            <w:shd w:val="clear" w:color="auto" w:fill="29D2C9"/>
          </w:tcPr>
          <w:p>
            <w:pPr>
              <w:ind w:left="660"/>
              <w:spacing w:after="0"/>
              <w:rPr>
                <w:sz w:val="20"/>
                <w:szCs w:val="20"/>
                <w:color w:val="auto"/>
              </w:rPr>
            </w:pPr>
            <w:r>
              <w:rPr>
                <w:rFonts w:ascii="Arial" w:cs="Arial" w:eastAsia="Arial" w:hAnsi="Arial"/>
                <w:sz w:val="11"/>
                <w:szCs w:val="11"/>
                <w:b w:val="1"/>
                <w:bCs w:val="1"/>
                <w:color w:val="FFFFFF"/>
              </w:rPr>
              <w:t>YoY</w:t>
            </w:r>
          </w:p>
        </w:tc>
        <w:tc>
          <w:tcPr>
            <w:tcW w:w="0" w:type="dxa"/>
            <w:vAlign w:val="bottom"/>
          </w:tcPr>
          <w:p>
            <w:pPr>
              <w:spacing w:after="0"/>
              <w:rPr>
                <w:sz w:val="1"/>
                <w:szCs w:val="1"/>
                <w:color w:val="auto"/>
              </w:rPr>
            </w:pPr>
          </w:p>
        </w:tc>
      </w:tr>
      <w:tr>
        <w:trPr>
          <w:trHeight w:val="99"/>
        </w:trPr>
        <w:tc>
          <w:tcPr>
            <w:tcW w:w="4140" w:type="dxa"/>
            <w:vAlign w:val="bottom"/>
            <w:tcBorders>
              <w:left w:val="single" w:sz="8" w:color="auto"/>
              <w:right w:val="single" w:sz="8" w:color="auto"/>
            </w:tcBorders>
          </w:tcPr>
          <w:p>
            <w:pPr>
              <w:ind w:left="80"/>
              <w:spacing w:after="0" w:line="99" w:lineRule="exact"/>
              <w:rPr>
                <w:sz w:val="20"/>
                <w:szCs w:val="20"/>
                <w:color w:val="auto"/>
              </w:rPr>
            </w:pPr>
            <w:r>
              <w:rPr>
                <w:rFonts w:ascii="Arial" w:cs="Arial" w:eastAsia="Arial" w:hAnsi="Arial"/>
                <w:sz w:val="11"/>
                <w:szCs w:val="11"/>
                <w:b w:val="1"/>
                <w:bCs w:val="1"/>
                <w:color w:val="auto"/>
              </w:rPr>
              <w:t>ASSETS</w:t>
            </w: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b w:val="1"/>
                <w:bCs w:val="1"/>
                <w:color w:val="auto"/>
              </w:rPr>
              <w:t>Cash and due from banks</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580"/>
              <w:spacing w:after="0" w:line="122" w:lineRule="exact"/>
              <w:rPr>
                <w:sz w:val="20"/>
                <w:szCs w:val="20"/>
                <w:color w:val="auto"/>
              </w:rPr>
            </w:pPr>
            <w:r>
              <w:rPr>
                <w:rFonts w:ascii="Arial" w:cs="Arial" w:eastAsia="Arial" w:hAnsi="Arial"/>
                <w:sz w:val="11"/>
                <w:szCs w:val="11"/>
                <w:color w:val="auto"/>
              </w:rPr>
              <w:t>Non-interest bearing</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7,286,624</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8,047,624</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8,196,692</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1.9%</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149"/>
        </w:trPr>
        <w:tc>
          <w:tcPr>
            <w:tcW w:w="41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11"/>
                <w:szCs w:val="11"/>
                <w:color w:val="auto"/>
              </w:rPr>
              <w:t>Interest bearing</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26,897,216</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24,907,836</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25,734,256</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3.3%</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250"/>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Total cash and due from banks</w:t>
            </w:r>
          </w:p>
        </w:tc>
        <w:tc>
          <w:tcPr>
            <w:tcW w:w="1020" w:type="dxa"/>
            <w:vAlign w:val="bottom"/>
          </w:tcPr>
          <w:p>
            <w:pPr>
              <w:jc w:val="right"/>
              <w:ind w:right="123"/>
              <w:spacing w:after="0"/>
              <w:rPr>
                <w:sz w:val="20"/>
                <w:szCs w:val="20"/>
                <w:color w:val="auto"/>
              </w:rPr>
            </w:pPr>
            <w:r>
              <w:rPr>
                <w:rFonts w:ascii="Arial" w:cs="Arial" w:eastAsia="Arial" w:hAnsi="Arial"/>
                <w:sz w:val="11"/>
                <w:szCs w:val="11"/>
                <w:b w:val="1"/>
                <w:bCs w:val="1"/>
                <w:color w:val="auto"/>
              </w:rPr>
              <w:t>34,183,840</w:t>
            </w:r>
          </w:p>
        </w:tc>
        <w:tc>
          <w:tcPr>
            <w:tcW w:w="960" w:type="dxa"/>
            <w:vAlign w:val="bottom"/>
          </w:tcPr>
          <w:p>
            <w:pPr>
              <w:jc w:val="right"/>
              <w:ind w:right="103"/>
              <w:spacing w:after="0"/>
              <w:rPr>
                <w:sz w:val="20"/>
                <w:szCs w:val="20"/>
                <w:color w:val="auto"/>
              </w:rPr>
            </w:pPr>
            <w:r>
              <w:rPr>
                <w:rFonts w:ascii="Arial" w:cs="Arial" w:eastAsia="Arial" w:hAnsi="Arial"/>
                <w:sz w:val="11"/>
                <w:szCs w:val="11"/>
                <w:b w:val="1"/>
                <w:bCs w:val="1"/>
                <w:color w:val="auto"/>
              </w:rPr>
              <w:t>32,955,460</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33,930,948</w:t>
            </w:r>
          </w:p>
        </w:tc>
        <w:tc>
          <w:tcPr>
            <w:tcW w:w="680" w:type="dxa"/>
            <w:vAlign w:val="bottom"/>
          </w:tcPr>
          <w:p>
            <w:pPr>
              <w:jc w:val="center"/>
              <w:ind w:left="203"/>
              <w:spacing w:after="0"/>
              <w:rPr>
                <w:sz w:val="20"/>
                <w:szCs w:val="20"/>
                <w:color w:val="auto"/>
              </w:rPr>
            </w:pPr>
            <w:r>
              <w:rPr>
                <w:rFonts w:ascii="Arial" w:cs="Arial" w:eastAsia="Arial" w:hAnsi="Arial"/>
                <w:sz w:val="11"/>
                <w:szCs w:val="11"/>
                <w:b w:val="1"/>
                <w:bCs w:val="1"/>
                <w:color w:val="auto"/>
              </w:rPr>
              <w:t>3.0%</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-0.7%</w:t>
            </w:r>
          </w:p>
        </w:tc>
        <w:tc>
          <w:tcPr>
            <w:tcW w:w="0" w:type="dxa"/>
            <w:vAlign w:val="bottom"/>
          </w:tcPr>
          <w:p>
            <w:pPr>
              <w:spacing w:after="0"/>
              <w:rPr>
                <w:sz w:val="1"/>
                <w:szCs w:val="1"/>
                <w:color w:val="auto"/>
              </w:rPr>
            </w:pPr>
          </w:p>
        </w:tc>
      </w:tr>
      <w:tr>
        <w:trPr>
          <w:trHeight w:val="238"/>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Cash collateral, reverse repurchase agreements and securities borrowing</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1,101,856</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1,513,622</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1,410,647</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-6.8%</w:t>
            </w:r>
          </w:p>
        </w:tc>
        <w:tc>
          <w:tcPr>
            <w:tcW w:w="128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28.0%</w:t>
            </w:r>
          </w:p>
        </w:tc>
        <w:tc>
          <w:tcPr>
            <w:tcW w:w="0" w:type="dxa"/>
            <w:vAlign w:val="bottom"/>
          </w:tcPr>
          <w:p>
            <w:pPr>
              <w:spacing w:after="0"/>
              <w:rPr>
                <w:sz w:val="1"/>
                <w:szCs w:val="1"/>
                <w:color w:val="auto"/>
              </w:rPr>
            </w:pPr>
          </w:p>
        </w:tc>
      </w:tr>
      <w:tr>
        <w:trPr>
          <w:trHeight w:val="217"/>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Fair value through profit or loss investments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4,199,334</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5,558,973</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4,982,661</w:t>
            </w:r>
          </w:p>
        </w:tc>
        <w:tc>
          <w:tcPr>
            <w:tcW w:w="680" w:type="dxa"/>
            <w:vAlign w:val="bottom"/>
          </w:tcPr>
          <w:p>
            <w:pPr>
              <w:jc w:val="center"/>
              <w:ind w:left="223"/>
              <w:spacing w:after="0"/>
              <w:rPr>
                <w:sz w:val="20"/>
                <w:szCs w:val="20"/>
                <w:color w:val="auto"/>
              </w:rPr>
            </w:pPr>
            <w:r>
              <w:rPr>
                <w:rFonts w:ascii="Arial" w:cs="Arial" w:eastAsia="Arial" w:hAnsi="Arial"/>
                <w:sz w:val="11"/>
                <w:szCs w:val="11"/>
                <w:color w:val="auto"/>
              </w:rPr>
              <w:t>-10.4%</w:t>
            </w:r>
          </w:p>
        </w:tc>
        <w:tc>
          <w:tcPr>
            <w:tcW w:w="128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Fair value through other comprehensive income investments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30,786,161</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35,475,821</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37,043,940</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4.4%</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149"/>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Amortized cost investments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10,445,729</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10,082,119</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10,188,927</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1.1%</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17"/>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Loans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148,626,374</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145,129,260</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144,976,051</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-0.1%</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580"/>
              <w:spacing w:after="0" w:line="122" w:lineRule="exact"/>
              <w:rPr>
                <w:sz w:val="20"/>
                <w:szCs w:val="20"/>
                <w:color w:val="auto"/>
              </w:rPr>
            </w:pPr>
            <w:r>
              <w:rPr>
                <w:rFonts w:ascii="Arial" w:cs="Arial" w:eastAsia="Arial" w:hAnsi="Arial"/>
                <w:sz w:val="11"/>
                <w:szCs w:val="11"/>
                <w:color w:val="auto"/>
              </w:rPr>
              <w:t>Current</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142,686,630</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138,722,915</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138,849,564</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0.1%</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580"/>
              <w:spacing w:after="0" w:line="122" w:lineRule="exact"/>
              <w:rPr>
                <w:sz w:val="20"/>
                <w:szCs w:val="20"/>
                <w:color w:val="auto"/>
              </w:rPr>
            </w:pPr>
            <w:r>
              <w:rPr>
                <w:rFonts w:ascii="Arial" w:cs="Arial" w:eastAsia="Arial" w:hAnsi="Arial"/>
                <w:sz w:val="11"/>
                <w:szCs w:val="11"/>
                <w:color w:val="auto"/>
              </w:rPr>
              <w:t>Internal overdue loans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5,939,744</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6,406,345</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6,126,487</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-4.4%</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580"/>
              <w:spacing w:after="0" w:line="122" w:lineRule="exact"/>
              <w:rPr>
                <w:sz w:val="20"/>
                <w:szCs w:val="20"/>
                <w:color w:val="auto"/>
              </w:rPr>
            </w:pPr>
            <w:r>
              <w:rPr>
                <w:rFonts w:ascii="Arial" w:cs="Arial" w:eastAsia="Arial" w:hAnsi="Arial"/>
                <w:sz w:val="11"/>
                <w:szCs w:val="11"/>
                <w:color w:val="auto"/>
              </w:rPr>
              <w:t>Less - allowance for loan losses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(7,872,402)</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(8,056,216)</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(8,277,916)</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2.8%</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49"/>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Loans, net</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140,753,972</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137,073,044</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136,698,135</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-0.3%</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17"/>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Financial assets designated at fair value through profit or loss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768,801</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797,545</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810,932</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1.7%</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Property, plant and equipment, net</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1,824,931</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1,752,950</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1,857,240</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5.9%</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Due from customers on acceptances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699,678</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325,771</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412,401</w:t>
            </w:r>
          </w:p>
        </w:tc>
        <w:tc>
          <w:tcPr>
            <w:tcW w:w="68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26.6%</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-41.1%</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Investments in associates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726,993</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707,457</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748,663</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5.8%</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Intangible assets and goodwill, net</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2,899,429</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3,118,496</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3,225,499</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3.4%</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17"/>
        </w:trPr>
        <w:tc>
          <w:tcPr>
            <w:tcW w:w="4140" w:type="dxa"/>
            <w:vAlign w:val="bottom"/>
            <w:tcBorders>
              <w:left w:val="single" w:sz="8" w:color="auto"/>
              <w:right w:val="single" w:sz="8" w:color="auto"/>
            </w:tcBorders>
          </w:tcPr>
          <w:p>
            <w:pPr>
              <w:ind w:left="80"/>
              <w:spacing w:after="0" w:line="117" w:lineRule="exact"/>
              <w:rPr>
                <w:sz w:val="20"/>
                <w:szCs w:val="20"/>
                <w:color w:val="auto"/>
              </w:rPr>
            </w:pPr>
            <w:r>
              <w:rPr>
                <w:rFonts w:ascii="Arial" w:cs="Arial" w:eastAsia="Arial" w:hAnsi="Arial"/>
                <w:sz w:val="11"/>
                <w:szCs w:val="11"/>
                <w:color w:val="auto"/>
              </w:rPr>
              <w:t>Assets by reinsurance contracts</w:t>
            </w:r>
          </w:p>
        </w:tc>
        <w:tc>
          <w:tcPr>
            <w:tcW w:w="1020" w:type="dxa"/>
            <w:vAlign w:val="bottom"/>
          </w:tcPr>
          <w:p>
            <w:pPr>
              <w:spacing w:after="0"/>
              <w:rPr>
                <w:sz w:val="10"/>
                <w:szCs w:val="10"/>
                <w:color w:val="auto"/>
              </w:rPr>
            </w:pPr>
          </w:p>
        </w:tc>
        <w:tc>
          <w:tcPr>
            <w:tcW w:w="960" w:type="dxa"/>
            <w:vAlign w:val="bottom"/>
          </w:tcPr>
          <w:p>
            <w:pPr>
              <w:jc w:val="right"/>
              <w:ind w:right="103"/>
              <w:spacing w:after="0" w:line="117" w:lineRule="exact"/>
              <w:rPr>
                <w:sz w:val="20"/>
                <w:szCs w:val="20"/>
                <w:color w:val="auto"/>
              </w:rPr>
            </w:pPr>
            <w:r>
              <w:rPr>
                <w:rFonts w:ascii="Arial" w:cs="Arial" w:eastAsia="Arial" w:hAnsi="Arial"/>
                <w:sz w:val="11"/>
                <w:szCs w:val="11"/>
                <w:color w:val="auto"/>
              </w:rPr>
              <w:t>803,868</w:t>
            </w:r>
          </w:p>
        </w:tc>
        <w:tc>
          <w:tcPr>
            <w:tcW w:w="920" w:type="dxa"/>
            <w:vAlign w:val="bottom"/>
            <w:tcBorders>
              <w:right w:val="single" w:sz="8" w:color="auto"/>
            </w:tcBorders>
          </w:tcPr>
          <w:p>
            <w:pPr>
              <w:jc w:val="right"/>
              <w:ind w:right="43"/>
              <w:spacing w:after="0" w:line="117" w:lineRule="exact"/>
              <w:rPr>
                <w:sz w:val="20"/>
                <w:szCs w:val="20"/>
                <w:color w:val="auto"/>
              </w:rPr>
            </w:pPr>
            <w:r>
              <w:rPr>
                <w:rFonts w:ascii="Arial" w:cs="Arial" w:eastAsia="Arial" w:hAnsi="Arial"/>
                <w:sz w:val="11"/>
                <w:szCs w:val="11"/>
                <w:color w:val="auto"/>
              </w:rPr>
              <w:t>872,046</w:t>
            </w:r>
          </w:p>
        </w:tc>
        <w:tc>
          <w:tcPr>
            <w:tcW w:w="680" w:type="dxa"/>
            <w:vAlign w:val="bottom"/>
          </w:tcPr>
          <w:p>
            <w:pPr>
              <w:jc w:val="center"/>
              <w:ind w:left="203"/>
              <w:spacing w:after="0" w:line="117" w:lineRule="exact"/>
              <w:rPr>
                <w:sz w:val="20"/>
                <w:szCs w:val="20"/>
                <w:color w:val="auto"/>
              </w:rPr>
            </w:pPr>
            <w:r>
              <w:rPr>
                <w:rFonts w:ascii="Arial" w:cs="Arial" w:eastAsia="Arial" w:hAnsi="Arial"/>
                <w:sz w:val="11"/>
                <w:szCs w:val="11"/>
                <w:color w:val="auto"/>
              </w:rPr>
              <w:t>8.5%</w:t>
            </w:r>
          </w:p>
        </w:tc>
        <w:tc>
          <w:tcPr>
            <w:tcW w:w="1280" w:type="dxa"/>
            <w:vAlign w:val="bottom"/>
            <w:tcBorders>
              <w:right w:val="single" w:sz="8" w:color="auto"/>
            </w:tcBorders>
          </w:tcPr>
          <w:p>
            <w:pPr>
              <w:jc w:val="center"/>
              <w:ind w:left="183"/>
              <w:spacing w:after="0" w:line="117" w:lineRule="exact"/>
              <w:rPr>
                <w:sz w:val="20"/>
                <w:szCs w:val="20"/>
                <w:color w:val="auto"/>
              </w:rPr>
            </w:pPr>
            <w:r>
              <w:rPr>
                <w:rFonts w:ascii="Arial" w:cs="Arial" w:eastAsia="Arial" w:hAnsi="Arial"/>
                <w:sz w:val="11"/>
                <w:szCs w:val="11"/>
                <w:color w:val="auto"/>
              </w:rPr>
              <w:t>17.2%</w:t>
            </w:r>
          </w:p>
        </w:tc>
        <w:tc>
          <w:tcPr>
            <w:tcW w:w="0" w:type="dxa"/>
            <w:vAlign w:val="bottom"/>
          </w:tcPr>
          <w:p>
            <w:pPr>
              <w:spacing w:after="0"/>
              <w:rPr>
                <w:sz w:val="1"/>
                <w:szCs w:val="1"/>
                <w:color w:val="auto"/>
              </w:rPr>
            </w:pPr>
          </w:p>
        </w:tc>
      </w:tr>
      <w:tr>
        <w:trPr>
          <w:trHeight w:val="249"/>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 xml:space="preserve">Other assets </w:t>
            </w:r>
            <w:r>
              <w:rPr>
                <w:rFonts w:ascii="Arial" w:cs="Arial" w:eastAsia="Arial" w:hAnsi="Arial"/>
                <w:sz w:val="18"/>
                <w:szCs w:val="18"/>
                <w:color w:val="auto"/>
                <w:vertAlign w:val="superscript"/>
              </w:rPr>
              <w:t>(1)</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6,293,599</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8,293,532</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6,658,149</w:t>
            </w:r>
          </w:p>
        </w:tc>
        <w:tc>
          <w:tcPr>
            <w:tcW w:w="680" w:type="dxa"/>
            <w:vAlign w:val="bottom"/>
          </w:tcPr>
          <w:p>
            <w:pPr>
              <w:jc w:val="center"/>
              <w:ind w:left="223"/>
              <w:spacing w:after="0"/>
              <w:rPr>
                <w:sz w:val="20"/>
                <w:szCs w:val="20"/>
                <w:color w:val="auto"/>
              </w:rPr>
            </w:pPr>
            <w:r>
              <w:rPr>
                <w:rFonts w:ascii="Arial" w:cs="Arial" w:eastAsia="Arial" w:hAnsi="Arial"/>
                <w:sz w:val="11"/>
                <w:szCs w:val="11"/>
                <w:color w:val="auto"/>
              </w:rPr>
              <w:t>-19.7%</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55"/>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Total Assets</w:t>
            </w:r>
          </w:p>
        </w:tc>
        <w:tc>
          <w:tcPr>
            <w:tcW w:w="1020" w:type="dxa"/>
            <w:vAlign w:val="bottom"/>
          </w:tcPr>
          <w:p>
            <w:pPr>
              <w:jc w:val="right"/>
              <w:ind w:right="123"/>
              <w:spacing w:after="0"/>
              <w:rPr>
                <w:sz w:val="20"/>
                <w:szCs w:val="20"/>
                <w:color w:val="auto"/>
              </w:rPr>
            </w:pPr>
            <w:r>
              <w:rPr>
                <w:rFonts w:ascii="Arial" w:cs="Arial" w:eastAsia="Arial" w:hAnsi="Arial"/>
                <w:sz w:val="11"/>
                <w:szCs w:val="11"/>
                <w:b w:val="1"/>
                <w:bCs w:val="1"/>
                <w:color w:val="auto"/>
              </w:rPr>
              <w:t>236,750,138</w:t>
            </w:r>
          </w:p>
        </w:tc>
        <w:tc>
          <w:tcPr>
            <w:tcW w:w="960" w:type="dxa"/>
            <w:vAlign w:val="bottom"/>
          </w:tcPr>
          <w:p>
            <w:pPr>
              <w:jc w:val="right"/>
              <w:ind w:right="103"/>
              <w:spacing w:after="0"/>
              <w:rPr>
                <w:sz w:val="20"/>
                <w:szCs w:val="20"/>
                <w:color w:val="auto"/>
              </w:rPr>
            </w:pPr>
            <w:r>
              <w:rPr>
                <w:rFonts w:ascii="Arial" w:cs="Arial" w:eastAsia="Arial" w:hAnsi="Arial"/>
                <w:sz w:val="11"/>
                <w:szCs w:val="11"/>
                <w:b w:val="1"/>
                <w:bCs w:val="1"/>
                <w:color w:val="auto"/>
              </w:rPr>
              <w:t>238,458,658</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238,840,188</w:t>
            </w:r>
          </w:p>
        </w:tc>
        <w:tc>
          <w:tcPr>
            <w:tcW w:w="680" w:type="dxa"/>
            <w:vAlign w:val="bottom"/>
          </w:tcPr>
          <w:p>
            <w:pPr>
              <w:jc w:val="center"/>
              <w:ind w:left="203"/>
              <w:spacing w:after="0"/>
              <w:rPr>
                <w:sz w:val="20"/>
                <w:szCs w:val="20"/>
                <w:color w:val="auto"/>
              </w:rPr>
            </w:pPr>
            <w:r>
              <w:rPr>
                <w:rFonts w:ascii="Arial" w:cs="Arial" w:eastAsia="Arial" w:hAnsi="Arial"/>
                <w:sz w:val="11"/>
                <w:szCs w:val="11"/>
                <w:b w:val="1"/>
                <w:bCs w:val="1"/>
                <w:color w:val="auto"/>
              </w:rPr>
              <w:t>0.2%</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1.5%</w:t>
            </w:r>
          </w:p>
        </w:tc>
        <w:tc>
          <w:tcPr>
            <w:tcW w:w="0" w:type="dxa"/>
            <w:vAlign w:val="bottom"/>
          </w:tcPr>
          <w:p>
            <w:pPr>
              <w:spacing w:after="0"/>
              <w:rPr>
                <w:sz w:val="1"/>
                <w:szCs w:val="1"/>
                <w:color w:val="auto"/>
              </w:rPr>
            </w:pPr>
          </w:p>
        </w:tc>
      </w:tr>
      <w:tr>
        <w:trPr>
          <w:trHeight w:val="211"/>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LIABILITIES AND EQUITY</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b w:val="1"/>
                <w:bCs w:val="1"/>
                <w:color w:val="auto"/>
              </w:rPr>
              <w:t>Deposits and obligations</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580"/>
              <w:spacing w:after="0" w:line="122" w:lineRule="exact"/>
              <w:rPr>
                <w:sz w:val="20"/>
                <w:szCs w:val="20"/>
                <w:color w:val="auto"/>
              </w:rPr>
            </w:pPr>
            <w:r>
              <w:rPr>
                <w:rFonts w:ascii="Arial" w:cs="Arial" w:eastAsia="Arial" w:hAnsi="Arial"/>
                <w:sz w:val="11"/>
                <w:szCs w:val="11"/>
                <w:color w:val="auto"/>
              </w:rPr>
              <w:t>Non-interest bearing</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43,346,151</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40,363,636</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42,234,498</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4.6%</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580"/>
              <w:spacing w:after="0" w:line="122" w:lineRule="exact"/>
              <w:rPr>
                <w:sz w:val="20"/>
                <w:szCs w:val="20"/>
                <w:color w:val="auto"/>
              </w:rPr>
            </w:pPr>
            <w:r>
              <w:rPr>
                <w:rFonts w:ascii="Arial" w:cs="Arial" w:eastAsia="Arial" w:hAnsi="Arial"/>
                <w:sz w:val="11"/>
                <w:szCs w:val="11"/>
                <w:color w:val="auto"/>
              </w:rPr>
              <w:t>Interest bearing</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103,674,636</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108,107,899</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105,470,496</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-2.4%</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9"/>
        </w:trPr>
        <w:tc>
          <w:tcPr>
            <w:tcW w:w="41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11"/>
                <w:szCs w:val="11"/>
                <w:color w:val="auto"/>
              </w:rPr>
              <w:t>Total deposits and obligations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147,020,787</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148,471,535</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147,704,994</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-0.5%</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217"/>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Payables from repurchase agreements and securities lending</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12,966,725</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11,738,020</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10,168,427</w:t>
            </w:r>
          </w:p>
        </w:tc>
        <w:tc>
          <w:tcPr>
            <w:tcW w:w="680" w:type="dxa"/>
            <w:vAlign w:val="bottom"/>
          </w:tcPr>
          <w:p>
            <w:pPr>
              <w:jc w:val="center"/>
              <w:ind w:left="223"/>
              <w:spacing w:after="0"/>
              <w:rPr>
                <w:sz w:val="20"/>
                <w:szCs w:val="20"/>
                <w:color w:val="auto"/>
              </w:rPr>
            </w:pPr>
            <w:r>
              <w:rPr>
                <w:rFonts w:ascii="Arial" w:cs="Arial" w:eastAsia="Arial" w:hAnsi="Arial"/>
                <w:sz w:val="11"/>
                <w:szCs w:val="11"/>
                <w:color w:val="auto"/>
              </w:rPr>
              <w:t>-13.4%</w:t>
            </w:r>
          </w:p>
        </w:tc>
        <w:tc>
          <w:tcPr>
            <w:tcW w:w="128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-21.6%</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580"/>
              <w:spacing w:after="0" w:line="122" w:lineRule="exact"/>
              <w:rPr>
                <w:sz w:val="20"/>
                <w:szCs w:val="20"/>
                <w:color w:val="auto"/>
              </w:rPr>
            </w:pPr>
            <w:r>
              <w:rPr>
                <w:rFonts w:ascii="Arial" w:cs="Arial" w:eastAsia="Arial" w:hAnsi="Arial"/>
                <w:sz w:val="11"/>
                <w:szCs w:val="11"/>
                <w:color w:val="auto"/>
              </w:rPr>
              <w:t>BCRP instruments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11,297,659</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9,616,150</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7,461,674</w:t>
            </w:r>
          </w:p>
        </w:tc>
        <w:tc>
          <w:tcPr>
            <w:tcW w:w="68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-22.4%</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-34.0%</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580"/>
              <w:spacing w:after="0" w:line="122" w:lineRule="exact"/>
              <w:rPr>
                <w:sz w:val="20"/>
                <w:szCs w:val="20"/>
                <w:color w:val="auto"/>
              </w:rPr>
            </w:pPr>
            <w:r>
              <w:rPr>
                <w:rFonts w:ascii="Arial" w:cs="Arial" w:eastAsia="Arial" w:hAnsi="Arial"/>
                <w:sz w:val="11"/>
                <w:szCs w:val="11"/>
                <w:color w:val="auto"/>
              </w:rPr>
              <w:t>Repurchase agreements with third parties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976,020</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1,266,852</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1,134,886</w:t>
            </w:r>
          </w:p>
        </w:tc>
        <w:tc>
          <w:tcPr>
            <w:tcW w:w="68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-10.4%</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49"/>
        </w:trPr>
        <w:tc>
          <w:tcPr>
            <w:tcW w:w="41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11"/>
                <w:szCs w:val="11"/>
                <w:color w:val="auto"/>
              </w:rPr>
              <w:t>Repurchase agreements with customers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693,046</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855,018</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1,571,867</w:t>
            </w:r>
          </w:p>
        </w:tc>
        <w:tc>
          <w:tcPr>
            <w:tcW w:w="680" w:type="dxa"/>
            <w:vAlign w:val="bottom"/>
          </w:tcPr>
          <w:p>
            <w:pPr>
              <w:jc w:val="center"/>
              <w:ind w:left="223"/>
              <w:spacing w:after="0"/>
              <w:rPr>
                <w:sz w:val="20"/>
                <w:szCs w:val="20"/>
                <w:color w:val="auto"/>
              </w:rPr>
            </w:pPr>
            <w:r>
              <w:rPr>
                <w:rFonts w:ascii="Arial" w:cs="Arial" w:eastAsia="Arial" w:hAnsi="Arial"/>
                <w:sz w:val="11"/>
                <w:szCs w:val="11"/>
                <w:color w:val="auto"/>
              </w:rPr>
              <w:t>83.8%</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126.8%</w:t>
            </w:r>
          </w:p>
        </w:tc>
        <w:tc>
          <w:tcPr>
            <w:tcW w:w="0" w:type="dxa"/>
            <w:vAlign w:val="bottom"/>
          </w:tcPr>
          <w:p>
            <w:pPr>
              <w:spacing w:after="0"/>
              <w:rPr>
                <w:sz w:val="1"/>
                <w:szCs w:val="1"/>
                <w:color w:val="auto"/>
              </w:rPr>
            </w:pPr>
          </w:p>
        </w:tc>
      </w:tr>
      <w:tr>
        <w:trPr>
          <w:trHeight w:val="217"/>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Due to banks and correspondents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8,937,411</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10,493,411</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12,278,681</w:t>
            </w:r>
          </w:p>
        </w:tc>
        <w:tc>
          <w:tcPr>
            <w:tcW w:w="680" w:type="dxa"/>
            <w:vAlign w:val="bottom"/>
          </w:tcPr>
          <w:p>
            <w:pPr>
              <w:jc w:val="center"/>
              <w:ind w:left="223"/>
              <w:spacing w:after="0"/>
              <w:rPr>
                <w:sz w:val="20"/>
                <w:szCs w:val="20"/>
                <w:color w:val="auto"/>
              </w:rPr>
            </w:pPr>
            <w:r>
              <w:rPr>
                <w:rFonts w:ascii="Arial" w:cs="Arial" w:eastAsia="Arial" w:hAnsi="Arial"/>
                <w:sz w:val="11"/>
                <w:szCs w:val="11"/>
                <w:color w:val="auto"/>
              </w:rPr>
              <w:t>17.0%</w:t>
            </w:r>
          </w:p>
        </w:tc>
        <w:tc>
          <w:tcPr>
            <w:tcW w:w="128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Bonds and notes issued</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17,007,194</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14,914,632</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14,594,785</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-2.1%</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Banker’s acceptances outstanding</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699,678</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325,771</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412,401</w:t>
            </w:r>
          </w:p>
        </w:tc>
        <w:tc>
          <w:tcPr>
            <w:tcW w:w="68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26.6%</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-41.1%</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Liabilities by insurance contracts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12,411,053</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11,653,015</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12,318,133</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5.7%</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Financial liabilities at fair value through profit or loss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191,010</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455,350</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641,915</w:t>
            </w:r>
          </w:p>
        </w:tc>
        <w:tc>
          <w:tcPr>
            <w:tcW w:w="68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41.0%</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236.1%</w:t>
            </w:r>
          </w:p>
        </w:tc>
        <w:tc>
          <w:tcPr>
            <w:tcW w:w="0" w:type="dxa"/>
            <w:vAlign w:val="bottom"/>
          </w:tcPr>
          <w:p>
            <w:pPr>
              <w:spacing w:after="0"/>
              <w:rPr>
                <w:sz w:val="1"/>
                <w:szCs w:val="1"/>
                <w:color w:val="auto"/>
              </w:rPr>
            </w:pPr>
          </w:p>
        </w:tc>
      </w:tr>
      <w:tr>
        <w:trPr>
          <w:trHeight w:val="149"/>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Other liabilities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7,943,225</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8,499,868</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7,613,787</w:t>
            </w:r>
          </w:p>
        </w:tc>
        <w:tc>
          <w:tcPr>
            <w:tcW w:w="680" w:type="dxa"/>
            <w:vAlign w:val="bottom"/>
          </w:tcPr>
          <w:p>
            <w:pPr>
              <w:jc w:val="center"/>
              <w:ind w:left="223"/>
              <w:spacing w:after="0"/>
              <w:rPr>
                <w:sz w:val="20"/>
                <w:szCs w:val="20"/>
                <w:color w:val="auto"/>
              </w:rPr>
            </w:pPr>
            <w:r>
              <w:rPr>
                <w:rFonts w:ascii="Arial" w:cs="Arial" w:eastAsia="Arial" w:hAnsi="Arial"/>
                <w:sz w:val="11"/>
                <w:szCs w:val="11"/>
                <w:color w:val="auto"/>
              </w:rPr>
              <w:t>-10.4%</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50"/>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Total Liabilities</w:t>
            </w:r>
          </w:p>
        </w:tc>
        <w:tc>
          <w:tcPr>
            <w:tcW w:w="1020" w:type="dxa"/>
            <w:vAlign w:val="bottom"/>
          </w:tcPr>
          <w:p>
            <w:pPr>
              <w:jc w:val="right"/>
              <w:ind w:right="123"/>
              <w:spacing w:after="0"/>
              <w:rPr>
                <w:sz w:val="20"/>
                <w:szCs w:val="20"/>
                <w:color w:val="auto"/>
              </w:rPr>
            </w:pPr>
            <w:r>
              <w:rPr>
                <w:rFonts w:ascii="Arial" w:cs="Arial" w:eastAsia="Arial" w:hAnsi="Arial"/>
                <w:sz w:val="11"/>
                <w:szCs w:val="11"/>
                <w:b w:val="1"/>
                <w:bCs w:val="1"/>
                <w:color w:val="auto"/>
              </w:rPr>
              <w:t>207,160,838</w:t>
            </w:r>
          </w:p>
        </w:tc>
        <w:tc>
          <w:tcPr>
            <w:tcW w:w="960" w:type="dxa"/>
            <w:vAlign w:val="bottom"/>
          </w:tcPr>
          <w:p>
            <w:pPr>
              <w:jc w:val="right"/>
              <w:ind w:right="103"/>
              <w:spacing w:after="0"/>
              <w:rPr>
                <w:sz w:val="20"/>
                <w:szCs w:val="20"/>
                <w:color w:val="auto"/>
              </w:rPr>
            </w:pPr>
            <w:r>
              <w:rPr>
                <w:rFonts w:ascii="Arial" w:cs="Arial" w:eastAsia="Arial" w:hAnsi="Arial"/>
                <w:sz w:val="11"/>
                <w:szCs w:val="11"/>
                <w:b w:val="1"/>
                <w:bCs w:val="1"/>
                <w:color w:val="auto"/>
              </w:rPr>
              <w:t>206,551,602</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205,733,123</w:t>
            </w:r>
          </w:p>
        </w:tc>
        <w:tc>
          <w:tcPr>
            <w:tcW w:w="680" w:type="dxa"/>
            <w:vAlign w:val="bottom"/>
          </w:tcPr>
          <w:p>
            <w:pPr>
              <w:jc w:val="center"/>
              <w:ind w:left="203"/>
              <w:spacing w:after="0"/>
              <w:rPr>
                <w:sz w:val="20"/>
                <w:szCs w:val="20"/>
                <w:color w:val="auto"/>
              </w:rPr>
            </w:pPr>
            <w:r>
              <w:rPr>
                <w:rFonts w:ascii="Arial" w:cs="Arial" w:eastAsia="Arial" w:hAnsi="Arial"/>
                <w:sz w:val="11"/>
                <w:szCs w:val="11"/>
                <w:b w:val="1"/>
                <w:bCs w:val="1"/>
                <w:color w:val="auto"/>
              </w:rPr>
              <w:t>-0.4%</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0.0%</w:t>
            </w:r>
          </w:p>
        </w:tc>
        <w:tc>
          <w:tcPr>
            <w:tcW w:w="0" w:type="dxa"/>
            <w:vAlign w:val="bottom"/>
          </w:tcPr>
          <w:p>
            <w:pPr>
              <w:spacing w:after="0"/>
              <w:rPr>
                <w:sz w:val="1"/>
                <w:szCs w:val="1"/>
                <w:color w:val="auto"/>
              </w:rPr>
            </w:pPr>
          </w:p>
        </w:tc>
      </w:tr>
      <w:tr>
        <w:trPr>
          <w:trHeight w:val="211"/>
        </w:trPr>
        <w:tc>
          <w:tcPr>
            <w:tcW w:w="41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1"/>
                <w:szCs w:val="11"/>
                <w:b w:val="1"/>
                <w:bCs w:val="1"/>
                <w:color w:val="auto"/>
              </w:rPr>
              <w:t>Net equity</w:t>
            </w:r>
          </w:p>
        </w:tc>
        <w:tc>
          <w:tcPr>
            <w:tcW w:w="102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28,997,731</w:t>
            </w:r>
          </w:p>
        </w:tc>
        <w:tc>
          <w:tcPr>
            <w:tcW w:w="96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31,267,592</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1,318,993</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0.0%</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b w:val="1"/>
                <w:bCs w:val="1"/>
                <w:color w:val="auto"/>
              </w:rPr>
              <w:t>32,460,004</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b w:val="1"/>
                <w:bCs w:val="1"/>
                <w:color w:val="auto"/>
              </w:rPr>
              <w:t>3.8%</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b w:val="1"/>
                <w:bCs w:val="1"/>
                <w:color w:val="auto"/>
              </w:rPr>
              <w:t>11.9%</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Capital stock</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1,318,993</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1,318,993</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1,318,993</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0.0%</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Treasury stock</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(207,518)</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(208,033)</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(208,033)</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0.0%</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Capital surplus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231,556</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225,338</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228,239</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1.3%</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Reserves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23,659,626</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26,239,162</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26,252,578</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0.1%</w:t>
            </w:r>
          </w:p>
        </w:tc>
        <w:tc>
          <w:tcPr>
            <w:tcW w:w="1280" w:type="dxa"/>
            <w:vAlign w:val="bottom"/>
            <w:tcBorders>
              <w:right w:val="single" w:sz="8" w:color="auto"/>
            </w:tcBorders>
          </w:tcPr>
          <w:p>
            <w:pPr>
              <w:jc w:val="center"/>
              <w:ind w:left="183"/>
              <w:spacing w:after="0" w:line="122"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Other reserves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(650,116)</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(29,526)</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295,783</w:t>
            </w:r>
          </w:p>
        </w:tc>
        <w:tc>
          <w:tcPr>
            <w:tcW w:w="68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n.a</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-207.1%</w:t>
            </w:r>
          </w:p>
        </w:tc>
        <w:tc>
          <w:tcPr>
            <w:tcW w:w="0" w:type="dxa"/>
            <w:vAlign w:val="bottom"/>
          </w:tcPr>
          <w:p>
            <w:pPr>
              <w:spacing w:after="0"/>
              <w:rPr>
                <w:sz w:val="1"/>
                <w:szCs w:val="1"/>
                <w:color w:val="auto"/>
              </w:rPr>
            </w:pPr>
          </w:p>
        </w:tc>
      </w:tr>
      <w:tr>
        <w:trPr>
          <w:trHeight w:val="149"/>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Retained earnings</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4,635,599</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3,721,658</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4,572,444</w:t>
            </w:r>
          </w:p>
        </w:tc>
        <w:tc>
          <w:tcPr>
            <w:tcW w:w="680" w:type="dxa"/>
            <w:vAlign w:val="bottom"/>
          </w:tcPr>
          <w:p>
            <w:pPr>
              <w:jc w:val="center"/>
              <w:ind w:left="223"/>
              <w:spacing w:after="0"/>
              <w:rPr>
                <w:sz w:val="20"/>
                <w:szCs w:val="20"/>
                <w:color w:val="auto"/>
              </w:rPr>
            </w:pPr>
            <w:r>
              <w:rPr>
                <w:rFonts w:ascii="Arial" w:cs="Arial" w:eastAsia="Arial" w:hAnsi="Arial"/>
                <w:sz w:val="11"/>
                <w:szCs w:val="11"/>
                <w:color w:val="auto"/>
              </w:rPr>
              <w:t>22.9%</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244"/>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Non-controlling interest</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591,569</w:t>
            </w: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639,464</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647,061</w:t>
            </w:r>
          </w:p>
        </w:tc>
        <w:tc>
          <w:tcPr>
            <w:tcW w:w="680" w:type="dxa"/>
            <w:vAlign w:val="bottom"/>
          </w:tcPr>
          <w:p>
            <w:pPr>
              <w:jc w:val="center"/>
              <w:ind w:left="203"/>
              <w:spacing w:after="0"/>
              <w:rPr>
                <w:sz w:val="20"/>
                <w:szCs w:val="20"/>
                <w:color w:val="auto"/>
              </w:rPr>
            </w:pPr>
            <w:r>
              <w:rPr>
                <w:rFonts w:ascii="Arial" w:cs="Arial" w:eastAsia="Arial" w:hAnsi="Arial"/>
                <w:sz w:val="11"/>
                <w:szCs w:val="11"/>
                <w:color w:val="auto"/>
              </w:rPr>
              <w:t>1.2%</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250"/>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Total Net Equity</w:t>
            </w:r>
          </w:p>
        </w:tc>
        <w:tc>
          <w:tcPr>
            <w:tcW w:w="1020" w:type="dxa"/>
            <w:vAlign w:val="bottom"/>
          </w:tcPr>
          <w:p>
            <w:pPr>
              <w:jc w:val="right"/>
              <w:ind w:right="123"/>
              <w:spacing w:after="0"/>
              <w:rPr>
                <w:sz w:val="20"/>
                <w:szCs w:val="20"/>
                <w:color w:val="auto"/>
              </w:rPr>
            </w:pPr>
            <w:r>
              <w:rPr>
                <w:rFonts w:ascii="Arial" w:cs="Arial" w:eastAsia="Arial" w:hAnsi="Arial"/>
                <w:sz w:val="11"/>
                <w:szCs w:val="11"/>
                <w:b w:val="1"/>
                <w:bCs w:val="1"/>
                <w:color w:val="auto"/>
              </w:rPr>
              <w:t>29,579,709</w:t>
            </w:r>
          </w:p>
        </w:tc>
        <w:tc>
          <w:tcPr>
            <w:tcW w:w="960" w:type="dxa"/>
            <w:vAlign w:val="bottom"/>
          </w:tcPr>
          <w:p>
            <w:pPr>
              <w:jc w:val="right"/>
              <w:ind w:right="103"/>
              <w:spacing w:after="0"/>
              <w:rPr>
                <w:sz w:val="20"/>
                <w:szCs w:val="20"/>
                <w:color w:val="auto"/>
              </w:rPr>
            </w:pPr>
            <w:r>
              <w:rPr>
                <w:rFonts w:ascii="Arial" w:cs="Arial" w:eastAsia="Arial" w:hAnsi="Arial"/>
                <w:sz w:val="11"/>
                <w:szCs w:val="11"/>
                <w:b w:val="1"/>
                <w:bCs w:val="1"/>
                <w:color w:val="auto"/>
              </w:rPr>
              <w:t>31,907,056</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33,107,065</w:t>
            </w:r>
          </w:p>
        </w:tc>
        <w:tc>
          <w:tcPr>
            <w:tcW w:w="680" w:type="dxa"/>
            <w:vAlign w:val="bottom"/>
          </w:tcPr>
          <w:p>
            <w:pPr>
              <w:jc w:val="center"/>
              <w:ind w:left="203"/>
              <w:spacing w:after="0"/>
              <w:rPr>
                <w:sz w:val="20"/>
                <w:szCs w:val="20"/>
                <w:color w:val="auto"/>
              </w:rPr>
            </w:pPr>
            <w:r>
              <w:rPr>
                <w:rFonts w:ascii="Arial" w:cs="Arial" w:eastAsia="Arial" w:hAnsi="Arial"/>
                <w:sz w:val="11"/>
                <w:szCs w:val="11"/>
                <w:b w:val="1"/>
                <w:bCs w:val="1"/>
                <w:color w:val="auto"/>
              </w:rPr>
              <w:t>3.8%</w:t>
            </w:r>
          </w:p>
        </w:tc>
        <w:tc>
          <w:tcPr>
            <w:tcW w:w="128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b w:val="1"/>
                <w:bCs w:val="1"/>
                <w:color w:val="auto"/>
              </w:rPr>
              <w:t>11.9%</w:t>
            </w:r>
          </w:p>
        </w:tc>
        <w:tc>
          <w:tcPr>
            <w:tcW w:w="0" w:type="dxa"/>
            <w:vAlign w:val="bottom"/>
          </w:tcPr>
          <w:p>
            <w:pPr>
              <w:spacing w:after="0"/>
              <w:rPr>
                <w:sz w:val="1"/>
                <w:szCs w:val="1"/>
                <w:color w:val="auto"/>
              </w:rPr>
            </w:pPr>
          </w:p>
        </w:tc>
      </w:tr>
      <w:tr>
        <w:trPr>
          <w:trHeight w:val="244"/>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Total liabilities and equity</w:t>
            </w:r>
          </w:p>
        </w:tc>
        <w:tc>
          <w:tcPr>
            <w:tcW w:w="1020" w:type="dxa"/>
            <w:vAlign w:val="bottom"/>
          </w:tcPr>
          <w:p>
            <w:pPr>
              <w:jc w:val="right"/>
              <w:ind w:right="123"/>
              <w:spacing w:after="0"/>
              <w:rPr>
                <w:sz w:val="20"/>
                <w:szCs w:val="20"/>
                <w:color w:val="auto"/>
              </w:rPr>
            </w:pPr>
            <w:r>
              <w:rPr>
                <w:rFonts w:ascii="Arial" w:cs="Arial" w:eastAsia="Arial" w:hAnsi="Arial"/>
                <w:sz w:val="11"/>
                <w:szCs w:val="11"/>
                <w:b w:val="1"/>
                <w:bCs w:val="1"/>
                <w:color w:val="auto"/>
              </w:rPr>
              <w:t>236,775,218</w:t>
            </w:r>
          </w:p>
        </w:tc>
        <w:tc>
          <w:tcPr>
            <w:tcW w:w="960" w:type="dxa"/>
            <w:vAlign w:val="bottom"/>
          </w:tcPr>
          <w:p>
            <w:pPr>
              <w:jc w:val="right"/>
              <w:ind w:right="103"/>
              <w:spacing w:after="0"/>
              <w:rPr>
                <w:sz w:val="20"/>
                <w:szCs w:val="20"/>
                <w:color w:val="auto"/>
              </w:rPr>
            </w:pPr>
            <w:r>
              <w:rPr>
                <w:rFonts w:ascii="Arial" w:cs="Arial" w:eastAsia="Arial" w:hAnsi="Arial"/>
                <w:sz w:val="11"/>
                <w:szCs w:val="11"/>
                <w:b w:val="1"/>
                <w:bCs w:val="1"/>
                <w:color w:val="auto"/>
              </w:rPr>
              <w:t>238,458,658</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238,840,188</w:t>
            </w:r>
          </w:p>
        </w:tc>
        <w:tc>
          <w:tcPr>
            <w:tcW w:w="680" w:type="dxa"/>
            <w:vAlign w:val="bottom"/>
          </w:tcPr>
          <w:p>
            <w:pPr>
              <w:jc w:val="center"/>
              <w:ind w:left="203"/>
              <w:spacing w:after="0"/>
              <w:rPr>
                <w:sz w:val="20"/>
                <w:szCs w:val="20"/>
                <w:color w:val="auto"/>
              </w:rPr>
            </w:pPr>
            <w:r>
              <w:rPr>
                <w:rFonts w:ascii="Arial" w:cs="Arial" w:eastAsia="Arial" w:hAnsi="Arial"/>
                <w:sz w:val="11"/>
                <w:szCs w:val="11"/>
                <w:b w:val="1"/>
                <w:bCs w:val="1"/>
                <w:color w:val="auto"/>
              </w:rPr>
              <w:t>0.2%</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1.5%</w:t>
            </w:r>
          </w:p>
        </w:tc>
        <w:tc>
          <w:tcPr>
            <w:tcW w:w="0" w:type="dxa"/>
            <w:vAlign w:val="bottom"/>
          </w:tcPr>
          <w:p>
            <w:pPr>
              <w:spacing w:after="0"/>
              <w:rPr>
                <w:sz w:val="1"/>
                <w:szCs w:val="1"/>
                <w:color w:val="auto"/>
              </w:rPr>
            </w:pPr>
          </w:p>
        </w:tc>
      </w:tr>
      <w:tr>
        <w:trPr>
          <w:trHeight w:val="211"/>
        </w:trPr>
        <w:tc>
          <w:tcPr>
            <w:tcW w:w="4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Off-balance sheet</w:t>
            </w:r>
          </w:p>
        </w:tc>
        <w:tc>
          <w:tcPr>
            <w:tcW w:w="1020" w:type="dxa"/>
            <w:vAlign w:val="bottom"/>
          </w:tcPr>
          <w:p>
            <w:pPr>
              <w:jc w:val="right"/>
              <w:ind w:right="123"/>
              <w:spacing w:after="0"/>
              <w:rPr>
                <w:sz w:val="20"/>
                <w:szCs w:val="20"/>
                <w:color w:val="auto"/>
              </w:rPr>
            </w:pPr>
            <w:r>
              <w:rPr>
                <w:rFonts w:ascii="Arial" w:cs="Arial" w:eastAsia="Arial" w:hAnsi="Arial"/>
                <w:sz w:val="11"/>
                <w:szCs w:val="11"/>
                <w:b w:val="1"/>
                <w:bCs w:val="1"/>
                <w:color w:val="auto"/>
              </w:rPr>
              <w:t>150,977,864</w:t>
            </w:r>
          </w:p>
        </w:tc>
        <w:tc>
          <w:tcPr>
            <w:tcW w:w="960" w:type="dxa"/>
            <w:vAlign w:val="bottom"/>
          </w:tcPr>
          <w:p>
            <w:pPr>
              <w:jc w:val="right"/>
              <w:ind w:right="103"/>
              <w:spacing w:after="0"/>
              <w:rPr>
                <w:sz w:val="20"/>
                <w:szCs w:val="20"/>
                <w:color w:val="auto"/>
              </w:rPr>
            </w:pPr>
            <w:r>
              <w:rPr>
                <w:rFonts w:ascii="Arial" w:cs="Arial" w:eastAsia="Arial" w:hAnsi="Arial"/>
                <w:sz w:val="11"/>
                <w:szCs w:val="11"/>
                <w:b w:val="1"/>
                <w:bCs w:val="1"/>
                <w:color w:val="auto"/>
              </w:rPr>
              <w:t>151,484,019</w:t>
            </w:r>
          </w:p>
        </w:tc>
        <w:tc>
          <w:tcPr>
            <w:tcW w:w="92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149,769,480</w:t>
            </w:r>
          </w:p>
        </w:tc>
        <w:tc>
          <w:tcPr>
            <w:tcW w:w="680" w:type="dxa"/>
            <w:vAlign w:val="bottom"/>
          </w:tcPr>
          <w:p>
            <w:pPr>
              <w:jc w:val="center"/>
              <w:ind w:left="203"/>
              <w:spacing w:after="0"/>
              <w:rPr>
                <w:sz w:val="20"/>
                <w:szCs w:val="20"/>
                <w:color w:val="auto"/>
              </w:rPr>
            </w:pPr>
            <w:r>
              <w:rPr>
                <w:rFonts w:ascii="Arial" w:cs="Arial" w:eastAsia="Arial" w:hAnsi="Arial"/>
                <w:sz w:val="11"/>
                <w:szCs w:val="11"/>
                <w:b w:val="1"/>
                <w:bCs w:val="1"/>
                <w:color w:val="auto"/>
              </w:rPr>
              <w:t>-1.1%</w:t>
            </w:r>
          </w:p>
        </w:tc>
        <w:tc>
          <w:tcPr>
            <w:tcW w:w="128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-0.8%</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Total performance bonds, stand-by and L/Cs.</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20,928,054</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18,945,883</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20,051,616</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5.8%</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Undrawn credit lines, advised but not committed</w:t>
            </w:r>
          </w:p>
        </w:tc>
        <w:tc>
          <w:tcPr>
            <w:tcW w:w="102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86,597,041</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88,183,227</w:t>
            </w:r>
          </w:p>
        </w:tc>
        <w:tc>
          <w:tcPr>
            <w:tcW w:w="92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87,091,701</w:t>
            </w:r>
          </w:p>
        </w:tc>
        <w:tc>
          <w:tcPr>
            <w:tcW w:w="680" w:type="dxa"/>
            <w:vAlign w:val="bottom"/>
          </w:tcPr>
          <w:p>
            <w:pPr>
              <w:jc w:val="center"/>
              <w:ind w:left="203"/>
              <w:spacing w:after="0" w:line="122" w:lineRule="exact"/>
              <w:rPr>
                <w:sz w:val="20"/>
                <w:szCs w:val="20"/>
                <w:color w:val="auto"/>
              </w:rPr>
            </w:pPr>
            <w:r>
              <w:rPr>
                <w:rFonts w:ascii="Arial" w:cs="Arial" w:eastAsia="Arial" w:hAnsi="Arial"/>
                <w:sz w:val="11"/>
                <w:szCs w:val="11"/>
                <w:color w:val="auto"/>
              </w:rPr>
              <w:t>-1.2%</w:t>
            </w:r>
          </w:p>
        </w:tc>
        <w:tc>
          <w:tcPr>
            <w:tcW w:w="12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37"/>
        </w:trPr>
        <w:tc>
          <w:tcPr>
            <w:tcW w:w="41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Total derivatives (notional) and others</w:t>
            </w: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43,452,769</w:t>
            </w: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44,354,909</w:t>
            </w:r>
          </w:p>
        </w:tc>
        <w:tc>
          <w:tcPr>
            <w:tcW w:w="92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color w:val="auto"/>
              </w:rPr>
              <w:t>42,626,163</w:t>
            </w:r>
          </w:p>
        </w:tc>
        <w:tc>
          <w:tcPr>
            <w:tcW w:w="68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color w:val="auto"/>
              </w:rPr>
              <w:t>-3.9%</w:t>
            </w:r>
          </w:p>
        </w:tc>
        <w:tc>
          <w:tcPr>
            <w:tcW w:w="128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(1) Includes mainly accounts receivables from brokerage and others</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 Due to reclassifications, the Balance Sheet may differ from those reported in previous quarters.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5560" w:type="dxa"/>
            <w:vAlign w:val="bottom"/>
            <w:tcBorders>
              <w:left w:val="single" w:sz="8" w:color="auto"/>
            </w:tcBorders>
            <w:gridSpan w:val="3"/>
            <w:shd w:val="clear" w:color="auto" w:fill="000000"/>
          </w:tcPr>
          <w:p>
            <w:pPr>
              <w:ind w:left="27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780" w:type="dxa"/>
            <w:vAlign w:val="bottom"/>
            <w:shd w:val="clear" w:color="auto" w:fill="000000"/>
          </w:tcPr>
          <w:p>
            <w:pPr>
              <w:spacing w:after="0"/>
              <w:rPr>
                <w:sz w:val="24"/>
                <w:szCs w:val="24"/>
                <w:color w:val="auto"/>
              </w:rPr>
            </w:pPr>
          </w:p>
        </w:tc>
        <w:tc>
          <w:tcPr>
            <w:tcW w:w="780" w:type="dxa"/>
            <w:vAlign w:val="bottom"/>
            <w:tcBorders>
              <w:right w:val="single" w:sz="8" w:color="auto"/>
            </w:tcBorders>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3980" w:type="dxa"/>
            <w:vAlign w:val="bottom"/>
            <w:tcBorders>
              <w:right w:val="single" w:sz="8" w:color="auto"/>
            </w:tcBorders>
            <w:gridSpan w:val="5"/>
            <w:shd w:val="clear" w:color="auto" w:fill="000000"/>
          </w:tcPr>
          <w:p>
            <w:pPr>
              <w:jc w:val="right"/>
              <w:ind w:right="362"/>
              <w:spacing w:after="0"/>
              <w:rPr>
                <w:sz w:val="20"/>
                <w:szCs w:val="20"/>
                <w:color w:val="auto"/>
              </w:rPr>
            </w:pPr>
            <w:r>
              <w:rPr>
                <w:rFonts w:ascii="Arial" w:cs="Arial" w:eastAsia="Arial" w:hAnsi="Arial"/>
                <w:sz w:val="18"/>
                <w:szCs w:val="18"/>
                <w:b w:val="1"/>
                <w:bCs w:val="1"/>
                <w:color w:val="E93BAC"/>
              </w:rPr>
              <w:t>Analysis of 4Q23 Consolidated Results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tcBorders>
            <w:shd w:val="clear" w:color="auto" w:fill="000000"/>
          </w:tcPr>
          <w:p>
            <w:pPr>
              <w:spacing w:after="0"/>
              <w:rPr>
                <w:sz w:val="17"/>
                <w:szCs w:val="17"/>
                <w:color w:val="auto"/>
              </w:rPr>
            </w:pPr>
          </w:p>
        </w:tc>
        <w:tc>
          <w:tcPr>
            <w:tcW w:w="1080" w:type="dxa"/>
            <w:vAlign w:val="bottom"/>
            <w:tcBorders>
              <w:right w:val="single" w:sz="8" w:color="auto"/>
            </w:tcBorders>
            <w:shd w:val="clear" w:color="auto" w:fill="000000"/>
          </w:tcPr>
          <w:p>
            <w:pPr>
              <w:spacing w:after="0"/>
              <w:rPr>
                <w:sz w:val="17"/>
                <w:szCs w:val="17"/>
                <w:color w:val="auto"/>
              </w:rPr>
            </w:pPr>
          </w:p>
        </w:tc>
        <w:tc>
          <w:tcPr>
            <w:tcW w:w="780" w:type="dxa"/>
            <w:vAlign w:val="bottom"/>
            <w:shd w:val="clear" w:color="auto" w:fill="000000"/>
          </w:tcPr>
          <w:p>
            <w:pPr>
              <w:spacing w:after="0"/>
              <w:rPr>
                <w:sz w:val="17"/>
                <w:szCs w:val="17"/>
                <w:color w:val="auto"/>
              </w:rPr>
            </w:pPr>
          </w:p>
        </w:tc>
        <w:tc>
          <w:tcPr>
            <w:tcW w:w="780" w:type="dxa"/>
            <w:vAlign w:val="bottom"/>
            <w:shd w:val="clear" w:color="auto" w:fill="000000"/>
          </w:tcPr>
          <w:p>
            <w:pPr>
              <w:spacing w:after="0"/>
              <w:rPr>
                <w:sz w:val="17"/>
                <w:szCs w:val="17"/>
                <w:color w:val="auto"/>
              </w:rPr>
            </w:pPr>
          </w:p>
        </w:tc>
        <w:tc>
          <w:tcPr>
            <w:tcW w:w="780" w:type="dxa"/>
            <w:vAlign w:val="bottom"/>
            <w:tcBorders>
              <w:right w:val="single" w:sz="8" w:color="auto"/>
            </w:tcBorders>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820" w:type="dxa"/>
            <w:vAlign w:val="bottom"/>
            <w:tcBorders>
              <w:right w:val="single" w:sz="8" w:color="auto"/>
            </w:tcBorders>
            <w:shd w:val="clear" w:color="auto" w:fill="000000"/>
          </w:tcPr>
          <w:p>
            <w:pPr>
              <w:spacing w:after="0"/>
              <w:rPr>
                <w:sz w:val="17"/>
                <w:szCs w:val="17"/>
                <w:color w:val="auto"/>
              </w:rPr>
            </w:pPr>
          </w:p>
        </w:tc>
        <w:tc>
          <w:tcPr>
            <w:tcW w:w="760" w:type="dxa"/>
            <w:vAlign w:val="bottom"/>
            <w:shd w:val="clear" w:color="auto" w:fill="000000"/>
          </w:tcPr>
          <w:p>
            <w:pPr>
              <w:spacing w:after="0"/>
              <w:rPr>
                <w:sz w:val="17"/>
                <w:szCs w:val="17"/>
                <w:color w:val="auto"/>
              </w:rPr>
            </w:pPr>
          </w:p>
        </w:tc>
        <w:tc>
          <w:tcPr>
            <w:tcW w:w="800" w:type="dxa"/>
            <w:vAlign w:val="bottom"/>
            <w:tcBorders>
              <w:right w:val="single" w:sz="8" w:color="auto"/>
            </w:tcBorders>
            <w:shd w:val="clear" w:color="auto" w:fill="000000"/>
          </w:tcPr>
          <w:p>
            <w:pPr>
              <w:spacing w:after="0"/>
              <w:rPr>
                <w:sz w:val="17"/>
                <w:szCs w:val="17"/>
                <w:color w:val="auto"/>
              </w:rPr>
            </w:pPr>
          </w:p>
        </w:tc>
        <w:tc>
          <w:tcPr>
            <w:tcW w:w="1020" w:type="dxa"/>
            <w:vAlign w:val="bottom"/>
            <w:tcBorders>
              <w:right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700" w:type="dxa"/>
            <w:vAlign w:val="bottom"/>
            <w:tcBorders>
              <w:left w:val="single" w:sz="8" w:color="E93BAB"/>
            </w:tcBorders>
            <w:shd w:val="clear" w:color="auto" w:fill="E93BAB"/>
          </w:tcPr>
          <w:p>
            <w:pPr>
              <w:ind w:left="40"/>
              <w:spacing w:after="0"/>
              <w:rPr>
                <w:sz w:val="20"/>
                <w:szCs w:val="20"/>
                <w:color w:val="auto"/>
              </w:rPr>
            </w:pPr>
            <w:r>
              <w:rPr>
                <w:rFonts w:ascii="Arial" w:cs="Arial" w:eastAsia="Arial" w:hAnsi="Arial"/>
                <w:sz w:val="18"/>
                <w:szCs w:val="18"/>
                <w:b w:val="1"/>
                <w:bCs w:val="1"/>
                <w:color w:val="FFFFFF"/>
              </w:rPr>
              <w:t>12. Appendix</w:t>
            </w:r>
          </w:p>
        </w:tc>
        <w:tc>
          <w:tcPr>
            <w:tcW w:w="1080" w:type="dxa"/>
            <w:vAlign w:val="bottom"/>
            <w:tcBorders>
              <w:right w:val="single" w:sz="8" w:color="E93BAB"/>
            </w:tcBorders>
            <w:shd w:val="clear" w:color="auto" w:fill="E93BAB"/>
          </w:tcPr>
          <w:p>
            <w:pPr>
              <w:spacing w:after="0"/>
              <w:rPr>
                <w:sz w:val="24"/>
                <w:szCs w:val="24"/>
                <w:color w:val="auto"/>
              </w:rPr>
            </w:pPr>
          </w:p>
        </w:tc>
        <w:tc>
          <w:tcPr>
            <w:tcW w:w="780" w:type="dxa"/>
            <w:vAlign w:val="bottom"/>
            <w:shd w:val="clear" w:color="auto" w:fill="E93BAB"/>
          </w:tcPr>
          <w:p>
            <w:pPr>
              <w:spacing w:after="0"/>
              <w:rPr>
                <w:sz w:val="24"/>
                <w:szCs w:val="24"/>
                <w:color w:val="auto"/>
              </w:rPr>
            </w:pPr>
          </w:p>
        </w:tc>
        <w:tc>
          <w:tcPr>
            <w:tcW w:w="780" w:type="dxa"/>
            <w:vAlign w:val="bottom"/>
            <w:shd w:val="clear" w:color="auto" w:fill="E93BAB"/>
          </w:tcPr>
          <w:p>
            <w:pPr>
              <w:spacing w:after="0"/>
              <w:rPr>
                <w:sz w:val="24"/>
                <w:szCs w:val="24"/>
                <w:color w:val="auto"/>
              </w:rPr>
            </w:pPr>
          </w:p>
        </w:tc>
        <w:tc>
          <w:tcPr>
            <w:tcW w:w="780" w:type="dxa"/>
            <w:vAlign w:val="bottom"/>
            <w:tcBorders>
              <w:right w:val="single" w:sz="8" w:color="E93BAB"/>
            </w:tcBorders>
            <w:shd w:val="clear" w:color="auto" w:fill="E93BAB"/>
          </w:tcPr>
          <w:p>
            <w:pPr>
              <w:spacing w:after="0"/>
              <w:rPr>
                <w:sz w:val="24"/>
                <w:szCs w:val="24"/>
                <w:color w:val="auto"/>
              </w:rPr>
            </w:pPr>
          </w:p>
        </w:tc>
        <w:tc>
          <w:tcPr>
            <w:tcW w:w="160" w:type="dxa"/>
            <w:vAlign w:val="bottom"/>
            <w:shd w:val="clear" w:color="auto" w:fill="E93BAB"/>
          </w:tcPr>
          <w:p>
            <w:pPr>
              <w:spacing w:after="0"/>
              <w:rPr>
                <w:sz w:val="24"/>
                <w:szCs w:val="24"/>
                <w:color w:val="auto"/>
              </w:rPr>
            </w:pPr>
          </w:p>
        </w:tc>
        <w:tc>
          <w:tcPr>
            <w:tcW w:w="580" w:type="dxa"/>
            <w:vAlign w:val="bottom"/>
            <w:shd w:val="clear" w:color="auto" w:fill="E93BAB"/>
          </w:tcPr>
          <w:p>
            <w:pPr>
              <w:spacing w:after="0"/>
              <w:rPr>
                <w:sz w:val="24"/>
                <w:szCs w:val="24"/>
                <w:color w:val="auto"/>
              </w:rPr>
            </w:pPr>
          </w:p>
        </w:tc>
        <w:tc>
          <w:tcPr>
            <w:tcW w:w="820" w:type="dxa"/>
            <w:vAlign w:val="bottom"/>
            <w:tcBorders>
              <w:right w:val="single" w:sz="8" w:color="E93BAB"/>
            </w:tcBorders>
            <w:shd w:val="clear" w:color="auto" w:fill="E93BAB"/>
          </w:tcPr>
          <w:p>
            <w:pPr>
              <w:spacing w:after="0"/>
              <w:rPr>
                <w:sz w:val="24"/>
                <w:szCs w:val="24"/>
                <w:color w:val="auto"/>
              </w:rPr>
            </w:pPr>
          </w:p>
        </w:tc>
        <w:tc>
          <w:tcPr>
            <w:tcW w:w="760" w:type="dxa"/>
            <w:vAlign w:val="bottom"/>
            <w:shd w:val="clear" w:color="auto" w:fill="E93BAB"/>
          </w:tcPr>
          <w:p>
            <w:pPr>
              <w:spacing w:after="0"/>
              <w:rPr>
                <w:sz w:val="24"/>
                <w:szCs w:val="24"/>
                <w:color w:val="auto"/>
              </w:rPr>
            </w:pPr>
          </w:p>
        </w:tc>
        <w:tc>
          <w:tcPr>
            <w:tcW w:w="800" w:type="dxa"/>
            <w:vAlign w:val="bottom"/>
            <w:tcBorders>
              <w:right w:val="single" w:sz="8" w:color="E93BAB"/>
            </w:tcBorders>
            <w:shd w:val="clear" w:color="auto" w:fill="E93BAB"/>
          </w:tcPr>
          <w:p>
            <w:pPr>
              <w:spacing w:after="0"/>
              <w:rPr>
                <w:sz w:val="24"/>
                <w:szCs w:val="24"/>
                <w:color w:val="auto"/>
              </w:rPr>
            </w:pPr>
          </w:p>
        </w:tc>
        <w:tc>
          <w:tcPr>
            <w:tcW w:w="1020" w:type="dxa"/>
            <w:vAlign w:val="bottom"/>
            <w:tcBorders>
              <w:right w:val="single" w:sz="8" w:color="E93BAB"/>
            </w:tcBorders>
            <w:shd w:val="clear" w:color="auto" w:fill="E93BAB"/>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E93BAB"/>
            </w:tcBorders>
            <w:shd w:val="clear" w:color="auto" w:fill="E93BAB"/>
          </w:tcPr>
          <w:p>
            <w:pPr>
              <w:spacing w:after="0"/>
              <w:rPr>
                <w:sz w:val="5"/>
                <w:szCs w:val="5"/>
                <w:color w:val="auto"/>
              </w:rPr>
            </w:pPr>
          </w:p>
        </w:tc>
        <w:tc>
          <w:tcPr>
            <w:tcW w:w="1080" w:type="dxa"/>
            <w:vAlign w:val="bottom"/>
            <w:tcBorders>
              <w:right w:val="single" w:sz="8" w:color="E93BAB"/>
            </w:tcBorders>
            <w:shd w:val="clear" w:color="auto" w:fill="E93BAB"/>
          </w:tcPr>
          <w:p>
            <w:pPr>
              <w:spacing w:after="0"/>
              <w:rPr>
                <w:sz w:val="5"/>
                <w:szCs w:val="5"/>
                <w:color w:val="auto"/>
              </w:rPr>
            </w:pPr>
          </w:p>
        </w:tc>
        <w:tc>
          <w:tcPr>
            <w:tcW w:w="2340" w:type="dxa"/>
            <w:vAlign w:val="bottom"/>
            <w:tcBorders>
              <w:right w:val="single" w:sz="8" w:color="E93BAB"/>
            </w:tcBorders>
            <w:gridSpan w:val="3"/>
            <w:shd w:val="clear" w:color="auto" w:fill="E93BAB"/>
          </w:tcPr>
          <w:p>
            <w:pPr>
              <w:spacing w:after="0"/>
              <w:rPr>
                <w:sz w:val="5"/>
                <w:szCs w:val="5"/>
                <w:color w:val="auto"/>
              </w:rPr>
            </w:pPr>
          </w:p>
        </w:tc>
        <w:tc>
          <w:tcPr>
            <w:tcW w:w="160" w:type="dxa"/>
            <w:vAlign w:val="bottom"/>
            <w:shd w:val="clear" w:color="auto" w:fill="E93BAB"/>
          </w:tcPr>
          <w:p>
            <w:pPr>
              <w:spacing w:after="0"/>
              <w:rPr>
                <w:sz w:val="5"/>
                <w:szCs w:val="5"/>
                <w:color w:val="auto"/>
              </w:rPr>
            </w:pPr>
          </w:p>
        </w:tc>
        <w:tc>
          <w:tcPr>
            <w:tcW w:w="580" w:type="dxa"/>
            <w:vAlign w:val="bottom"/>
            <w:shd w:val="clear" w:color="auto" w:fill="E93BAB"/>
          </w:tcPr>
          <w:p>
            <w:pPr>
              <w:spacing w:after="0"/>
              <w:rPr>
                <w:sz w:val="5"/>
                <w:szCs w:val="5"/>
                <w:color w:val="auto"/>
              </w:rPr>
            </w:pPr>
          </w:p>
        </w:tc>
        <w:tc>
          <w:tcPr>
            <w:tcW w:w="820" w:type="dxa"/>
            <w:vAlign w:val="bottom"/>
            <w:tcBorders>
              <w:right w:val="single" w:sz="8" w:color="E93BAB"/>
            </w:tcBorders>
            <w:shd w:val="clear" w:color="auto" w:fill="E93BAB"/>
          </w:tcPr>
          <w:p>
            <w:pPr>
              <w:spacing w:after="0"/>
              <w:rPr>
                <w:sz w:val="5"/>
                <w:szCs w:val="5"/>
                <w:color w:val="auto"/>
              </w:rPr>
            </w:pPr>
          </w:p>
        </w:tc>
        <w:tc>
          <w:tcPr>
            <w:tcW w:w="760" w:type="dxa"/>
            <w:vAlign w:val="bottom"/>
            <w:shd w:val="clear" w:color="auto" w:fill="E93BAB"/>
          </w:tcPr>
          <w:p>
            <w:pPr>
              <w:spacing w:after="0"/>
              <w:rPr>
                <w:sz w:val="5"/>
                <w:szCs w:val="5"/>
                <w:color w:val="auto"/>
              </w:rPr>
            </w:pPr>
          </w:p>
        </w:tc>
        <w:tc>
          <w:tcPr>
            <w:tcW w:w="800" w:type="dxa"/>
            <w:vAlign w:val="bottom"/>
            <w:tcBorders>
              <w:right w:val="single" w:sz="8" w:color="E93BAB"/>
            </w:tcBorders>
            <w:shd w:val="clear" w:color="auto" w:fill="E93BAB"/>
          </w:tcPr>
          <w:p>
            <w:pPr>
              <w:spacing w:after="0"/>
              <w:rPr>
                <w:sz w:val="5"/>
                <w:szCs w:val="5"/>
                <w:color w:val="auto"/>
              </w:rPr>
            </w:pPr>
          </w:p>
        </w:tc>
        <w:tc>
          <w:tcPr>
            <w:tcW w:w="1020" w:type="dxa"/>
            <w:vAlign w:val="bottom"/>
            <w:tcBorders>
              <w:right w:val="single" w:sz="8" w:color="E93BAB"/>
            </w:tcBorders>
            <w:shd w:val="clear" w:color="auto" w:fill="E93BA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9"/>
        </w:trPr>
        <w:tc>
          <w:tcPr>
            <w:tcW w:w="3700" w:type="dxa"/>
            <w:vAlign w:val="bottom"/>
          </w:tcPr>
          <w:p>
            <w:pPr>
              <w:spacing w:after="0"/>
              <w:rPr>
                <w:sz w:val="24"/>
                <w:szCs w:val="24"/>
                <w:color w:val="auto"/>
              </w:rPr>
            </w:pPr>
          </w:p>
        </w:tc>
        <w:tc>
          <w:tcPr>
            <w:tcW w:w="3580" w:type="dxa"/>
            <w:vAlign w:val="bottom"/>
            <w:gridSpan w:val="5"/>
          </w:tcPr>
          <w:p>
            <w:pPr>
              <w:jc w:val="center"/>
              <w:ind w:left="183"/>
              <w:spacing w:after="0"/>
              <w:rPr>
                <w:sz w:val="20"/>
                <w:szCs w:val="20"/>
                <w:color w:val="auto"/>
              </w:rPr>
            </w:pPr>
            <w:r>
              <w:rPr>
                <w:rFonts w:ascii="Arial" w:cs="Arial" w:eastAsia="Arial" w:hAnsi="Arial"/>
                <w:sz w:val="16"/>
                <w:szCs w:val="16"/>
                <w:b w:val="1"/>
                <w:bCs w:val="1"/>
                <w:color w:val="auto"/>
              </w:rPr>
              <w:t>CREDICORP LTD. AND SUBSIDIARIES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3580" w:type="dxa"/>
            <w:vAlign w:val="bottom"/>
            <w:gridSpan w:val="5"/>
          </w:tcPr>
          <w:p>
            <w:pPr>
              <w:jc w:val="center"/>
              <w:ind w:left="203"/>
              <w:spacing w:after="0" w:line="183" w:lineRule="exact"/>
              <w:rPr>
                <w:sz w:val="20"/>
                <w:szCs w:val="20"/>
                <w:color w:val="auto"/>
              </w:rPr>
            </w:pPr>
            <w:r>
              <w:rPr>
                <w:rFonts w:ascii="Arial" w:cs="Arial" w:eastAsia="Arial" w:hAnsi="Arial"/>
                <w:sz w:val="16"/>
                <w:szCs w:val="16"/>
                <w:b w:val="1"/>
                <w:bCs w:val="1"/>
                <w:color w:val="auto"/>
              </w:rPr>
              <w:t>CONSOLIDATED STATEMENT OF INCOME</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3580" w:type="dxa"/>
            <w:vAlign w:val="bottom"/>
            <w:gridSpan w:val="5"/>
          </w:tcPr>
          <w:p>
            <w:pPr>
              <w:jc w:val="center"/>
              <w:ind w:left="203"/>
              <w:spacing w:after="0"/>
              <w:rPr>
                <w:sz w:val="20"/>
                <w:szCs w:val="20"/>
                <w:color w:val="auto"/>
              </w:rPr>
            </w:pPr>
            <w:r>
              <w:rPr>
                <w:rFonts w:ascii="Arial" w:cs="Arial" w:eastAsia="Arial" w:hAnsi="Arial"/>
                <w:sz w:val="16"/>
                <w:szCs w:val="16"/>
                <w:b w:val="1"/>
                <w:bCs w:val="1"/>
                <w:color w:val="auto"/>
              </w:rPr>
              <w:t>(In S/ thousands, IFRS)</w:t>
            </w: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spacing w:after="0"/>
              <w:rPr>
                <w:sz w:val="13"/>
                <w:szCs w:val="13"/>
                <w:color w:val="auto"/>
              </w:rPr>
            </w:pPr>
          </w:p>
        </w:tc>
        <w:tc>
          <w:tcPr>
            <w:tcW w:w="1560" w:type="dxa"/>
            <w:vAlign w:val="bottom"/>
            <w:tcBorders>
              <w:bottom w:val="single" w:sz="8" w:color="auto"/>
            </w:tcBorders>
            <w:gridSpan w:val="2"/>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70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780" w:type="dxa"/>
            <w:vAlign w:val="bottom"/>
            <w:shd w:val="clear" w:color="auto" w:fill="2AD2C9"/>
          </w:tcPr>
          <w:p>
            <w:pPr>
              <w:spacing w:after="0"/>
              <w:rPr>
                <w:sz w:val="9"/>
                <w:szCs w:val="9"/>
                <w:color w:val="auto"/>
              </w:rPr>
            </w:pPr>
          </w:p>
        </w:tc>
        <w:tc>
          <w:tcPr>
            <w:tcW w:w="780" w:type="dxa"/>
            <w:vAlign w:val="bottom"/>
            <w:shd w:val="clear" w:color="auto" w:fill="2AD2C9"/>
          </w:tcPr>
          <w:p>
            <w:pPr>
              <w:jc w:val="right"/>
              <w:ind w:right="143"/>
              <w:spacing w:after="0" w:line="107" w:lineRule="exact"/>
              <w:rPr>
                <w:sz w:val="20"/>
                <w:szCs w:val="20"/>
                <w:color w:val="auto"/>
              </w:rPr>
            </w:pPr>
            <w:r>
              <w:rPr>
                <w:rFonts w:ascii="Arial" w:cs="Arial" w:eastAsia="Arial" w:hAnsi="Arial"/>
                <w:sz w:val="11"/>
                <w:szCs w:val="11"/>
                <w:b w:val="1"/>
                <w:bCs w:val="1"/>
                <w:color w:val="FFFFFF"/>
              </w:rPr>
              <w:t>Quarter</w:t>
            </w:r>
          </w:p>
        </w:tc>
        <w:tc>
          <w:tcPr>
            <w:tcW w:w="780" w:type="dxa"/>
            <w:vAlign w:val="bottom"/>
            <w:tcBorders>
              <w:right w:val="single" w:sz="8" w:color="auto"/>
            </w:tcBorders>
            <w:shd w:val="clear" w:color="auto" w:fill="2AD2C9"/>
          </w:tcPr>
          <w:p>
            <w:pPr>
              <w:spacing w:after="0"/>
              <w:rPr>
                <w:sz w:val="9"/>
                <w:szCs w:val="9"/>
                <w:color w:val="auto"/>
              </w:rPr>
            </w:pPr>
          </w:p>
        </w:tc>
        <w:tc>
          <w:tcPr>
            <w:tcW w:w="160" w:type="dxa"/>
            <w:vAlign w:val="bottom"/>
            <w:shd w:val="clear" w:color="auto" w:fill="2AD2C9"/>
          </w:tcPr>
          <w:p>
            <w:pPr>
              <w:spacing w:after="0"/>
              <w:rPr>
                <w:sz w:val="9"/>
                <w:szCs w:val="9"/>
                <w:color w:val="auto"/>
              </w:rPr>
            </w:pPr>
          </w:p>
        </w:tc>
        <w:tc>
          <w:tcPr>
            <w:tcW w:w="1400" w:type="dxa"/>
            <w:vAlign w:val="bottom"/>
            <w:tcBorders>
              <w:right w:val="single" w:sz="8" w:color="auto"/>
            </w:tcBorders>
            <w:gridSpan w:val="2"/>
            <w:shd w:val="clear" w:color="auto" w:fill="2AD2C9"/>
          </w:tcPr>
          <w:p>
            <w:pPr>
              <w:ind w:left="340"/>
              <w:spacing w:after="0" w:line="107" w:lineRule="exact"/>
              <w:rPr>
                <w:sz w:val="20"/>
                <w:szCs w:val="20"/>
                <w:color w:val="auto"/>
              </w:rPr>
            </w:pPr>
            <w:r>
              <w:rPr>
                <w:rFonts w:ascii="Arial" w:cs="Arial" w:eastAsia="Arial" w:hAnsi="Arial"/>
                <w:sz w:val="11"/>
                <w:szCs w:val="11"/>
                <w:b w:val="1"/>
                <w:bCs w:val="1"/>
                <w:color w:val="FFFFFF"/>
              </w:rPr>
              <w:t>% change</w:t>
            </w:r>
          </w:p>
        </w:tc>
        <w:tc>
          <w:tcPr>
            <w:tcW w:w="1560" w:type="dxa"/>
            <w:vAlign w:val="bottom"/>
            <w:tcBorders>
              <w:right w:val="single" w:sz="8" w:color="auto"/>
            </w:tcBorders>
            <w:gridSpan w:val="2"/>
            <w:shd w:val="clear" w:color="auto" w:fill="2AD2C9"/>
          </w:tcPr>
          <w:p>
            <w:pPr>
              <w:jc w:val="right"/>
              <w:ind w:right="603"/>
              <w:spacing w:after="0" w:line="107" w:lineRule="exact"/>
              <w:rPr>
                <w:sz w:val="20"/>
                <w:szCs w:val="20"/>
                <w:color w:val="auto"/>
              </w:rPr>
            </w:pPr>
            <w:r>
              <w:rPr>
                <w:rFonts w:ascii="Arial" w:cs="Arial" w:eastAsia="Arial" w:hAnsi="Arial"/>
                <w:sz w:val="11"/>
                <w:szCs w:val="11"/>
                <w:b w:val="1"/>
                <w:bCs w:val="1"/>
                <w:color w:val="FFFFFF"/>
              </w:rPr>
              <w:t>Up to</w:t>
            </w:r>
          </w:p>
        </w:tc>
        <w:tc>
          <w:tcPr>
            <w:tcW w:w="1020" w:type="dxa"/>
            <w:vAlign w:val="bottom"/>
            <w:tcBorders>
              <w:right w:val="single" w:sz="8" w:color="auto"/>
            </w:tcBorders>
            <w:shd w:val="clear" w:color="auto" w:fill="2AD2C9"/>
          </w:tcPr>
          <w:p>
            <w:pPr>
              <w:jc w:val="center"/>
              <w:spacing w:after="0" w:line="107" w:lineRule="exact"/>
              <w:rPr>
                <w:sz w:val="20"/>
                <w:szCs w:val="20"/>
                <w:color w:val="auto"/>
              </w:rPr>
            </w:pPr>
            <w:r>
              <w:rPr>
                <w:rFonts w:ascii="Arial" w:cs="Arial" w:eastAsia="Arial" w:hAnsi="Arial"/>
                <w:sz w:val="11"/>
                <w:szCs w:val="11"/>
                <w:b w:val="1"/>
                <w:bCs w:val="1"/>
                <w:color w:val="FFFFFF"/>
              </w:rPr>
              <w:t>% change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00" w:type="dxa"/>
            <w:vAlign w:val="bottom"/>
            <w:tcBorders>
              <w:bottom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tcBorders>
            <w:shd w:val="clear" w:color="auto" w:fill="2AD2C9"/>
          </w:tcPr>
          <w:p>
            <w:pPr>
              <w:jc w:val="right"/>
              <w:ind w:right="203"/>
              <w:spacing w:after="0" w:line="122" w:lineRule="exact"/>
              <w:rPr>
                <w:sz w:val="20"/>
                <w:szCs w:val="20"/>
                <w:color w:val="auto"/>
              </w:rPr>
            </w:pPr>
            <w:r>
              <w:rPr>
                <w:rFonts w:ascii="Arial" w:cs="Arial" w:eastAsia="Arial" w:hAnsi="Arial"/>
                <w:sz w:val="11"/>
                <w:szCs w:val="11"/>
                <w:b w:val="1"/>
                <w:bCs w:val="1"/>
                <w:color w:val="FFFFFF"/>
              </w:rPr>
              <w:t>4Q22</w:t>
            </w:r>
          </w:p>
        </w:tc>
        <w:tc>
          <w:tcPr>
            <w:tcW w:w="780" w:type="dxa"/>
            <w:vAlign w:val="bottom"/>
            <w:tcBorders>
              <w:bottom w:val="single" w:sz="8" w:color="auto"/>
            </w:tcBorders>
            <w:shd w:val="clear" w:color="auto" w:fill="2AD2C9"/>
          </w:tcPr>
          <w:p>
            <w:pPr>
              <w:jc w:val="right"/>
              <w:ind w:right="203"/>
              <w:spacing w:after="0" w:line="122" w:lineRule="exact"/>
              <w:rPr>
                <w:sz w:val="20"/>
                <w:szCs w:val="20"/>
                <w:color w:val="auto"/>
              </w:rPr>
            </w:pPr>
            <w:r>
              <w:rPr>
                <w:rFonts w:ascii="Arial" w:cs="Arial" w:eastAsia="Arial" w:hAnsi="Arial"/>
                <w:sz w:val="11"/>
                <w:szCs w:val="11"/>
                <w:b w:val="1"/>
                <w:bCs w:val="1"/>
                <w:color w:val="FFFFFF"/>
              </w:rPr>
              <w:t>3Q23</w:t>
            </w:r>
          </w:p>
        </w:tc>
        <w:tc>
          <w:tcPr>
            <w:tcW w:w="780" w:type="dxa"/>
            <w:vAlign w:val="bottom"/>
            <w:tcBorders>
              <w:bottom w:val="single" w:sz="8" w:color="auto"/>
              <w:right w:val="single" w:sz="8" w:color="auto"/>
            </w:tcBorders>
            <w:shd w:val="clear" w:color="auto" w:fill="2AD2C9"/>
          </w:tcPr>
          <w:p>
            <w:pPr>
              <w:jc w:val="right"/>
              <w:ind w:right="203"/>
              <w:spacing w:after="0" w:line="122" w:lineRule="exact"/>
              <w:rPr>
                <w:sz w:val="20"/>
                <w:szCs w:val="20"/>
                <w:color w:val="auto"/>
              </w:rPr>
            </w:pPr>
            <w:r>
              <w:rPr>
                <w:rFonts w:ascii="Arial" w:cs="Arial" w:eastAsia="Arial" w:hAnsi="Arial"/>
                <w:sz w:val="11"/>
                <w:szCs w:val="11"/>
                <w:b w:val="1"/>
                <w:bCs w:val="1"/>
                <w:color w:val="FFFFFF"/>
              </w:rPr>
              <w:t>4Q23</w:t>
            </w:r>
          </w:p>
        </w:tc>
        <w:tc>
          <w:tcPr>
            <w:tcW w:w="160" w:type="dxa"/>
            <w:vAlign w:val="bottom"/>
            <w:tcBorders>
              <w:bottom w:val="single" w:sz="8" w:color="auto"/>
            </w:tcBorders>
            <w:shd w:val="clear" w:color="auto" w:fill="2AD2C9"/>
          </w:tcPr>
          <w:p>
            <w:pPr>
              <w:spacing w:after="0"/>
              <w:rPr>
                <w:sz w:val="10"/>
                <w:szCs w:val="10"/>
                <w:color w:val="auto"/>
              </w:rPr>
            </w:pPr>
          </w:p>
        </w:tc>
        <w:tc>
          <w:tcPr>
            <w:tcW w:w="580" w:type="dxa"/>
            <w:vAlign w:val="bottom"/>
            <w:tcBorders>
              <w:bottom w:val="single" w:sz="8" w:color="auto"/>
            </w:tcBorders>
            <w:shd w:val="clear" w:color="auto" w:fill="2AD2C9"/>
          </w:tcPr>
          <w:p>
            <w:pPr>
              <w:jc w:val="center"/>
              <w:ind w:right="82"/>
              <w:spacing w:after="0" w:line="122" w:lineRule="exact"/>
              <w:rPr>
                <w:sz w:val="20"/>
                <w:szCs w:val="20"/>
                <w:color w:val="auto"/>
              </w:rPr>
            </w:pPr>
            <w:r>
              <w:rPr>
                <w:rFonts w:ascii="Arial" w:cs="Arial" w:eastAsia="Arial" w:hAnsi="Arial"/>
                <w:sz w:val="11"/>
                <w:szCs w:val="11"/>
                <w:b w:val="1"/>
                <w:bCs w:val="1"/>
                <w:color w:val="FFFFFF"/>
              </w:rPr>
              <w:t>QoQ</w:t>
            </w:r>
          </w:p>
        </w:tc>
        <w:tc>
          <w:tcPr>
            <w:tcW w:w="820" w:type="dxa"/>
            <w:vAlign w:val="bottom"/>
            <w:tcBorders>
              <w:bottom w:val="single" w:sz="8" w:color="auto"/>
              <w:right w:val="single" w:sz="8" w:color="auto"/>
            </w:tcBorders>
            <w:shd w:val="clear" w:color="auto" w:fill="2AD2C9"/>
          </w:tcPr>
          <w:p>
            <w:pPr>
              <w:jc w:val="center"/>
              <w:spacing w:after="0" w:line="122" w:lineRule="exact"/>
              <w:rPr>
                <w:sz w:val="20"/>
                <w:szCs w:val="20"/>
                <w:color w:val="auto"/>
              </w:rPr>
            </w:pPr>
            <w:r>
              <w:rPr>
                <w:rFonts w:ascii="Arial" w:cs="Arial" w:eastAsia="Arial" w:hAnsi="Arial"/>
                <w:sz w:val="11"/>
                <w:szCs w:val="11"/>
                <w:b w:val="1"/>
                <w:bCs w:val="1"/>
                <w:color w:val="FFFFFF"/>
              </w:rPr>
              <w:t>YoY</w:t>
            </w:r>
          </w:p>
        </w:tc>
        <w:tc>
          <w:tcPr>
            <w:tcW w:w="760" w:type="dxa"/>
            <w:vAlign w:val="bottom"/>
            <w:tcBorders>
              <w:bottom w:val="single" w:sz="8" w:color="auto"/>
            </w:tcBorders>
            <w:shd w:val="clear" w:color="auto" w:fill="1DD5CC"/>
          </w:tcPr>
          <w:p>
            <w:pPr>
              <w:jc w:val="right"/>
              <w:ind w:right="143"/>
              <w:spacing w:after="0" w:line="122" w:lineRule="exact"/>
              <w:rPr>
                <w:sz w:val="20"/>
                <w:szCs w:val="20"/>
                <w:color w:val="auto"/>
              </w:rPr>
            </w:pPr>
            <w:r>
              <w:rPr>
                <w:rFonts w:ascii="Arial" w:cs="Arial" w:eastAsia="Arial" w:hAnsi="Arial"/>
                <w:sz w:val="11"/>
                <w:szCs w:val="11"/>
                <w:b w:val="1"/>
                <w:bCs w:val="1"/>
                <w:color w:val="FFFFFF"/>
              </w:rPr>
              <w:t>Dec 22</w:t>
            </w:r>
          </w:p>
        </w:tc>
        <w:tc>
          <w:tcPr>
            <w:tcW w:w="800" w:type="dxa"/>
            <w:vAlign w:val="bottom"/>
            <w:tcBorders>
              <w:bottom w:val="single" w:sz="8" w:color="auto"/>
              <w:right w:val="single" w:sz="8" w:color="auto"/>
            </w:tcBorders>
            <w:shd w:val="clear" w:color="auto" w:fill="1DD5CC"/>
          </w:tcPr>
          <w:p>
            <w:pPr>
              <w:jc w:val="right"/>
              <w:ind w:right="183"/>
              <w:spacing w:after="0" w:line="122" w:lineRule="exact"/>
              <w:rPr>
                <w:sz w:val="20"/>
                <w:szCs w:val="20"/>
                <w:color w:val="auto"/>
              </w:rPr>
            </w:pPr>
            <w:r>
              <w:rPr>
                <w:rFonts w:ascii="Arial" w:cs="Arial" w:eastAsia="Arial" w:hAnsi="Arial"/>
                <w:sz w:val="11"/>
                <w:szCs w:val="11"/>
                <w:b w:val="1"/>
                <w:bCs w:val="1"/>
                <w:color w:val="FFFFFF"/>
              </w:rPr>
              <w:t>Dec 23</w:t>
            </w:r>
          </w:p>
        </w:tc>
        <w:tc>
          <w:tcPr>
            <w:tcW w:w="1020" w:type="dxa"/>
            <w:vAlign w:val="bottom"/>
            <w:tcBorders>
              <w:bottom w:val="single" w:sz="8" w:color="auto"/>
              <w:right w:val="single" w:sz="8" w:color="auto"/>
            </w:tcBorders>
            <w:shd w:val="clear" w:color="auto" w:fill="1DD5CC"/>
          </w:tcPr>
          <w:p>
            <w:pPr>
              <w:jc w:val="center"/>
              <w:spacing w:after="0" w:line="122" w:lineRule="exact"/>
              <w:rPr>
                <w:sz w:val="20"/>
                <w:szCs w:val="20"/>
                <w:color w:val="auto"/>
              </w:rPr>
            </w:pPr>
            <w:r>
              <w:rPr>
                <w:rFonts w:ascii="Arial" w:cs="Arial" w:eastAsia="Arial" w:hAnsi="Arial"/>
                <w:sz w:val="11"/>
                <w:szCs w:val="11"/>
                <w:b w:val="1"/>
                <w:bCs w:val="1"/>
                <w:color w:val="FFFFFF"/>
              </w:rPr>
              <w:t>Dec 23 / Dec 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700" w:type="dxa"/>
            <w:vAlign w:val="bottom"/>
            <w:tcBorders>
              <w:lef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Interest income and expense</w:t>
            </w:r>
          </w:p>
        </w:tc>
        <w:tc>
          <w:tcPr>
            <w:tcW w:w="108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Interest and similar income</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4,362,142</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4,819,101</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4,870,042</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1.1%</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11.6%</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15,011,282</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18,798,495</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Interest and similar expenses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(1,227,364)</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(1,565,058)</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(1,522,358)</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-2.7%</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24.6%</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(3,919,664)</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(5,860,523)</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tcBorders>
          </w:tcPr>
          <w:p>
            <w:pPr>
              <w:ind w:left="440"/>
              <w:spacing w:after="0"/>
              <w:rPr>
                <w:sz w:val="20"/>
                <w:szCs w:val="20"/>
                <w:color w:val="auto"/>
              </w:rPr>
            </w:pPr>
            <w:r>
              <w:rPr>
                <w:rFonts w:ascii="Arial" w:cs="Arial" w:eastAsia="Arial" w:hAnsi="Arial"/>
                <w:sz w:val="11"/>
                <w:szCs w:val="11"/>
                <w:b w:val="1"/>
                <w:bCs w:val="1"/>
                <w:color w:val="auto"/>
              </w:rPr>
              <w:t>Net interest, similar income and expenses</w:t>
            </w:r>
          </w:p>
        </w:tc>
        <w:tc>
          <w:tcPr>
            <w:tcW w:w="1080" w:type="dxa"/>
            <w:vAlign w:val="bottom"/>
            <w:tcBorders>
              <w:right w:val="single" w:sz="8" w:color="auto"/>
            </w:tcBorders>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3,134,778</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3,254,043</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3,347,684</w:t>
            </w:r>
          </w:p>
        </w:tc>
        <w:tc>
          <w:tcPr>
            <w:tcW w:w="160" w:type="dxa"/>
            <w:vAlign w:val="bottom"/>
          </w:tcPr>
          <w:p>
            <w:pPr>
              <w:spacing w:after="0"/>
              <w:rPr>
                <w:sz w:val="13"/>
                <w:szCs w:val="13"/>
                <w:color w:val="auto"/>
              </w:rPr>
            </w:pPr>
          </w:p>
        </w:tc>
        <w:tc>
          <w:tcPr>
            <w:tcW w:w="580" w:type="dxa"/>
            <w:vAlign w:val="bottom"/>
          </w:tcPr>
          <w:p>
            <w:pPr>
              <w:jc w:val="center"/>
              <w:ind w:right="102"/>
              <w:spacing w:after="0"/>
              <w:rPr>
                <w:sz w:val="20"/>
                <w:szCs w:val="20"/>
                <w:color w:val="auto"/>
              </w:rPr>
            </w:pPr>
            <w:r>
              <w:rPr>
                <w:rFonts w:ascii="Arial" w:cs="Arial" w:eastAsia="Arial" w:hAnsi="Arial"/>
                <w:sz w:val="11"/>
                <w:szCs w:val="11"/>
                <w:b w:val="1"/>
                <w:bCs w:val="1"/>
                <w:color w:val="auto"/>
              </w:rPr>
              <w:t>2.9%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6.6%</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11,091,618</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12,937,972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70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Gross provision for credit losses on loan portfolio</w:t>
            </w:r>
          </w:p>
        </w:tc>
        <w:tc>
          <w:tcPr>
            <w:tcW w:w="1080" w:type="dxa"/>
            <w:vAlign w:val="bottom"/>
            <w:tcBorders>
              <w:right w:val="single" w:sz="8" w:color="auto"/>
            </w:tcBorders>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(815,589)</w:t>
            </w: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(1,008,750)</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(1,260,163)</w:t>
            </w:r>
          </w:p>
        </w:tc>
        <w:tc>
          <w:tcPr>
            <w:tcW w:w="160" w:type="dxa"/>
            <w:vAlign w:val="bottom"/>
          </w:tcPr>
          <w:p>
            <w:pPr>
              <w:spacing w:after="0"/>
              <w:rPr>
                <w:sz w:val="18"/>
                <w:szCs w:val="18"/>
                <w:color w:val="auto"/>
              </w:rPr>
            </w:pPr>
          </w:p>
        </w:tc>
        <w:tc>
          <w:tcPr>
            <w:tcW w:w="580" w:type="dxa"/>
            <w:vAlign w:val="bottom"/>
          </w:tcPr>
          <w:p>
            <w:pPr>
              <w:jc w:val="center"/>
              <w:ind w:right="82"/>
              <w:spacing w:after="0"/>
              <w:rPr>
                <w:sz w:val="20"/>
                <w:szCs w:val="20"/>
                <w:color w:val="auto"/>
              </w:rPr>
            </w:pPr>
            <w:r>
              <w:rPr>
                <w:rFonts w:ascii="Arial" w:cs="Arial" w:eastAsia="Arial" w:hAnsi="Arial"/>
                <w:sz w:val="11"/>
                <w:szCs w:val="11"/>
                <w:color w:val="auto"/>
              </w:rPr>
              <w:t>24.9%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54.5%</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(2,158,555)</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color w:val="auto"/>
              </w:rPr>
              <w:t>(3,957,143)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Recoveries of written-off loans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84,908</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91,108</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86,709</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-4.8%</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2.1%</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347,017</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334,798</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1080" w:type="dxa"/>
            <w:vAlign w:val="bottom"/>
            <w:tcBorders>
              <w:right w:val="single" w:sz="8" w:color="auto"/>
            </w:tcBorders>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(730,681)</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(917,642)</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(1,173,454)</w:t>
            </w:r>
          </w:p>
        </w:tc>
        <w:tc>
          <w:tcPr>
            <w:tcW w:w="160" w:type="dxa"/>
            <w:vAlign w:val="bottom"/>
          </w:tcPr>
          <w:p>
            <w:pPr>
              <w:spacing w:after="0"/>
              <w:rPr>
                <w:sz w:val="13"/>
                <w:szCs w:val="13"/>
                <w:color w:val="auto"/>
              </w:rPr>
            </w:pPr>
          </w:p>
        </w:tc>
        <w:tc>
          <w:tcPr>
            <w:tcW w:w="580" w:type="dxa"/>
            <w:vAlign w:val="bottom"/>
          </w:tcPr>
          <w:p>
            <w:pPr>
              <w:jc w:val="center"/>
              <w:ind w:right="82"/>
              <w:spacing w:after="0"/>
              <w:rPr>
                <w:sz w:val="20"/>
                <w:szCs w:val="20"/>
                <w:color w:val="auto"/>
              </w:rPr>
            </w:pPr>
            <w:r>
              <w:rPr>
                <w:rFonts w:ascii="Arial" w:cs="Arial" w:eastAsia="Arial" w:hAnsi="Arial"/>
                <w:sz w:val="11"/>
                <w:szCs w:val="11"/>
                <w:b w:val="1"/>
                <w:bCs w:val="1"/>
                <w:color w:val="auto"/>
              </w:rPr>
              <w:t>27.9%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60.6%</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(1,811,538)</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(3,622,345)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7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Net interest, similar income and expenses, after provision for credit losses on loan</w:t>
            </w: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2,404,097</w:t>
            </w: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2,336,401</w:t>
            </w:r>
          </w:p>
        </w:tc>
        <w:tc>
          <w:tcPr>
            <w:tcW w:w="780" w:type="dxa"/>
            <w:vAlign w:val="bottom"/>
            <w:tcBorders>
              <w:right w:val="single" w:sz="8" w:color="auto"/>
            </w:tcBorders>
            <w:vMerge w:val="restart"/>
          </w:tcPr>
          <w:p>
            <w:pPr>
              <w:jc w:val="right"/>
              <w:ind w:right="43"/>
              <w:spacing w:after="0"/>
              <w:rPr>
                <w:sz w:val="20"/>
                <w:szCs w:val="20"/>
                <w:color w:val="auto"/>
              </w:rPr>
            </w:pPr>
            <w:r>
              <w:rPr>
                <w:rFonts w:ascii="Arial" w:cs="Arial" w:eastAsia="Arial" w:hAnsi="Arial"/>
                <w:sz w:val="11"/>
                <w:szCs w:val="11"/>
                <w:b w:val="1"/>
                <w:bCs w:val="1"/>
                <w:color w:val="auto"/>
              </w:rPr>
              <w:t>2,174,230</w:t>
            </w:r>
          </w:p>
        </w:tc>
        <w:tc>
          <w:tcPr>
            <w:tcW w:w="160" w:type="dxa"/>
            <w:vAlign w:val="bottom"/>
          </w:tcPr>
          <w:p>
            <w:pPr>
              <w:spacing w:after="0"/>
              <w:rPr>
                <w:sz w:val="18"/>
                <w:szCs w:val="18"/>
                <w:color w:val="auto"/>
              </w:rPr>
            </w:pPr>
          </w:p>
        </w:tc>
        <w:tc>
          <w:tcPr>
            <w:tcW w:w="580" w:type="dxa"/>
            <w:vAlign w:val="bottom"/>
            <w:vMerge w:val="restart"/>
          </w:tcPr>
          <w:p>
            <w:pPr>
              <w:jc w:val="center"/>
              <w:ind w:right="102"/>
              <w:spacing w:after="0"/>
              <w:rPr>
                <w:sz w:val="20"/>
                <w:szCs w:val="20"/>
                <w:color w:val="auto"/>
              </w:rPr>
            </w:pPr>
            <w:r>
              <w:rPr>
                <w:rFonts w:ascii="Arial" w:cs="Arial" w:eastAsia="Arial" w:hAnsi="Arial"/>
                <w:sz w:val="11"/>
                <w:szCs w:val="11"/>
                <w:b w:val="1"/>
                <w:bCs w:val="1"/>
                <w:color w:val="auto"/>
              </w:rPr>
              <w:t>-6.9%</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-9.8%</w:t>
            </w:r>
          </w:p>
        </w:tc>
        <w:tc>
          <w:tcPr>
            <w:tcW w:w="76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9,280,080</w:t>
            </w:r>
          </w:p>
        </w:tc>
        <w:tc>
          <w:tcPr>
            <w:tcW w:w="800" w:type="dxa"/>
            <w:vAlign w:val="bottom"/>
            <w:tcBorders>
              <w:right w:val="single" w:sz="8" w:color="auto"/>
            </w:tcBorders>
            <w:vMerge w:val="restart"/>
          </w:tcPr>
          <w:p>
            <w:pPr>
              <w:jc w:val="right"/>
              <w:ind w:right="63"/>
              <w:spacing w:after="0"/>
              <w:rPr>
                <w:sz w:val="20"/>
                <w:szCs w:val="20"/>
                <w:color w:val="auto"/>
              </w:rPr>
            </w:pPr>
            <w:r>
              <w:rPr>
                <w:rFonts w:ascii="Arial" w:cs="Arial" w:eastAsia="Arial" w:hAnsi="Arial"/>
                <w:sz w:val="11"/>
                <w:szCs w:val="11"/>
                <w:b w:val="1"/>
                <w:bCs w:val="1"/>
                <w:color w:val="auto"/>
              </w:rPr>
              <w:t>9,315,627</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portfolio</w:t>
            </w:r>
          </w:p>
        </w:tc>
        <w:tc>
          <w:tcPr>
            <w:tcW w:w="1080" w:type="dxa"/>
            <w:vAlign w:val="bottom"/>
            <w:tcBorders>
              <w:right w:val="single" w:sz="8" w:color="auto"/>
            </w:tcBorders>
          </w:tcPr>
          <w:p>
            <w:pPr>
              <w:spacing w:after="0"/>
              <w:rPr>
                <w:sz w:val="13"/>
                <w:szCs w:val="13"/>
                <w:color w:val="auto"/>
              </w:rPr>
            </w:pPr>
          </w:p>
        </w:tc>
        <w:tc>
          <w:tcPr>
            <w:tcW w:w="7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20" w:type="dxa"/>
            <w:vAlign w:val="bottom"/>
            <w:tcBorders>
              <w:right w:val="single" w:sz="8" w:color="auto"/>
            </w:tcBorders>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70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Other income</w:t>
            </w:r>
          </w:p>
        </w:tc>
        <w:tc>
          <w:tcPr>
            <w:tcW w:w="108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Fee income</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894,552</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975,955</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986,173</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1.0%</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10.2%</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3,642,857</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3,804,459</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Net gain on foreign exchange transactions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293,215</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208,620</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218,047</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4.5%</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-25.6%</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1,084,151</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886,126</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Net loss on securities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77,512</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53,591</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115,825</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116.1%</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49.4%</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(98,993)</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308,055</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-411.2%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Net gain from associates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25,422</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32,056</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34,132</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6.5%</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34.3%</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104,461</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117,089</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Net gain (loss) on derivatives held for trading</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5,857</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38,545</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5,019</w:t>
            </w:r>
          </w:p>
        </w:tc>
        <w:tc>
          <w:tcPr>
            <w:tcW w:w="160" w:type="dxa"/>
            <w:vAlign w:val="bottom"/>
          </w:tcPr>
          <w:p>
            <w:pPr>
              <w:spacing w:after="0"/>
              <w:rPr>
                <w:sz w:val="10"/>
                <w:szCs w:val="10"/>
                <w:color w:val="auto"/>
              </w:rPr>
            </w:pPr>
          </w:p>
        </w:tc>
        <w:tc>
          <w:tcPr>
            <w:tcW w:w="580" w:type="dxa"/>
            <w:vAlign w:val="bottom"/>
          </w:tcPr>
          <w:p>
            <w:pPr>
              <w:jc w:val="center"/>
              <w:ind w:right="82"/>
              <w:spacing w:after="0" w:line="122" w:lineRule="exact"/>
              <w:rPr>
                <w:sz w:val="20"/>
                <w:szCs w:val="20"/>
                <w:color w:val="auto"/>
              </w:rPr>
            </w:pPr>
            <w:r>
              <w:rPr>
                <w:rFonts w:ascii="Arial" w:cs="Arial" w:eastAsia="Arial" w:hAnsi="Arial"/>
                <w:sz w:val="11"/>
                <w:szCs w:val="11"/>
                <w:color w:val="auto"/>
              </w:rPr>
              <w:t>-87.0%</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-14.3%</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65,187</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53,665</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Net gain (loss) from exchange differences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22,039</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4,564</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15,255</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234.2%</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-53.9%</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387</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45,778</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11728.9%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Others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19,630</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89,272</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112,372</w:t>
            </w:r>
          </w:p>
        </w:tc>
        <w:tc>
          <w:tcPr>
            <w:tcW w:w="160" w:type="dxa"/>
            <w:vAlign w:val="bottom"/>
          </w:tcPr>
          <w:p>
            <w:pPr>
              <w:spacing w:after="0"/>
              <w:rPr>
                <w:sz w:val="10"/>
                <w:szCs w:val="10"/>
                <w:color w:val="auto"/>
              </w:rPr>
            </w:pPr>
          </w:p>
        </w:tc>
        <w:tc>
          <w:tcPr>
            <w:tcW w:w="580" w:type="dxa"/>
            <w:vAlign w:val="bottom"/>
          </w:tcPr>
          <w:p>
            <w:pPr>
              <w:jc w:val="center"/>
              <w:ind w:right="82"/>
              <w:spacing w:after="0" w:line="122" w:lineRule="exact"/>
              <w:rPr>
                <w:sz w:val="20"/>
                <w:szCs w:val="20"/>
                <w:color w:val="auto"/>
              </w:rPr>
            </w:pPr>
            <w:r>
              <w:rPr>
                <w:rFonts w:ascii="Arial" w:cs="Arial" w:eastAsia="Arial" w:hAnsi="Arial"/>
                <w:sz w:val="11"/>
                <w:szCs w:val="11"/>
                <w:color w:val="auto"/>
              </w:rPr>
              <w:t>25.9%</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-4510.2%</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268,046</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440,653</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tcBorders>
          </w:tcPr>
          <w:p>
            <w:pPr>
              <w:ind w:left="440"/>
              <w:spacing w:after="0"/>
              <w:rPr>
                <w:sz w:val="20"/>
                <w:szCs w:val="20"/>
                <w:color w:val="auto"/>
              </w:rPr>
            </w:pPr>
            <w:r>
              <w:rPr>
                <w:rFonts w:ascii="Arial" w:cs="Arial" w:eastAsia="Arial" w:hAnsi="Arial"/>
                <w:sz w:val="11"/>
                <w:szCs w:val="11"/>
                <w:b w:val="1"/>
                <w:bCs w:val="1"/>
                <w:color w:val="auto"/>
              </w:rPr>
              <w:t>Total other income</w:t>
            </w:r>
          </w:p>
        </w:tc>
        <w:tc>
          <w:tcPr>
            <w:tcW w:w="1080" w:type="dxa"/>
            <w:vAlign w:val="bottom"/>
            <w:tcBorders>
              <w:right w:val="single" w:sz="8" w:color="auto"/>
            </w:tcBorders>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1,338,227</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1,402,603</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1,486,823</w:t>
            </w:r>
          </w:p>
        </w:tc>
        <w:tc>
          <w:tcPr>
            <w:tcW w:w="160" w:type="dxa"/>
            <w:vAlign w:val="bottom"/>
          </w:tcPr>
          <w:p>
            <w:pPr>
              <w:spacing w:after="0"/>
              <w:rPr>
                <w:sz w:val="13"/>
                <w:szCs w:val="13"/>
                <w:color w:val="auto"/>
              </w:rPr>
            </w:pPr>
          </w:p>
        </w:tc>
        <w:tc>
          <w:tcPr>
            <w:tcW w:w="580" w:type="dxa"/>
            <w:vAlign w:val="bottom"/>
          </w:tcPr>
          <w:p>
            <w:pPr>
              <w:jc w:val="center"/>
              <w:ind w:right="102"/>
              <w:spacing w:after="0"/>
              <w:rPr>
                <w:sz w:val="20"/>
                <w:szCs w:val="20"/>
                <w:color w:val="auto"/>
              </w:rPr>
            </w:pPr>
            <w:r>
              <w:rPr>
                <w:rFonts w:ascii="Arial" w:cs="Arial" w:eastAsia="Arial" w:hAnsi="Arial"/>
                <w:sz w:val="11"/>
                <w:szCs w:val="11"/>
                <w:color w:val="auto"/>
              </w:rPr>
              <w:t>6.0%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12.0%</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5,066,096</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color w:val="auto"/>
              </w:rPr>
              <w:t>5,655,825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70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Insurance underwriting result</w:t>
            </w:r>
          </w:p>
        </w:tc>
        <w:tc>
          <w:tcPr>
            <w:tcW w:w="108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Insurance Service Result</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331,030</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417,014</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385,043</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-7.7%</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54.1%</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1,302,347</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1,602,421</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Reinsurance Result</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(119,436)</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(86,114)</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(97,748)</w:t>
            </w:r>
          </w:p>
        </w:tc>
        <w:tc>
          <w:tcPr>
            <w:tcW w:w="160" w:type="dxa"/>
            <w:vAlign w:val="bottom"/>
          </w:tcPr>
          <w:p>
            <w:pPr>
              <w:spacing w:after="0"/>
              <w:rPr>
                <w:sz w:val="10"/>
                <w:szCs w:val="10"/>
                <w:color w:val="auto"/>
              </w:rPr>
            </w:pPr>
          </w:p>
        </w:tc>
        <w:tc>
          <w:tcPr>
            <w:tcW w:w="580" w:type="dxa"/>
            <w:vAlign w:val="bottom"/>
          </w:tcPr>
          <w:p>
            <w:pPr>
              <w:jc w:val="center"/>
              <w:ind w:right="82"/>
              <w:spacing w:after="0" w:line="122" w:lineRule="exact"/>
              <w:rPr>
                <w:sz w:val="20"/>
                <w:szCs w:val="20"/>
                <w:color w:val="auto"/>
              </w:rPr>
            </w:pPr>
            <w:r>
              <w:rPr>
                <w:rFonts w:ascii="Arial" w:cs="Arial" w:eastAsia="Arial" w:hAnsi="Arial"/>
                <w:sz w:val="11"/>
                <w:szCs w:val="11"/>
                <w:color w:val="auto"/>
              </w:rPr>
              <w:t>13.5%</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-13.5%</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(460,899)</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(391,321)</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tcBorders>
          </w:tcPr>
          <w:p>
            <w:pPr>
              <w:ind w:left="440"/>
              <w:spacing w:after="0"/>
              <w:rPr>
                <w:sz w:val="20"/>
                <w:szCs w:val="20"/>
                <w:color w:val="auto"/>
              </w:rPr>
            </w:pPr>
            <w:r>
              <w:rPr>
                <w:rFonts w:ascii="Arial" w:cs="Arial" w:eastAsia="Arial" w:hAnsi="Arial"/>
                <w:sz w:val="11"/>
                <w:szCs w:val="11"/>
                <w:b w:val="1"/>
                <w:bCs w:val="1"/>
                <w:color w:val="auto"/>
              </w:rPr>
              <w:t>Total insurance underwriting result</w:t>
            </w:r>
          </w:p>
        </w:tc>
        <w:tc>
          <w:tcPr>
            <w:tcW w:w="1080" w:type="dxa"/>
            <w:vAlign w:val="bottom"/>
            <w:tcBorders>
              <w:right w:val="single" w:sz="8" w:color="auto"/>
            </w:tcBorders>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211,594</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330,900</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287,295</w:t>
            </w:r>
          </w:p>
        </w:tc>
        <w:tc>
          <w:tcPr>
            <w:tcW w:w="160" w:type="dxa"/>
            <w:vAlign w:val="bottom"/>
          </w:tcPr>
          <w:p>
            <w:pPr>
              <w:spacing w:after="0"/>
              <w:rPr>
                <w:sz w:val="13"/>
                <w:szCs w:val="13"/>
                <w:color w:val="auto"/>
              </w:rPr>
            </w:pPr>
          </w:p>
        </w:tc>
        <w:tc>
          <w:tcPr>
            <w:tcW w:w="580" w:type="dxa"/>
            <w:vAlign w:val="bottom"/>
          </w:tcPr>
          <w:p>
            <w:pPr>
              <w:jc w:val="center"/>
              <w:ind w:right="82"/>
              <w:spacing w:after="0"/>
              <w:rPr>
                <w:sz w:val="20"/>
                <w:szCs w:val="20"/>
                <w:color w:val="auto"/>
              </w:rPr>
            </w:pPr>
            <w:r>
              <w:rPr>
                <w:rFonts w:ascii="Arial" w:cs="Arial" w:eastAsia="Arial" w:hAnsi="Arial"/>
                <w:sz w:val="11"/>
                <w:szCs w:val="11"/>
                <w:b w:val="1"/>
                <w:bCs w:val="1"/>
                <w:color w:val="auto"/>
              </w:rPr>
              <w:t>-13.2%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110.0%</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841,448</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1,211,100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43.9%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70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Total expenses</w:t>
            </w:r>
          </w:p>
        </w:tc>
        <w:tc>
          <w:tcPr>
            <w:tcW w:w="108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Salaries and employee benefits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(1,040,066)</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(1,061,402)</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(1,119,758)</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5.5%</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8.1%</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(3,902,161)</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(4,265,453)</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Administrative, general and tax expenses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(1,042,882)</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(1,007,894)</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(1,089,203)</w:t>
            </w:r>
          </w:p>
        </w:tc>
        <w:tc>
          <w:tcPr>
            <w:tcW w:w="160" w:type="dxa"/>
            <w:vAlign w:val="bottom"/>
          </w:tcPr>
          <w:p>
            <w:pPr>
              <w:spacing w:after="0"/>
              <w:rPr>
                <w:sz w:val="10"/>
                <w:szCs w:val="10"/>
                <w:color w:val="auto"/>
              </w:rPr>
            </w:pPr>
          </w:p>
        </w:tc>
        <w:tc>
          <w:tcPr>
            <w:tcW w:w="580" w:type="dxa"/>
            <w:vAlign w:val="bottom"/>
          </w:tcPr>
          <w:p>
            <w:pPr>
              <w:jc w:val="center"/>
              <w:ind w:right="102"/>
              <w:spacing w:after="0" w:line="122" w:lineRule="exact"/>
              <w:rPr>
                <w:sz w:val="20"/>
                <w:szCs w:val="20"/>
                <w:color w:val="auto"/>
              </w:rPr>
            </w:pPr>
            <w:r>
              <w:rPr>
                <w:rFonts w:ascii="Arial" w:cs="Arial" w:eastAsia="Arial" w:hAnsi="Arial"/>
                <w:sz w:val="11"/>
                <w:szCs w:val="11"/>
                <w:color w:val="auto"/>
              </w:rPr>
              <w:t>8.1%</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5.8%</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(3,414,065)</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(3,803,203)</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Depreciation and amortization</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(165,180)</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(159,761)</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(177,618)</w:t>
            </w:r>
          </w:p>
        </w:tc>
        <w:tc>
          <w:tcPr>
            <w:tcW w:w="160" w:type="dxa"/>
            <w:vAlign w:val="bottom"/>
          </w:tcPr>
          <w:p>
            <w:pPr>
              <w:spacing w:after="0"/>
              <w:rPr>
                <w:sz w:val="10"/>
                <w:szCs w:val="10"/>
                <w:color w:val="auto"/>
              </w:rPr>
            </w:pPr>
          </w:p>
        </w:tc>
        <w:tc>
          <w:tcPr>
            <w:tcW w:w="580" w:type="dxa"/>
            <w:vAlign w:val="bottom"/>
          </w:tcPr>
          <w:p>
            <w:pPr>
              <w:jc w:val="center"/>
              <w:ind w:right="82"/>
              <w:spacing w:after="0" w:line="122" w:lineRule="exact"/>
              <w:rPr>
                <w:sz w:val="20"/>
                <w:szCs w:val="20"/>
                <w:color w:val="auto"/>
              </w:rPr>
            </w:pPr>
            <w:r>
              <w:rPr>
                <w:rFonts w:ascii="Arial" w:cs="Arial" w:eastAsia="Arial" w:hAnsi="Arial"/>
                <w:sz w:val="11"/>
                <w:szCs w:val="11"/>
                <w:color w:val="auto"/>
              </w:rPr>
              <w:t>11.2%</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7.2%</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(636,489)</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(659,007)</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Impairment loss on goodwill</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(71,959)</w:t>
            </w:r>
          </w:p>
        </w:tc>
        <w:tc>
          <w:tcPr>
            <w:tcW w:w="160" w:type="dxa"/>
            <w:vAlign w:val="bottom"/>
          </w:tcPr>
          <w:p>
            <w:pPr>
              <w:spacing w:after="0"/>
              <w:rPr>
                <w:sz w:val="10"/>
                <w:szCs w:val="10"/>
                <w:color w:val="auto"/>
              </w:rPr>
            </w:pPr>
          </w:p>
        </w:tc>
        <w:tc>
          <w:tcPr>
            <w:tcW w:w="580" w:type="dxa"/>
            <w:vAlign w:val="bottom"/>
          </w:tcPr>
          <w:p>
            <w:pPr>
              <w:jc w:val="center"/>
              <w:ind w:right="82"/>
              <w:spacing w:after="0" w:line="122" w:lineRule="exact"/>
              <w:rPr>
                <w:sz w:val="20"/>
                <w:szCs w:val="20"/>
                <w:color w:val="auto"/>
              </w:rPr>
            </w:pPr>
            <w:r>
              <w:rPr>
                <w:rFonts w:ascii="Arial" w:cs="Arial" w:eastAsia="Arial" w:hAnsi="Arial"/>
                <w:sz w:val="11"/>
                <w:szCs w:val="11"/>
                <w:color w:val="auto"/>
              </w:rPr>
              <w:t>n.a</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n.a</w:t>
            </w:r>
          </w:p>
        </w:tc>
        <w:tc>
          <w:tcPr>
            <w:tcW w:w="760" w:type="dxa"/>
            <w:vAlign w:val="bottom"/>
          </w:tcPr>
          <w:p>
            <w:pPr>
              <w:jc w:val="right"/>
              <w:ind w:right="63"/>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(71,959)</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n.a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Association in participation</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(12,936)</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(14,634)</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(9,109)</w:t>
            </w:r>
          </w:p>
        </w:tc>
        <w:tc>
          <w:tcPr>
            <w:tcW w:w="160" w:type="dxa"/>
            <w:vAlign w:val="bottom"/>
          </w:tcPr>
          <w:p>
            <w:pPr>
              <w:spacing w:after="0"/>
              <w:rPr>
                <w:sz w:val="10"/>
                <w:szCs w:val="10"/>
                <w:color w:val="auto"/>
              </w:rPr>
            </w:pPr>
          </w:p>
        </w:tc>
        <w:tc>
          <w:tcPr>
            <w:tcW w:w="580" w:type="dxa"/>
            <w:vAlign w:val="bottom"/>
          </w:tcPr>
          <w:p>
            <w:pPr>
              <w:jc w:val="center"/>
              <w:ind w:right="82"/>
              <w:spacing w:after="0" w:line="122" w:lineRule="exact"/>
              <w:rPr>
                <w:sz w:val="20"/>
                <w:szCs w:val="20"/>
                <w:color w:val="auto"/>
              </w:rPr>
            </w:pPr>
            <w:r>
              <w:rPr>
                <w:rFonts w:ascii="Arial" w:cs="Arial" w:eastAsia="Arial" w:hAnsi="Arial"/>
                <w:sz w:val="11"/>
                <w:szCs w:val="11"/>
                <w:color w:val="auto"/>
              </w:rPr>
              <w:t>-37.8%</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-29.6%</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(40,955)</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(53,097)</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440"/>
              <w:spacing w:after="0" w:line="122" w:lineRule="exact"/>
              <w:rPr>
                <w:sz w:val="20"/>
                <w:szCs w:val="20"/>
                <w:color w:val="auto"/>
              </w:rPr>
            </w:pPr>
            <w:r>
              <w:rPr>
                <w:rFonts w:ascii="Arial" w:cs="Arial" w:eastAsia="Arial" w:hAnsi="Arial"/>
                <w:sz w:val="11"/>
                <w:szCs w:val="11"/>
                <w:color w:val="auto"/>
              </w:rPr>
              <w:t>Other expenses</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(137,891)</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(106,778)</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(193,895)</w:t>
            </w:r>
          </w:p>
        </w:tc>
        <w:tc>
          <w:tcPr>
            <w:tcW w:w="160" w:type="dxa"/>
            <w:vAlign w:val="bottom"/>
          </w:tcPr>
          <w:p>
            <w:pPr>
              <w:spacing w:after="0"/>
              <w:rPr>
                <w:sz w:val="10"/>
                <w:szCs w:val="10"/>
                <w:color w:val="auto"/>
              </w:rPr>
            </w:pPr>
          </w:p>
        </w:tc>
        <w:tc>
          <w:tcPr>
            <w:tcW w:w="580" w:type="dxa"/>
            <w:vAlign w:val="bottom"/>
          </w:tcPr>
          <w:p>
            <w:pPr>
              <w:jc w:val="center"/>
              <w:ind w:right="82"/>
              <w:spacing w:after="0" w:line="122" w:lineRule="exact"/>
              <w:rPr>
                <w:sz w:val="20"/>
                <w:szCs w:val="20"/>
                <w:color w:val="auto"/>
              </w:rPr>
            </w:pPr>
            <w:r>
              <w:rPr>
                <w:rFonts w:ascii="Arial" w:cs="Arial" w:eastAsia="Arial" w:hAnsi="Arial"/>
                <w:sz w:val="11"/>
                <w:szCs w:val="11"/>
                <w:color w:val="auto"/>
              </w:rPr>
              <w:t>81.6%</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61.6%</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(323,343)</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(481,504)</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tcBorders>
          </w:tcPr>
          <w:p>
            <w:pPr>
              <w:ind w:left="440"/>
              <w:spacing w:after="0"/>
              <w:rPr>
                <w:sz w:val="20"/>
                <w:szCs w:val="20"/>
                <w:color w:val="auto"/>
              </w:rPr>
            </w:pPr>
            <w:r>
              <w:rPr>
                <w:rFonts w:ascii="Arial" w:cs="Arial" w:eastAsia="Arial" w:hAnsi="Arial"/>
                <w:sz w:val="11"/>
                <w:szCs w:val="11"/>
                <w:b w:val="1"/>
                <w:bCs w:val="1"/>
                <w:color w:val="auto"/>
              </w:rPr>
              <w:t>Total expenses</w:t>
            </w:r>
          </w:p>
        </w:tc>
        <w:tc>
          <w:tcPr>
            <w:tcW w:w="1080" w:type="dxa"/>
            <w:vAlign w:val="bottom"/>
            <w:tcBorders>
              <w:right w:val="single" w:sz="8" w:color="auto"/>
            </w:tcBorders>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(2,398,955)</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(2,350,469)</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(2,661,542)</w:t>
            </w:r>
          </w:p>
        </w:tc>
        <w:tc>
          <w:tcPr>
            <w:tcW w:w="160" w:type="dxa"/>
            <w:vAlign w:val="bottom"/>
          </w:tcPr>
          <w:p>
            <w:pPr>
              <w:spacing w:after="0"/>
              <w:rPr>
                <w:sz w:val="13"/>
                <w:szCs w:val="13"/>
                <w:color w:val="auto"/>
              </w:rPr>
            </w:pPr>
          </w:p>
        </w:tc>
        <w:tc>
          <w:tcPr>
            <w:tcW w:w="580" w:type="dxa"/>
            <w:vAlign w:val="bottom"/>
          </w:tcPr>
          <w:p>
            <w:pPr>
              <w:jc w:val="center"/>
              <w:ind w:right="82"/>
              <w:spacing w:after="0"/>
              <w:rPr>
                <w:sz w:val="20"/>
                <w:szCs w:val="20"/>
                <w:color w:val="auto"/>
              </w:rPr>
            </w:pPr>
            <w:r>
              <w:rPr>
                <w:rFonts w:ascii="Arial" w:cs="Arial" w:eastAsia="Arial" w:hAnsi="Arial"/>
                <w:sz w:val="11"/>
                <w:szCs w:val="11"/>
                <w:b w:val="1"/>
                <w:bCs w:val="1"/>
                <w:color w:val="auto"/>
              </w:rPr>
              <w:t>13.2%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12.6%</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(8,317,013)</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(9,334,223)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70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Profit before income tax</w:t>
            </w:r>
          </w:p>
        </w:tc>
        <w:tc>
          <w:tcPr>
            <w:tcW w:w="1080" w:type="dxa"/>
            <w:vAlign w:val="bottom"/>
            <w:tcBorders>
              <w:right w:val="single" w:sz="8" w:color="auto"/>
            </w:tcBorders>
          </w:tcPr>
          <w:p>
            <w:pPr>
              <w:spacing w:after="0"/>
              <w:rPr>
                <w:sz w:val="21"/>
                <w:szCs w:val="21"/>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1,554,963</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1,719,435</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1,286,806</w:t>
            </w:r>
          </w:p>
        </w:tc>
        <w:tc>
          <w:tcPr>
            <w:tcW w:w="160" w:type="dxa"/>
            <w:vAlign w:val="bottom"/>
          </w:tcPr>
          <w:p>
            <w:pPr>
              <w:spacing w:after="0"/>
              <w:rPr>
                <w:sz w:val="21"/>
                <w:szCs w:val="21"/>
                <w:color w:val="auto"/>
              </w:rPr>
            </w:pPr>
          </w:p>
        </w:tc>
        <w:tc>
          <w:tcPr>
            <w:tcW w:w="580" w:type="dxa"/>
            <w:vAlign w:val="bottom"/>
          </w:tcPr>
          <w:p>
            <w:pPr>
              <w:jc w:val="center"/>
              <w:ind w:right="82"/>
              <w:spacing w:after="0"/>
              <w:rPr>
                <w:sz w:val="20"/>
                <w:szCs w:val="20"/>
                <w:color w:val="auto"/>
              </w:rPr>
            </w:pPr>
            <w:r>
              <w:rPr>
                <w:rFonts w:ascii="Arial" w:cs="Arial" w:eastAsia="Arial" w:hAnsi="Arial"/>
                <w:sz w:val="11"/>
                <w:szCs w:val="11"/>
                <w:b w:val="1"/>
                <w:bCs w:val="1"/>
                <w:color w:val="auto"/>
              </w:rPr>
              <w:t>-25.2%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-14.8%</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6,870,611</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6,848,329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tcBorders>
              <w:left w:val="single" w:sz="8" w:color="auto"/>
            </w:tcBorders>
          </w:tcPr>
          <w:p>
            <w:pPr>
              <w:ind w:left="440"/>
              <w:spacing w:after="0"/>
              <w:rPr>
                <w:sz w:val="20"/>
                <w:szCs w:val="20"/>
                <w:color w:val="auto"/>
              </w:rPr>
            </w:pPr>
            <w:r>
              <w:rPr>
                <w:rFonts w:ascii="Arial" w:cs="Arial" w:eastAsia="Arial" w:hAnsi="Arial"/>
                <w:sz w:val="11"/>
                <w:szCs w:val="11"/>
                <w:color w:val="auto"/>
              </w:rPr>
              <w:t>Income tax</w:t>
            </w:r>
          </w:p>
        </w:tc>
        <w:tc>
          <w:tcPr>
            <w:tcW w:w="1080" w:type="dxa"/>
            <w:vAlign w:val="bottom"/>
            <w:tcBorders>
              <w:right w:val="single" w:sz="8" w:color="auto"/>
            </w:tcBorders>
          </w:tcPr>
          <w:p>
            <w:pPr>
              <w:spacing w:after="0"/>
              <w:rPr>
                <w:sz w:val="21"/>
                <w:szCs w:val="21"/>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(476,236)</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(455,865)</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color w:val="auto"/>
              </w:rPr>
              <w:t>(434,648)</w:t>
            </w:r>
          </w:p>
        </w:tc>
        <w:tc>
          <w:tcPr>
            <w:tcW w:w="160" w:type="dxa"/>
            <w:vAlign w:val="bottom"/>
          </w:tcPr>
          <w:p>
            <w:pPr>
              <w:spacing w:after="0"/>
              <w:rPr>
                <w:sz w:val="21"/>
                <w:szCs w:val="21"/>
                <w:color w:val="auto"/>
              </w:rPr>
            </w:pPr>
          </w:p>
        </w:tc>
        <w:tc>
          <w:tcPr>
            <w:tcW w:w="580" w:type="dxa"/>
            <w:vAlign w:val="bottom"/>
          </w:tcPr>
          <w:p>
            <w:pPr>
              <w:jc w:val="center"/>
              <w:ind w:right="102"/>
              <w:spacing w:after="0"/>
              <w:rPr>
                <w:sz w:val="20"/>
                <w:szCs w:val="20"/>
                <w:color w:val="auto"/>
              </w:rPr>
            </w:pPr>
            <w:r>
              <w:rPr>
                <w:rFonts w:ascii="Arial" w:cs="Arial" w:eastAsia="Arial" w:hAnsi="Arial"/>
                <w:sz w:val="11"/>
                <w:szCs w:val="11"/>
                <w:color w:val="auto"/>
              </w:rPr>
              <w:t>-4.7%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-8.7%</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(2,110,501)</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color w:val="auto"/>
              </w:rPr>
              <w:t>(1,888,451)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0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Net profit</w:t>
            </w:r>
          </w:p>
        </w:tc>
        <w:tc>
          <w:tcPr>
            <w:tcW w:w="1080" w:type="dxa"/>
            <w:vAlign w:val="bottom"/>
            <w:tcBorders>
              <w:right w:val="single" w:sz="8" w:color="auto"/>
            </w:tcBorders>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1,078,727</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1,263,570</w:t>
            </w:r>
          </w:p>
        </w:tc>
        <w:tc>
          <w:tcPr>
            <w:tcW w:w="780" w:type="dxa"/>
            <w:vAlign w:val="bottom"/>
            <w:tcBorders>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852,158</w:t>
            </w:r>
          </w:p>
        </w:tc>
        <w:tc>
          <w:tcPr>
            <w:tcW w:w="160" w:type="dxa"/>
            <w:vAlign w:val="bottom"/>
          </w:tcPr>
          <w:p>
            <w:pPr>
              <w:spacing w:after="0"/>
              <w:rPr>
                <w:sz w:val="18"/>
                <w:szCs w:val="18"/>
                <w:color w:val="auto"/>
              </w:rPr>
            </w:pPr>
          </w:p>
        </w:tc>
        <w:tc>
          <w:tcPr>
            <w:tcW w:w="580" w:type="dxa"/>
            <w:vAlign w:val="bottom"/>
          </w:tcPr>
          <w:p>
            <w:pPr>
              <w:jc w:val="center"/>
              <w:ind w:right="82"/>
              <w:spacing w:after="0"/>
              <w:rPr>
                <w:sz w:val="20"/>
                <w:szCs w:val="20"/>
                <w:color w:val="auto"/>
              </w:rPr>
            </w:pPr>
            <w:r>
              <w:rPr>
                <w:rFonts w:ascii="Arial" w:cs="Arial" w:eastAsia="Arial" w:hAnsi="Arial"/>
                <w:sz w:val="11"/>
                <w:szCs w:val="11"/>
                <w:b w:val="1"/>
                <w:bCs w:val="1"/>
                <w:color w:val="auto"/>
              </w:rPr>
              <w:t>-32.6%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-17.6%</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4,760,110</w:t>
            </w:r>
          </w:p>
        </w:tc>
        <w:tc>
          <w:tcPr>
            <w:tcW w:w="80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4,959,878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Non-controlling interest</w:t>
            </w:r>
          </w:p>
        </w:tc>
        <w:tc>
          <w:tcPr>
            <w:tcW w:w="1080" w:type="dxa"/>
            <w:vAlign w:val="bottom"/>
            <w:tcBorders>
              <w:right w:val="single" w:sz="8" w:color="auto"/>
            </w:tcBorders>
          </w:tcPr>
          <w:p>
            <w:pPr>
              <w:spacing w:after="0"/>
              <w:rPr>
                <w:sz w:val="10"/>
                <w:szCs w:val="10"/>
                <w:color w:val="auto"/>
              </w:rPr>
            </w:pP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24,231</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25,397</w:t>
            </w:r>
          </w:p>
        </w:tc>
        <w:tc>
          <w:tcPr>
            <w:tcW w:w="78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10,331</w:t>
            </w:r>
          </w:p>
        </w:tc>
        <w:tc>
          <w:tcPr>
            <w:tcW w:w="160" w:type="dxa"/>
            <w:vAlign w:val="bottom"/>
          </w:tcPr>
          <w:p>
            <w:pPr>
              <w:spacing w:after="0"/>
              <w:rPr>
                <w:sz w:val="10"/>
                <w:szCs w:val="10"/>
                <w:color w:val="auto"/>
              </w:rPr>
            </w:pPr>
          </w:p>
        </w:tc>
        <w:tc>
          <w:tcPr>
            <w:tcW w:w="580" w:type="dxa"/>
            <w:vAlign w:val="bottom"/>
          </w:tcPr>
          <w:p>
            <w:pPr>
              <w:jc w:val="center"/>
              <w:ind w:right="82"/>
              <w:spacing w:after="0" w:line="122" w:lineRule="exact"/>
              <w:rPr>
                <w:sz w:val="20"/>
                <w:szCs w:val="20"/>
                <w:color w:val="auto"/>
              </w:rPr>
            </w:pPr>
            <w:r>
              <w:rPr>
                <w:rFonts w:ascii="Arial" w:cs="Arial" w:eastAsia="Arial" w:hAnsi="Arial"/>
                <w:sz w:val="11"/>
                <w:szCs w:val="11"/>
                <w:color w:val="auto"/>
              </w:rPr>
              <w:t>-59.3%</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-57.4%</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112,292</w:t>
            </w:r>
          </w:p>
        </w:tc>
        <w:tc>
          <w:tcPr>
            <w:tcW w:w="80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94,338</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7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b w:val="1"/>
                <w:bCs w:val="1"/>
                <w:color w:val="auto"/>
              </w:rPr>
              <w:t>Net profit attributable to Credicorp</w:t>
            </w:r>
          </w:p>
        </w:tc>
        <w:tc>
          <w:tcPr>
            <w:tcW w:w="10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1,054,496</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1,238,173</w:t>
            </w:r>
          </w:p>
        </w:tc>
        <w:tc>
          <w:tcPr>
            <w:tcW w:w="7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841,827</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82"/>
              <w:spacing w:after="0"/>
              <w:rPr>
                <w:sz w:val="20"/>
                <w:szCs w:val="20"/>
                <w:color w:val="auto"/>
              </w:rPr>
            </w:pPr>
            <w:r>
              <w:rPr>
                <w:rFonts w:ascii="Arial" w:cs="Arial" w:eastAsia="Arial" w:hAnsi="Arial"/>
                <w:sz w:val="11"/>
                <w:szCs w:val="11"/>
                <w:b w:val="1"/>
                <w:bCs w:val="1"/>
                <w:color w:val="auto"/>
              </w:rPr>
              <w:t>-32.0%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-16.7%</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4,647,818</w:t>
            </w:r>
          </w:p>
        </w:tc>
        <w:tc>
          <w:tcPr>
            <w:tcW w:w="80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4,865,540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0"/>
        </w:trPr>
        <w:tc>
          <w:tcPr>
            <w:tcW w:w="3700" w:type="dxa"/>
            <w:vAlign w:val="bottom"/>
          </w:tcPr>
          <w:p>
            <w:pPr>
              <w:spacing w:after="0"/>
              <w:rPr>
                <w:sz w:val="24"/>
                <w:szCs w:val="24"/>
                <w:color w:val="auto"/>
              </w:rPr>
            </w:pPr>
          </w:p>
        </w:tc>
        <w:tc>
          <w:tcPr>
            <w:tcW w:w="3580" w:type="dxa"/>
            <w:vAlign w:val="bottom"/>
            <w:gridSpan w:val="5"/>
          </w:tcPr>
          <w:p>
            <w:pPr>
              <w:jc w:val="center"/>
              <w:ind w:left="203"/>
              <w:spacing w:after="0"/>
              <w:rPr>
                <w:sz w:val="20"/>
                <w:szCs w:val="20"/>
                <w:color w:val="auto"/>
              </w:rPr>
            </w:pPr>
            <w:r>
              <w:rPr>
                <w:rFonts w:ascii="Arial" w:cs="Arial" w:eastAsia="Arial" w:hAnsi="Arial"/>
                <w:sz w:val="13"/>
                <w:szCs w:val="13"/>
                <w:color w:val="0000FF"/>
              </w:rPr>
              <w:t>Datos elaborados por BCP para uso Interno</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43"/>
        </w:trPr>
        <w:tc>
          <w:tcPr>
            <w:tcW w:w="3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-4977130</wp:posOffset>
            </wp:positionV>
            <wp:extent cx="1161415" cy="139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9" w:name="page70"/>
    <w:bookmarkEnd w:id="69"/>
    <w:tbl>
      <w:tblPr>
        <w:tblLayout w:type="fixed"/>
        <w:tblInd w:w="10" w:type="dxa"/>
        <w:tblCellMar>
          <w:top w:w="0" w:type="dxa"/>
          <w:left w:w="0" w:type="dxa"/>
          <w:bottom w:w="0" w:type="dxa"/>
          <w:right w:w="0" w:type="dxa"/>
        </w:tblCellMar>
      </w:tblPr>
      <w:tr>
        <w:trPr>
          <w:trHeight w:val="444"/>
        </w:trPr>
        <w:tc>
          <w:tcPr>
            <w:tcW w:w="2620" w:type="dxa"/>
            <w:vAlign w:val="bottom"/>
            <w:tcBorders>
              <w:left w:val="single" w:sz="8" w:color="auto"/>
            </w:tcBorders>
            <w:shd w:val="clear" w:color="auto" w:fill="000000"/>
          </w:tcPr>
          <w:p>
            <w:pPr>
              <w:spacing w:after="0"/>
              <w:rPr>
                <w:sz w:val="24"/>
                <w:szCs w:val="24"/>
                <w:color w:val="auto"/>
              </w:rPr>
            </w:pPr>
          </w:p>
        </w:tc>
        <w:tc>
          <w:tcPr>
            <w:tcW w:w="2700" w:type="dxa"/>
            <w:vAlign w:val="bottom"/>
            <w:gridSpan w:val="3"/>
            <w:shd w:val="clear" w:color="auto" w:fill="000000"/>
          </w:tcPr>
          <w:p>
            <w:pPr>
              <w:ind w:left="10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860" w:type="dxa"/>
            <w:vAlign w:val="bottom"/>
            <w:tcBorders>
              <w:right w:val="single" w:sz="8" w:color="auto"/>
            </w:tcBorders>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4240" w:type="dxa"/>
            <w:vAlign w:val="bottom"/>
            <w:gridSpan w:val="2"/>
            <w:shd w:val="clear" w:color="auto" w:fill="000000"/>
          </w:tcPr>
          <w:p>
            <w:pPr>
              <w:ind w:left="500"/>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2620" w:type="dxa"/>
            <w:vAlign w:val="bottom"/>
            <w:tcBorders>
              <w:left w:val="single" w:sz="8" w:color="auto"/>
            </w:tcBorders>
            <w:shd w:val="clear" w:color="auto" w:fill="000000"/>
          </w:tcPr>
          <w:p>
            <w:pPr>
              <w:spacing w:after="0"/>
              <w:rPr>
                <w:sz w:val="17"/>
                <w:szCs w:val="17"/>
                <w:color w:val="auto"/>
              </w:rPr>
            </w:pPr>
          </w:p>
        </w:tc>
        <w:tc>
          <w:tcPr>
            <w:tcW w:w="600" w:type="dxa"/>
            <w:vAlign w:val="bottom"/>
            <w:tcBorders>
              <w:right w:val="single" w:sz="8" w:color="auto"/>
            </w:tcBorders>
            <w:shd w:val="clear" w:color="auto" w:fill="000000"/>
          </w:tcPr>
          <w:p>
            <w:pPr>
              <w:spacing w:after="0"/>
              <w:rPr>
                <w:sz w:val="17"/>
                <w:szCs w:val="17"/>
                <w:color w:val="auto"/>
              </w:rPr>
            </w:pPr>
          </w:p>
        </w:tc>
        <w:tc>
          <w:tcPr>
            <w:tcW w:w="980" w:type="dxa"/>
            <w:vAlign w:val="bottom"/>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860" w:type="dxa"/>
            <w:vAlign w:val="bottom"/>
            <w:tcBorders>
              <w:right w:val="single" w:sz="8" w:color="auto"/>
            </w:tcBorders>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880" w:type="dxa"/>
            <w:vAlign w:val="bottom"/>
            <w:tcBorders>
              <w:right w:val="single" w:sz="8" w:color="auto"/>
            </w:tcBorders>
            <w:shd w:val="clear" w:color="auto" w:fill="000000"/>
          </w:tcPr>
          <w:p>
            <w:pPr>
              <w:spacing w:after="0"/>
              <w:rPr>
                <w:sz w:val="17"/>
                <w:szCs w:val="17"/>
                <w:color w:val="auto"/>
              </w:rPr>
            </w:pPr>
          </w:p>
        </w:tc>
        <w:tc>
          <w:tcPr>
            <w:tcW w:w="33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620" w:type="dxa"/>
            <w:vAlign w:val="bottom"/>
            <w:tcBorders>
              <w:left w:val="single" w:sz="8" w:color="E93CAC"/>
            </w:tcBorders>
            <w:shd w:val="clear" w:color="auto" w:fill="E93CAC"/>
          </w:tcPr>
          <w:p>
            <w:pPr>
              <w:ind w:left="40"/>
              <w:spacing w:after="0"/>
              <w:rPr>
                <w:sz w:val="20"/>
                <w:szCs w:val="20"/>
                <w:color w:val="auto"/>
              </w:rPr>
            </w:pPr>
            <w:r>
              <w:rPr>
                <w:rFonts w:ascii="Arial" w:cs="Arial" w:eastAsia="Arial" w:hAnsi="Arial"/>
                <w:sz w:val="18"/>
                <w:szCs w:val="18"/>
                <w:b w:val="1"/>
                <w:bCs w:val="1"/>
                <w:color w:val="FFFFFF"/>
              </w:rPr>
              <w:t>12. Appendix</w:t>
            </w:r>
          </w:p>
        </w:tc>
        <w:tc>
          <w:tcPr>
            <w:tcW w:w="600" w:type="dxa"/>
            <w:vAlign w:val="bottom"/>
            <w:tcBorders>
              <w:right w:val="single" w:sz="8" w:color="E93CAC"/>
            </w:tcBorders>
            <w:shd w:val="clear" w:color="auto" w:fill="E93CAC"/>
          </w:tcPr>
          <w:p>
            <w:pPr>
              <w:spacing w:after="0"/>
              <w:rPr>
                <w:sz w:val="24"/>
                <w:szCs w:val="24"/>
                <w:color w:val="auto"/>
              </w:rPr>
            </w:pPr>
          </w:p>
        </w:tc>
        <w:tc>
          <w:tcPr>
            <w:tcW w:w="980" w:type="dxa"/>
            <w:vAlign w:val="bottom"/>
            <w:shd w:val="clear" w:color="auto" w:fill="E93CAC"/>
          </w:tcPr>
          <w:p>
            <w:pPr>
              <w:spacing w:after="0"/>
              <w:rPr>
                <w:sz w:val="24"/>
                <w:szCs w:val="24"/>
                <w:color w:val="auto"/>
              </w:rPr>
            </w:pPr>
          </w:p>
        </w:tc>
        <w:tc>
          <w:tcPr>
            <w:tcW w:w="1120" w:type="dxa"/>
            <w:vAlign w:val="bottom"/>
            <w:shd w:val="clear" w:color="auto" w:fill="E93CAC"/>
          </w:tcPr>
          <w:p>
            <w:pPr>
              <w:spacing w:after="0"/>
              <w:rPr>
                <w:sz w:val="24"/>
                <w:szCs w:val="24"/>
                <w:color w:val="auto"/>
              </w:rPr>
            </w:pPr>
          </w:p>
        </w:tc>
        <w:tc>
          <w:tcPr>
            <w:tcW w:w="860" w:type="dxa"/>
            <w:vAlign w:val="bottom"/>
            <w:tcBorders>
              <w:right w:val="single" w:sz="8" w:color="E93CAC"/>
            </w:tcBorders>
            <w:shd w:val="clear" w:color="auto" w:fill="E93CAC"/>
          </w:tcPr>
          <w:p>
            <w:pPr>
              <w:spacing w:after="0"/>
              <w:rPr>
                <w:sz w:val="24"/>
                <w:szCs w:val="24"/>
                <w:color w:val="auto"/>
              </w:rPr>
            </w:pPr>
          </w:p>
        </w:tc>
        <w:tc>
          <w:tcPr>
            <w:tcW w:w="840" w:type="dxa"/>
            <w:vAlign w:val="bottom"/>
            <w:shd w:val="clear" w:color="auto" w:fill="E93CAC"/>
          </w:tcPr>
          <w:p>
            <w:pPr>
              <w:spacing w:after="0"/>
              <w:rPr>
                <w:sz w:val="24"/>
                <w:szCs w:val="24"/>
                <w:color w:val="auto"/>
              </w:rPr>
            </w:pPr>
          </w:p>
        </w:tc>
        <w:tc>
          <w:tcPr>
            <w:tcW w:w="880" w:type="dxa"/>
            <w:vAlign w:val="bottom"/>
            <w:tcBorders>
              <w:right w:val="single" w:sz="8" w:color="E93CAC"/>
            </w:tcBorders>
            <w:shd w:val="clear" w:color="auto" w:fill="E93CAC"/>
          </w:tcPr>
          <w:p>
            <w:pPr>
              <w:spacing w:after="0"/>
              <w:rPr>
                <w:sz w:val="24"/>
                <w:szCs w:val="24"/>
                <w:color w:val="auto"/>
              </w:rPr>
            </w:pPr>
          </w:p>
        </w:tc>
        <w:tc>
          <w:tcPr>
            <w:tcW w:w="3360" w:type="dxa"/>
            <w:vAlign w:val="bottom"/>
            <w:shd w:val="clear" w:color="auto" w:fill="E93CAC"/>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20" w:type="dxa"/>
            <w:vAlign w:val="bottom"/>
            <w:tcBorders>
              <w:left w:val="single" w:sz="8" w:color="E93CAC"/>
            </w:tcBorders>
            <w:shd w:val="clear" w:color="auto" w:fill="E93CAC"/>
          </w:tcPr>
          <w:p>
            <w:pPr>
              <w:spacing w:after="0"/>
              <w:rPr>
                <w:sz w:val="5"/>
                <w:szCs w:val="5"/>
                <w:color w:val="auto"/>
              </w:rPr>
            </w:pPr>
          </w:p>
        </w:tc>
        <w:tc>
          <w:tcPr>
            <w:tcW w:w="600" w:type="dxa"/>
            <w:vAlign w:val="bottom"/>
            <w:tcBorders>
              <w:right w:val="single" w:sz="8" w:color="E93CAC"/>
            </w:tcBorders>
            <w:shd w:val="clear" w:color="auto" w:fill="E93CAC"/>
          </w:tcPr>
          <w:p>
            <w:pPr>
              <w:spacing w:after="0"/>
              <w:rPr>
                <w:sz w:val="5"/>
                <w:szCs w:val="5"/>
                <w:color w:val="auto"/>
              </w:rPr>
            </w:pPr>
          </w:p>
        </w:tc>
        <w:tc>
          <w:tcPr>
            <w:tcW w:w="980" w:type="dxa"/>
            <w:vAlign w:val="bottom"/>
            <w:shd w:val="clear" w:color="auto" w:fill="E93CAC"/>
          </w:tcPr>
          <w:p>
            <w:pPr>
              <w:spacing w:after="0"/>
              <w:rPr>
                <w:sz w:val="5"/>
                <w:szCs w:val="5"/>
                <w:color w:val="auto"/>
              </w:rPr>
            </w:pPr>
          </w:p>
        </w:tc>
        <w:tc>
          <w:tcPr>
            <w:tcW w:w="1120" w:type="dxa"/>
            <w:vAlign w:val="bottom"/>
            <w:shd w:val="clear" w:color="auto" w:fill="E93CAC"/>
          </w:tcPr>
          <w:p>
            <w:pPr>
              <w:spacing w:after="0"/>
              <w:rPr>
                <w:sz w:val="5"/>
                <w:szCs w:val="5"/>
                <w:color w:val="auto"/>
              </w:rPr>
            </w:pPr>
          </w:p>
        </w:tc>
        <w:tc>
          <w:tcPr>
            <w:tcW w:w="860" w:type="dxa"/>
            <w:vAlign w:val="bottom"/>
            <w:tcBorders>
              <w:right w:val="single" w:sz="8" w:color="E93CAC"/>
            </w:tcBorders>
            <w:shd w:val="clear" w:color="auto" w:fill="E93CAC"/>
          </w:tcPr>
          <w:p>
            <w:pPr>
              <w:spacing w:after="0"/>
              <w:rPr>
                <w:sz w:val="5"/>
                <w:szCs w:val="5"/>
                <w:color w:val="auto"/>
              </w:rPr>
            </w:pPr>
          </w:p>
        </w:tc>
        <w:tc>
          <w:tcPr>
            <w:tcW w:w="840" w:type="dxa"/>
            <w:vAlign w:val="bottom"/>
            <w:shd w:val="clear" w:color="auto" w:fill="E93CAC"/>
          </w:tcPr>
          <w:p>
            <w:pPr>
              <w:spacing w:after="0"/>
              <w:rPr>
                <w:sz w:val="5"/>
                <w:szCs w:val="5"/>
                <w:color w:val="auto"/>
              </w:rPr>
            </w:pPr>
          </w:p>
        </w:tc>
        <w:tc>
          <w:tcPr>
            <w:tcW w:w="880" w:type="dxa"/>
            <w:vAlign w:val="bottom"/>
            <w:tcBorders>
              <w:right w:val="single" w:sz="8" w:color="E93CAC"/>
            </w:tcBorders>
            <w:shd w:val="clear" w:color="auto" w:fill="E93CAC"/>
          </w:tcPr>
          <w:p>
            <w:pPr>
              <w:spacing w:after="0"/>
              <w:rPr>
                <w:sz w:val="5"/>
                <w:szCs w:val="5"/>
                <w:color w:val="auto"/>
              </w:rPr>
            </w:pPr>
          </w:p>
        </w:tc>
        <w:tc>
          <w:tcPr>
            <w:tcW w:w="3360" w:type="dxa"/>
            <w:vAlign w:val="bottom"/>
            <w:shd w:val="clear" w:color="auto" w:fill="E93CAC"/>
          </w:tcPr>
          <w:p>
            <w:pPr>
              <w:spacing w:after="0"/>
              <w:rPr>
                <w:sz w:val="5"/>
                <w:szCs w:val="5"/>
                <w:color w:val="auto"/>
              </w:rPr>
            </w:pPr>
          </w:p>
        </w:tc>
        <w:tc>
          <w:tcPr>
            <w:tcW w:w="0" w:type="dxa"/>
            <w:vAlign w:val="bottom"/>
          </w:tcPr>
          <w:p>
            <w:pPr>
              <w:spacing w:after="0"/>
              <w:rPr>
                <w:sz w:val="1"/>
                <w:szCs w:val="1"/>
                <w:color w:val="auto"/>
              </w:rPr>
            </w:pPr>
          </w:p>
        </w:tc>
      </w:tr>
      <w:tr>
        <w:trPr>
          <w:trHeight w:val="389"/>
        </w:trPr>
        <w:tc>
          <w:tcPr>
            <w:tcW w:w="2620" w:type="dxa"/>
            <w:vAlign w:val="bottom"/>
          </w:tcPr>
          <w:p>
            <w:pPr>
              <w:spacing w:after="0"/>
              <w:rPr>
                <w:sz w:val="20"/>
                <w:szCs w:val="20"/>
                <w:color w:val="auto"/>
              </w:rPr>
            </w:pPr>
            <w:r>
              <w:rPr>
                <w:rFonts w:ascii="Arial" w:cs="Arial" w:eastAsia="Arial" w:hAnsi="Arial"/>
                <w:sz w:val="16"/>
                <w:szCs w:val="16"/>
                <w:b w:val="1"/>
                <w:bCs w:val="1"/>
                <w:color w:val="auto"/>
              </w:rPr>
              <w:t>12.6.2. Credicorp Stand-alone</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620" w:type="dxa"/>
            <w:vAlign w:val="bottom"/>
          </w:tcPr>
          <w:p>
            <w:pPr>
              <w:spacing w:after="0"/>
              <w:rPr>
                <w:sz w:val="24"/>
                <w:szCs w:val="24"/>
                <w:color w:val="auto"/>
              </w:rPr>
            </w:pPr>
          </w:p>
        </w:tc>
        <w:tc>
          <w:tcPr>
            <w:tcW w:w="2700" w:type="dxa"/>
            <w:vAlign w:val="bottom"/>
            <w:gridSpan w:val="3"/>
          </w:tcPr>
          <w:p>
            <w:pPr>
              <w:ind w:left="100"/>
              <w:spacing w:after="0"/>
              <w:rPr>
                <w:sz w:val="20"/>
                <w:szCs w:val="20"/>
                <w:color w:val="auto"/>
              </w:rPr>
            </w:pPr>
            <w:r>
              <w:rPr>
                <w:rFonts w:ascii="Arial" w:cs="Arial" w:eastAsia="Arial" w:hAnsi="Arial"/>
                <w:sz w:val="16"/>
                <w:szCs w:val="16"/>
                <w:b w:val="1"/>
                <w:bCs w:val="1"/>
                <w:color w:val="auto"/>
              </w:rPr>
              <w:t>Statement of Financal Position</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2700" w:type="dxa"/>
            <w:vAlign w:val="bottom"/>
            <w:gridSpan w:val="3"/>
          </w:tcPr>
          <w:p>
            <w:pPr>
              <w:ind w:left="500"/>
              <w:spacing w:after="0"/>
              <w:rPr>
                <w:sz w:val="20"/>
                <w:szCs w:val="20"/>
                <w:color w:val="auto"/>
              </w:rPr>
            </w:pPr>
            <w:r>
              <w:rPr>
                <w:rFonts w:ascii="Arial" w:cs="Arial" w:eastAsia="Arial" w:hAnsi="Arial"/>
                <w:sz w:val="16"/>
                <w:szCs w:val="16"/>
                <w:b w:val="1"/>
                <w:bCs w:val="1"/>
                <w:color w:val="auto"/>
              </w:rPr>
              <w:t>(S/ thousands, IFRS)</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62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80" w:type="dxa"/>
            <w:vAlign w:val="bottom"/>
            <w:tcBorders>
              <w:top w:val="single" w:sz="8" w:color="auto"/>
            </w:tcBorders>
            <w:vMerge w:val="restart"/>
            <w:shd w:val="clear" w:color="auto" w:fill="2AD2C9"/>
          </w:tcPr>
          <w:p>
            <w:pPr>
              <w:jc w:val="right"/>
              <w:ind w:right="263"/>
              <w:spacing w:after="0"/>
              <w:rPr>
                <w:sz w:val="20"/>
                <w:szCs w:val="20"/>
                <w:color w:val="auto"/>
              </w:rPr>
            </w:pPr>
            <w:r>
              <w:rPr>
                <w:rFonts w:ascii="Arial" w:cs="Arial" w:eastAsia="Arial" w:hAnsi="Arial"/>
                <w:sz w:val="11"/>
                <w:szCs w:val="11"/>
                <w:b w:val="1"/>
                <w:bCs w:val="1"/>
                <w:color w:val="FFFFFF"/>
              </w:rPr>
              <w:t>Dec 22</w:t>
            </w:r>
          </w:p>
        </w:tc>
        <w:tc>
          <w:tcPr>
            <w:tcW w:w="1120" w:type="dxa"/>
            <w:vAlign w:val="bottom"/>
            <w:tcBorders>
              <w:top w:val="single" w:sz="8" w:color="auto"/>
            </w:tcBorders>
            <w:shd w:val="clear" w:color="auto" w:fill="2AD2C9"/>
          </w:tcPr>
          <w:p>
            <w:pPr>
              <w:jc w:val="center"/>
              <w:ind w:right="83"/>
              <w:spacing w:after="0" w:line="99" w:lineRule="exact"/>
              <w:rPr>
                <w:sz w:val="20"/>
                <w:szCs w:val="20"/>
                <w:color w:val="auto"/>
              </w:rPr>
            </w:pPr>
            <w:r>
              <w:rPr>
                <w:rFonts w:ascii="Arial" w:cs="Arial" w:eastAsia="Arial" w:hAnsi="Arial"/>
                <w:sz w:val="11"/>
                <w:szCs w:val="11"/>
                <w:b w:val="1"/>
                <w:bCs w:val="1"/>
                <w:color w:val="FFFFFF"/>
              </w:rPr>
              <w:t>As of</w:t>
            </w:r>
          </w:p>
        </w:tc>
        <w:tc>
          <w:tcPr>
            <w:tcW w:w="860" w:type="dxa"/>
            <w:vAlign w:val="bottom"/>
            <w:tcBorders>
              <w:top w:val="single" w:sz="8" w:color="auto"/>
              <w:right w:val="single" w:sz="8" w:color="auto"/>
            </w:tcBorders>
            <w:vMerge w:val="restart"/>
            <w:shd w:val="clear" w:color="auto" w:fill="2AD2C9"/>
          </w:tcPr>
          <w:p>
            <w:pPr>
              <w:ind w:left="160"/>
              <w:spacing w:after="0"/>
              <w:rPr>
                <w:sz w:val="20"/>
                <w:szCs w:val="20"/>
                <w:color w:val="auto"/>
              </w:rPr>
            </w:pPr>
            <w:r>
              <w:rPr>
                <w:rFonts w:ascii="Arial" w:cs="Arial" w:eastAsia="Arial" w:hAnsi="Arial"/>
                <w:sz w:val="11"/>
                <w:szCs w:val="11"/>
                <w:b w:val="1"/>
                <w:bCs w:val="1"/>
                <w:color w:val="FFFFFF"/>
              </w:rPr>
              <w:t>Dec 23</w:t>
            </w:r>
          </w:p>
        </w:tc>
        <w:tc>
          <w:tcPr>
            <w:tcW w:w="1720" w:type="dxa"/>
            <w:vAlign w:val="bottom"/>
            <w:tcBorders>
              <w:top w:val="single" w:sz="8" w:color="auto"/>
              <w:right w:val="single" w:sz="8" w:color="auto"/>
            </w:tcBorders>
            <w:gridSpan w:val="2"/>
            <w:shd w:val="clear" w:color="auto" w:fill="2AD2C9"/>
          </w:tcPr>
          <w:p>
            <w:pPr>
              <w:ind w:left="580"/>
              <w:spacing w:after="0" w:line="99" w:lineRule="exact"/>
              <w:rPr>
                <w:sz w:val="20"/>
                <w:szCs w:val="20"/>
                <w:color w:val="auto"/>
              </w:rPr>
            </w:pPr>
            <w:r>
              <w:rPr>
                <w:rFonts w:ascii="Arial" w:cs="Arial" w:eastAsia="Arial" w:hAnsi="Arial"/>
                <w:sz w:val="11"/>
                <w:szCs w:val="11"/>
                <w:b w:val="1"/>
                <w:bCs w:val="1"/>
                <w:color w:val="FFFFFF"/>
              </w:rPr>
              <w:t>% change</w:t>
            </w:r>
          </w:p>
        </w:tc>
        <w:tc>
          <w:tcPr>
            <w:tcW w:w="3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62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tcBorders>
            <w:vMerge w:val="continue"/>
            <w:shd w:val="clear" w:color="auto" w:fill="2AD2C9"/>
          </w:tcPr>
          <w:p>
            <w:pPr>
              <w:spacing w:after="0"/>
              <w:rPr>
                <w:sz w:val="11"/>
                <w:szCs w:val="11"/>
                <w:color w:val="auto"/>
              </w:rPr>
            </w:pPr>
          </w:p>
        </w:tc>
        <w:tc>
          <w:tcPr>
            <w:tcW w:w="1120" w:type="dxa"/>
            <w:vAlign w:val="bottom"/>
            <w:tcBorders>
              <w:bottom w:val="single" w:sz="8" w:color="auto"/>
            </w:tcBorders>
            <w:shd w:val="clear" w:color="auto" w:fill="2AD2C9"/>
          </w:tcPr>
          <w:p>
            <w:pPr>
              <w:jc w:val="center"/>
              <w:ind w:right="103"/>
              <w:spacing w:after="0"/>
              <w:rPr>
                <w:sz w:val="20"/>
                <w:szCs w:val="20"/>
                <w:color w:val="auto"/>
              </w:rPr>
            </w:pPr>
            <w:r>
              <w:rPr>
                <w:rFonts w:ascii="Arial" w:cs="Arial" w:eastAsia="Arial" w:hAnsi="Arial"/>
                <w:sz w:val="11"/>
                <w:szCs w:val="11"/>
                <w:b w:val="1"/>
                <w:bCs w:val="1"/>
                <w:color w:val="FFFFFF"/>
              </w:rPr>
              <w:t>Sep 23</w:t>
            </w:r>
          </w:p>
        </w:tc>
        <w:tc>
          <w:tcPr>
            <w:tcW w:w="86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84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QoQ</w:t>
            </w:r>
          </w:p>
        </w:tc>
        <w:tc>
          <w:tcPr>
            <w:tcW w:w="8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YoY</w:t>
            </w: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620" w:type="dxa"/>
            <w:vAlign w:val="bottom"/>
            <w:tcBorders>
              <w:lef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ASSETS</w:t>
            </w:r>
          </w:p>
        </w:tc>
        <w:tc>
          <w:tcPr>
            <w:tcW w:w="600" w:type="dxa"/>
            <w:vAlign w:val="bottom"/>
            <w:tcBorders>
              <w:righ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Cash and cash equivalents</w:t>
            </w:r>
          </w:p>
        </w:tc>
        <w:tc>
          <w:tcPr>
            <w:tcW w:w="60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136,399</w:t>
            </w:r>
          </w:p>
        </w:tc>
        <w:tc>
          <w:tcPr>
            <w:tcW w:w="1120" w:type="dxa"/>
            <w:vAlign w:val="bottom"/>
          </w:tcPr>
          <w:p>
            <w:pPr>
              <w:jc w:val="center"/>
              <w:ind w:right="83"/>
              <w:spacing w:after="0" w:line="122" w:lineRule="exact"/>
              <w:rPr>
                <w:sz w:val="20"/>
                <w:szCs w:val="20"/>
                <w:color w:val="auto"/>
              </w:rPr>
            </w:pPr>
            <w:r>
              <w:rPr>
                <w:rFonts w:ascii="Arial" w:cs="Arial" w:eastAsia="Arial" w:hAnsi="Arial"/>
                <w:sz w:val="11"/>
                <w:szCs w:val="11"/>
                <w:color w:val="auto"/>
              </w:rPr>
              <w:t>79,883</w:t>
            </w:r>
          </w:p>
        </w:tc>
        <w:tc>
          <w:tcPr>
            <w:tcW w:w="8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529,773</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rPr>
              <w:t>563.2%</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288.4%</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At fair value through profit or loss</w:t>
            </w:r>
          </w:p>
        </w:tc>
        <w:tc>
          <w:tcPr>
            <w:tcW w:w="60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958,939</w:t>
            </w:r>
          </w:p>
        </w:tc>
        <w:tc>
          <w:tcPr>
            <w:tcW w:w="1120" w:type="dxa"/>
            <w:vAlign w:val="bottom"/>
          </w:tcPr>
          <w:p>
            <w:pPr>
              <w:jc w:val="center"/>
              <w:ind w:right="83"/>
              <w:spacing w:after="0" w:line="122" w:lineRule="exact"/>
              <w:rPr>
                <w:sz w:val="20"/>
                <w:szCs w:val="20"/>
                <w:color w:val="auto"/>
              </w:rPr>
            </w:pPr>
            <w:r>
              <w:rPr>
                <w:rFonts w:ascii="Arial" w:cs="Arial" w:eastAsia="Arial" w:hAnsi="Arial"/>
                <w:sz w:val="11"/>
                <w:szCs w:val="11"/>
                <w:color w:val="auto"/>
              </w:rPr>
              <w:t>937,279</w:t>
            </w:r>
          </w:p>
        </w:tc>
        <w:tc>
          <w:tcPr>
            <w:tcW w:w="8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501,026</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rPr>
              <w:t>-46.5%</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-47.8%</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Fair value through other comprehensive income</w:t>
            </w:r>
          </w:p>
        </w:tc>
        <w:tc>
          <w:tcPr>
            <w:tcW w:w="600" w:type="dxa"/>
            <w:vAlign w:val="bottom"/>
            <w:tcBorders>
              <w:right w:val="single" w:sz="8" w:color="auto"/>
            </w:tcBorders>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306,343</w:t>
            </w:r>
          </w:p>
        </w:tc>
        <w:tc>
          <w:tcPr>
            <w:tcW w:w="1120" w:type="dxa"/>
            <w:vAlign w:val="bottom"/>
            <w:vMerge w:val="restart"/>
          </w:tcPr>
          <w:p>
            <w:pPr>
              <w:jc w:val="center"/>
              <w:ind w:right="83"/>
              <w:spacing w:after="0"/>
              <w:rPr>
                <w:sz w:val="20"/>
                <w:szCs w:val="20"/>
                <w:color w:val="auto"/>
              </w:rPr>
            </w:pPr>
            <w:r>
              <w:rPr>
                <w:rFonts w:ascii="Arial" w:cs="Arial" w:eastAsia="Arial" w:hAnsi="Arial"/>
                <w:sz w:val="11"/>
                <w:szCs w:val="11"/>
                <w:color w:val="auto"/>
              </w:rPr>
              <w:t>303,303</w:t>
            </w:r>
          </w:p>
        </w:tc>
        <w:tc>
          <w:tcPr>
            <w:tcW w:w="860" w:type="dxa"/>
            <w:vAlign w:val="bottom"/>
            <w:tcBorders>
              <w:right w:val="single" w:sz="8" w:color="auto"/>
            </w:tcBorders>
            <w:vMerge w:val="restart"/>
          </w:tcPr>
          <w:p>
            <w:pPr>
              <w:jc w:val="center"/>
              <w:ind w:right="103"/>
              <w:spacing w:after="0"/>
              <w:rPr>
                <w:sz w:val="20"/>
                <w:szCs w:val="20"/>
                <w:color w:val="auto"/>
              </w:rPr>
            </w:pPr>
            <w:r>
              <w:rPr>
                <w:rFonts w:ascii="Arial" w:cs="Arial" w:eastAsia="Arial" w:hAnsi="Arial"/>
                <w:sz w:val="11"/>
                <w:szCs w:val="11"/>
                <w:color w:val="auto"/>
              </w:rPr>
              <w:t>1,418,293</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367.6%</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363.0%</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20" w:type="dxa"/>
            <w:vAlign w:val="bottom"/>
            <w:tcBorders>
              <w:left w:val="single" w:sz="8" w:color="auto"/>
            </w:tcBorders>
            <w:vMerge w:val="restart"/>
          </w:tcPr>
          <w:p>
            <w:pPr>
              <w:ind w:left="100"/>
              <w:spacing w:after="0" w:line="122" w:lineRule="exact"/>
              <w:rPr>
                <w:sz w:val="20"/>
                <w:szCs w:val="20"/>
                <w:color w:val="auto"/>
              </w:rPr>
            </w:pPr>
            <w:r>
              <w:rPr>
                <w:rFonts w:ascii="Arial" w:cs="Arial" w:eastAsia="Arial" w:hAnsi="Arial"/>
                <w:sz w:val="11"/>
                <w:szCs w:val="11"/>
                <w:color w:val="auto"/>
              </w:rPr>
              <w:t>investments</w:t>
            </w:r>
          </w:p>
        </w:tc>
        <w:tc>
          <w:tcPr>
            <w:tcW w:w="600" w:type="dxa"/>
            <w:vAlign w:val="bottom"/>
            <w:tcBorders>
              <w:righ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3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620" w:type="dxa"/>
            <w:vAlign w:val="bottom"/>
            <w:tcBorders>
              <w:left w:val="single" w:sz="8" w:color="auto"/>
            </w:tcBorders>
            <w:vMerge w:val="continue"/>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In subsidiaries and associates investments</w:t>
            </w:r>
          </w:p>
        </w:tc>
        <w:tc>
          <w:tcPr>
            <w:tcW w:w="60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33,878,318</w:t>
            </w:r>
          </w:p>
        </w:tc>
        <w:tc>
          <w:tcPr>
            <w:tcW w:w="11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36,167,571</w:t>
            </w:r>
          </w:p>
        </w:tc>
        <w:tc>
          <w:tcPr>
            <w:tcW w:w="8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36,150,565</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rPr>
              <w:t>0.0%</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6.7%</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Held to maturity</w:t>
            </w:r>
          </w:p>
        </w:tc>
        <w:tc>
          <w:tcPr>
            <w:tcW w:w="60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Other assets</w:t>
            </w:r>
          </w:p>
        </w:tc>
        <w:tc>
          <w:tcPr>
            <w:tcW w:w="600" w:type="dxa"/>
            <w:vAlign w:val="bottom"/>
            <w:tcBorders>
              <w:right w:val="single" w:sz="8" w:color="auto"/>
            </w:tcBorders>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135</w:t>
            </w:r>
          </w:p>
        </w:tc>
        <w:tc>
          <w:tcPr>
            <w:tcW w:w="1120" w:type="dxa"/>
            <w:vAlign w:val="bottom"/>
          </w:tcPr>
          <w:p>
            <w:pPr>
              <w:jc w:val="center"/>
              <w:ind w:right="83"/>
              <w:spacing w:after="0"/>
              <w:rPr>
                <w:sz w:val="20"/>
                <w:szCs w:val="20"/>
                <w:color w:val="auto"/>
              </w:rPr>
            </w:pPr>
            <w:r>
              <w:rPr>
                <w:rFonts w:ascii="Arial" w:cs="Arial" w:eastAsia="Arial" w:hAnsi="Arial"/>
                <w:sz w:val="11"/>
                <w:szCs w:val="11"/>
                <w:color w:val="auto"/>
                <w:w w:val="97"/>
              </w:rPr>
              <w:t>324</w:t>
            </w:r>
          </w:p>
        </w:tc>
        <w:tc>
          <w:tcPr>
            <w:tcW w:w="860" w:type="dxa"/>
            <w:vAlign w:val="bottom"/>
            <w:tcBorders>
              <w:right w:val="single" w:sz="8" w:color="auto"/>
            </w:tcBorders>
          </w:tcPr>
          <w:p>
            <w:pPr>
              <w:jc w:val="center"/>
              <w:ind w:right="103"/>
              <w:spacing w:after="0"/>
              <w:rPr>
                <w:sz w:val="20"/>
                <w:szCs w:val="20"/>
                <w:color w:val="auto"/>
              </w:rPr>
            </w:pPr>
            <w:r>
              <w:rPr>
                <w:rFonts w:ascii="Arial" w:cs="Arial" w:eastAsia="Arial" w:hAnsi="Arial"/>
                <w:sz w:val="11"/>
                <w:szCs w:val="11"/>
                <w:color w:val="auto"/>
              </w:rPr>
              <w:t>99</w:t>
            </w:r>
          </w:p>
        </w:tc>
        <w:tc>
          <w:tcPr>
            <w:tcW w:w="840" w:type="dxa"/>
            <w:vAlign w:val="bottom"/>
          </w:tcPr>
          <w:p>
            <w:pPr>
              <w:jc w:val="center"/>
              <w:spacing w:after="0"/>
              <w:rPr>
                <w:sz w:val="20"/>
                <w:szCs w:val="20"/>
                <w:color w:val="auto"/>
              </w:rPr>
            </w:pPr>
            <w:r>
              <w:rPr>
                <w:rFonts w:ascii="Arial" w:cs="Arial" w:eastAsia="Arial" w:hAnsi="Arial"/>
                <w:sz w:val="11"/>
                <w:szCs w:val="11"/>
                <w:color w:val="auto"/>
              </w:rPr>
              <w:t>-69.4%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-26.7%</w:t>
            </w: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tcBorders>
          </w:tcPr>
          <w:p>
            <w:pPr>
              <w:ind w:left="1280"/>
              <w:spacing w:after="0"/>
              <w:rPr>
                <w:sz w:val="20"/>
                <w:szCs w:val="20"/>
                <w:color w:val="auto"/>
              </w:rPr>
            </w:pPr>
            <w:r>
              <w:rPr>
                <w:rFonts w:ascii="Arial" w:cs="Arial" w:eastAsia="Arial" w:hAnsi="Arial"/>
                <w:sz w:val="11"/>
                <w:szCs w:val="11"/>
                <w:b w:val="1"/>
                <w:bCs w:val="1"/>
                <w:color w:val="auto"/>
              </w:rPr>
              <w:t>Total Assets</w:t>
            </w:r>
          </w:p>
        </w:tc>
        <w:tc>
          <w:tcPr>
            <w:tcW w:w="600" w:type="dxa"/>
            <w:vAlign w:val="bottom"/>
            <w:tcBorders>
              <w:right w:val="single" w:sz="8" w:color="auto"/>
            </w:tcBorders>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35,280,134</w:t>
            </w:r>
          </w:p>
        </w:tc>
        <w:tc>
          <w:tcPr>
            <w:tcW w:w="1120" w:type="dxa"/>
            <w:vAlign w:val="bottom"/>
          </w:tcPr>
          <w:p>
            <w:pPr>
              <w:jc w:val="center"/>
              <w:ind w:right="103"/>
              <w:spacing w:after="0"/>
              <w:rPr>
                <w:sz w:val="20"/>
                <w:szCs w:val="20"/>
                <w:color w:val="auto"/>
              </w:rPr>
            </w:pPr>
            <w:r>
              <w:rPr>
                <w:rFonts w:ascii="Arial" w:cs="Arial" w:eastAsia="Arial" w:hAnsi="Arial"/>
                <w:sz w:val="11"/>
                <w:szCs w:val="11"/>
                <w:b w:val="1"/>
                <w:bCs w:val="1"/>
                <w:color w:val="auto"/>
              </w:rPr>
              <w:t>37,488,360</w:t>
            </w:r>
          </w:p>
        </w:tc>
        <w:tc>
          <w:tcPr>
            <w:tcW w:w="860" w:type="dxa"/>
            <w:vAlign w:val="bottom"/>
            <w:tcBorders>
              <w:right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38,766,733</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3.4%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9.9%</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2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LIABILITIES AND NET SHAREHOLDERS’ EQUITY</w:t>
            </w: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6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Due to banks, correspondents and other entities</w:t>
            </w:r>
          </w:p>
        </w:tc>
        <w:tc>
          <w:tcPr>
            <w:tcW w:w="600" w:type="dxa"/>
            <w:vAlign w:val="bottom"/>
            <w:tcBorders>
              <w:right w:val="single" w:sz="8" w:color="auto"/>
            </w:tcBorders>
          </w:tcPr>
          <w:p>
            <w:pPr>
              <w:spacing w:after="0"/>
              <w:rPr>
                <w:sz w:val="18"/>
                <w:szCs w:val="18"/>
                <w:color w:val="auto"/>
              </w:rPr>
            </w:pPr>
          </w:p>
        </w:tc>
        <w:tc>
          <w:tcPr>
            <w:tcW w:w="980" w:type="dxa"/>
            <w:vAlign w:val="bottom"/>
          </w:tcPr>
          <w:p>
            <w:pPr>
              <w:jc w:val="right"/>
              <w:ind w:right="463"/>
              <w:spacing w:after="0"/>
              <w:rPr>
                <w:sz w:val="20"/>
                <w:szCs w:val="20"/>
                <w:color w:val="auto"/>
              </w:rPr>
            </w:pPr>
            <w:r>
              <w:rPr>
                <w:rFonts w:ascii="Arial" w:cs="Arial" w:eastAsia="Arial" w:hAnsi="Arial"/>
                <w:sz w:val="11"/>
                <w:szCs w:val="11"/>
                <w:color w:val="auto"/>
              </w:rPr>
              <w:t>-</w:t>
            </w:r>
          </w:p>
        </w:tc>
        <w:tc>
          <w:tcPr>
            <w:tcW w:w="1120" w:type="dxa"/>
            <w:vAlign w:val="bottom"/>
          </w:tcPr>
          <w:p>
            <w:pPr>
              <w:jc w:val="center"/>
              <w:ind w:right="83"/>
              <w:spacing w:after="0"/>
              <w:rPr>
                <w:sz w:val="20"/>
                <w:szCs w:val="20"/>
                <w:color w:val="auto"/>
              </w:rPr>
            </w:pPr>
            <w:r>
              <w:rPr>
                <w:rFonts w:ascii="Arial" w:cs="Arial" w:eastAsia="Arial" w:hAnsi="Arial"/>
                <w:sz w:val="11"/>
                <w:szCs w:val="11"/>
                <w:color w:val="auto"/>
              </w:rPr>
              <w:t>30,165</w:t>
            </w:r>
          </w:p>
        </w:tc>
        <w:tc>
          <w:tcPr>
            <w:tcW w:w="860" w:type="dxa"/>
            <w:vAlign w:val="bottom"/>
            <w:tcBorders>
              <w:right w:val="single" w:sz="8" w:color="auto"/>
            </w:tcBorders>
          </w:tcPr>
          <w:p>
            <w:pPr>
              <w:jc w:val="center"/>
              <w:ind w:right="103"/>
              <w:spacing w:after="0"/>
              <w:rPr>
                <w:sz w:val="20"/>
                <w:szCs w:val="20"/>
                <w:color w:val="auto"/>
              </w:rPr>
            </w:pPr>
            <w:r>
              <w:rPr>
                <w:rFonts w:ascii="Arial" w:cs="Arial" w:eastAsia="Arial" w:hAnsi="Arial"/>
                <w:sz w:val="11"/>
                <w:szCs w:val="11"/>
                <w:color w:val="auto"/>
              </w:rPr>
              <w:t>30,866</w:t>
            </w:r>
          </w:p>
        </w:tc>
        <w:tc>
          <w:tcPr>
            <w:tcW w:w="840" w:type="dxa"/>
            <w:vAlign w:val="bottom"/>
          </w:tcPr>
          <w:p>
            <w:pPr>
              <w:jc w:val="center"/>
              <w:spacing w:after="0"/>
              <w:rPr>
                <w:sz w:val="20"/>
                <w:szCs w:val="20"/>
                <w:color w:val="auto"/>
              </w:rPr>
            </w:pPr>
            <w:r>
              <w:rPr>
                <w:rFonts w:ascii="Arial" w:cs="Arial" w:eastAsia="Arial" w:hAnsi="Arial"/>
                <w:sz w:val="11"/>
                <w:szCs w:val="11"/>
                <w:color w:val="auto"/>
              </w:rPr>
              <w:t>2.3%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n.a</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Bonds and notes issued</w:t>
            </w:r>
          </w:p>
        </w:tc>
        <w:tc>
          <w:tcPr>
            <w:tcW w:w="60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1,898,066</w:t>
            </w:r>
          </w:p>
        </w:tc>
        <w:tc>
          <w:tcPr>
            <w:tcW w:w="1120" w:type="dxa"/>
            <w:vAlign w:val="bottom"/>
          </w:tcPr>
          <w:p>
            <w:pPr>
              <w:jc w:val="center"/>
              <w:ind w:right="83"/>
              <w:spacing w:after="0" w:line="122" w:lineRule="exact"/>
              <w:rPr>
                <w:sz w:val="20"/>
                <w:szCs w:val="20"/>
                <w:color w:val="auto"/>
              </w:rPr>
            </w:pPr>
            <w:r>
              <w:rPr>
                <w:rFonts w:ascii="Arial" w:cs="Arial" w:eastAsia="Arial" w:hAnsi="Arial"/>
                <w:sz w:val="11"/>
                <w:szCs w:val="11"/>
                <w:color w:val="auto"/>
              </w:rPr>
              <w:t>1,851,185</w:t>
            </w:r>
          </w:p>
        </w:tc>
        <w:tc>
          <w:tcPr>
            <w:tcW w:w="8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1,798,858</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7"/>
              </w:rPr>
              <w:t>-2.8%</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-5.2%</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Other liabilities</w:t>
            </w:r>
          </w:p>
        </w:tc>
        <w:tc>
          <w:tcPr>
            <w:tcW w:w="600" w:type="dxa"/>
            <w:vAlign w:val="bottom"/>
            <w:tcBorders>
              <w:right w:val="single" w:sz="8" w:color="auto"/>
            </w:tcBorders>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220,642</w:t>
            </w:r>
          </w:p>
        </w:tc>
        <w:tc>
          <w:tcPr>
            <w:tcW w:w="1120" w:type="dxa"/>
            <w:vAlign w:val="bottom"/>
          </w:tcPr>
          <w:p>
            <w:pPr>
              <w:jc w:val="center"/>
              <w:ind w:right="83"/>
              <w:spacing w:after="0"/>
              <w:rPr>
                <w:sz w:val="20"/>
                <w:szCs w:val="20"/>
                <w:color w:val="auto"/>
              </w:rPr>
            </w:pPr>
            <w:r>
              <w:rPr>
                <w:rFonts w:ascii="Arial" w:cs="Arial" w:eastAsia="Arial" w:hAnsi="Arial"/>
                <w:sz w:val="11"/>
                <w:szCs w:val="11"/>
                <w:color w:val="auto"/>
              </w:rPr>
              <w:t>206,963</w:t>
            </w:r>
          </w:p>
        </w:tc>
        <w:tc>
          <w:tcPr>
            <w:tcW w:w="860" w:type="dxa"/>
            <w:vAlign w:val="bottom"/>
            <w:tcBorders>
              <w:right w:val="single" w:sz="8" w:color="auto"/>
            </w:tcBorders>
          </w:tcPr>
          <w:p>
            <w:pPr>
              <w:jc w:val="center"/>
              <w:ind w:right="103"/>
              <w:spacing w:after="0"/>
              <w:rPr>
                <w:sz w:val="20"/>
                <w:szCs w:val="20"/>
                <w:color w:val="auto"/>
              </w:rPr>
            </w:pPr>
            <w:r>
              <w:rPr>
                <w:rFonts w:ascii="Arial" w:cs="Arial" w:eastAsia="Arial" w:hAnsi="Arial"/>
                <w:sz w:val="11"/>
                <w:szCs w:val="11"/>
                <w:color w:val="auto"/>
              </w:rPr>
              <w:t>255,707</w:t>
            </w:r>
          </w:p>
        </w:tc>
        <w:tc>
          <w:tcPr>
            <w:tcW w:w="840" w:type="dxa"/>
            <w:vAlign w:val="bottom"/>
          </w:tcPr>
          <w:p>
            <w:pPr>
              <w:jc w:val="center"/>
              <w:spacing w:after="0"/>
              <w:rPr>
                <w:sz w:val="20"/>
                <w:szCs w:val="20"/>
                <w:color w:val="auto"/>
              </w:rPr>
            </w:pPr>
            <w:r>
              <w:rPr>
                <w:rFonts w:ascii="Arial" w:cs="Arial" w:eastAsia="Arial" w:hAnsi="Arial"/>
                <w:sz w:val="11"/>
                <w:szCs w:val="11"/>
                <w:color w:val="auto"/>
              </w:rPr>
              <w:t>23.6%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15.9%</w:t>
            </w: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tcBorders>
          </w:tcPr>
          <w:p>
            <w:pPr>
              <w:ind w:left="1200"/>
              <w:spacing w:after="0"/>
              <w:rPr>
                <w:sz w:val="20"/>
                <w:szCs w:val="20"/>
                <w:color w:val="auto"/>
              </w:rPr>
            </w:pPr>
            <w:r>
              <w:rPr>
                <w:rFonts w:ascii="Arial" w:cs="Arial" w:eastAsia="Arial" w:hAnsi="Arial"/>
                <w:sz w:val="11"/>
                <w:szCs w:val="11"/>
                <w:b w:val="1"/>
                <w:bCs w:val="1"/>
                <w:color w:val="auto"/>
              </w:rPr>
              <w:t>Total Liabilities</w:t>
            </w:r>
          </w:p>
        </w:tc>
        <w:tc>
          <w:tcPr>
            <w:tcW w:w="600" w:type="dxa"/>
            <w:vAlign w:val="bottom"/>
            <w:tcBorders>
              <w:right w:val="single" w:sz="8" w:color="auto"/>
            </w:tcBorders>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2,118,708</w:t>
            </w:r>
          </w:p>
        </w:tc>
        <w:tc>
          <w:tcPr>
            <w:tcW w:w="1120" w:type="dxa"/>
            <w:vAlign w:val="bottom"/>
          </w:tcPr>
          <w:p>
            <w:pPr>
              <w:jc w:val="center"/>
              <w:ind w:right="83"/>
              <w:spacing w:after="0"/>
              <w:rPr>
                <w:sz w:val="20"/>
                <w:szCs w:val="20"/>
                <w:color w:val="auto"/>
              </w:rPr>
            </w:pPr>
            <w:r>
              <w:rPr>
                <w:rFonts w:ascii="Arial" w:cs="Arial" w:eastAsia="Arial" w:hAnsi="Arial"/>
                <w:sz w:val="11"/>
                <w:szCs w:val="11"/>
                <w:b w:val="1"/>
                <w:bCs w:val="1"/>
                <w:color w:val="auto"/>
              </w:rPr>
              <w:t>2,088,313</w:t>
            </w:r>
          </w:p>
        </w:tc>
        <w:tc>
          <w:tcPr>
            <w:tcW w:w="860" w:type="dxa"/>
            <w:vAlign w:val="bottom"/>
            <w:tcBorders>
              <w:right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2,085,431</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7"/>
              </w:rPr>
              <w:t>-0.1%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62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NET EQUITY</w:t>
            </w:r>
          </w:p>
        </w:tc>
        <w:tc>
          <w:tcPr>
            <w:tcW w:w="60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Capital stock</w:t>
            </w:r>
          </w:p>
        </w:tc>
        <w:tc>
          <w:tcPr>
            <w:tcW w:w="60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1,318,993</w:t>
            </w:r>
          </w:p>
        </w:tc>
        <w:tc>
          <w:tcPr>
            <w:tcW w:w="1120" w:type="dxa"/>
            <w:vAlign w:val="bottom"/>
          </w:tcPr>
          <w:p>
            <w:pPr>
              <w:jc w:val="center"/>
              <w:ind w:right="83"/>
              <w:spacing w:after="0" w:line="122" w:lineRule="exact"/>
              <w:rPr>
                <w:sz w:val="20"/>
                <w:szCs w:val="20"/>
                <w:color w:val="auto"/>
              </w:rPr>
            </w:pPr>
            <w:r>
              <w:rPr>
                <w:rFonts w:ascii="Arial" w:cs="Arial" w:eastAsia="Arial" w:hAnsi="Arial"/>
                <w:sz w:val="11"/>
                <w:szCs w:val="11"/>
                <w:color w:val="auto"/>
              </w:rPr>
              <w:t>1,318,993</w:t>
            </w:r>
          </w:p>
        </w:tc>
        <w:tc>
          <w:tcPr>
            <w:tcW w:w="8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1,318,993</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rPr>
              <w:t>0.0%</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0.0%</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Capital Surplus</w:t>
            </w:r>
          </w:p>
        </w:tc>
        <w:tc>
          <w:tcPr>
            <w:tcW w:w="60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384,542</w:t>
            </w:r>
          </w:p>
        </w:tc>
        <w:tc>
          <w:tcPr>
            <w:tcW w:w="1120" w:type="dxa"/>
            <w:vAlign w:val="bottom"/>
          </w:tcPr>
          <w:p>
            <w:pPr>
              <w:jc w:val="center"/>
              <w:ind w:right="83"/>
              <w:spacing w:after="0" w:line="122" w:lineRule="exact"/>
              <w:rPr>
                <w:sz w:val="20"/>
                <w:szCs w:val="20"/>
                <w:color w:val="auto"/>
              </w:rPr>
            </w:pPr>
            <w:r>
              <w:rPr>
                <w:rFonts w:ascii="Arial" w:cs="Arial" w:eastAsia="Arial" w:hAnsi="Arial"/>
                <w:sz w:val="11"/>
                <w:szCs w:val="11"/>
                <w:color w:val="auto"/>
              </w:rPr>
              <w:t>384,542</w:t>
            </w:r>
          </w:p>
        </w:tc>
        <w:tc>
          <w:tcPr>
            <w:tcW w:w="8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384,542</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rPr>
              <w:t>0.0%</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0.0%</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Reserve</w:t>
            </w:r>
          </w:p>
        </w:tc>
        <w:tc>
          <w:tcPr>
            <w:tcW w:w="60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23,300,350</w:t>
            </w:r>
          </w:p>
        </w:tc>
        <w:tc>
          <w:tcPr>
            <w:tcW w:w="11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25,905,576</w:t>
            </w:r>
          </w:p>
        </w:tc>
        <w:tc>
          <w:tcPr>
            <w:tcW w:w="8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25,905,526</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rPr>
              <w:t>0.0%</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11.2%</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Unrealized results</w:t>
            </w:r>
          </w:p>
        </w:tc>
        <w:tc>
          <w:tcPr>
            <w:tcW w:w="60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(835,079)</w:t>
            </w:r>
          </w:p>
        </w:tc>
        <w:tc>
          <w:tcPr>
            <w:tcW w:w="11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(215,370)</w:t>
            </w:r>
          </w:p>
        </w:tc>
        <w:tc>
          <w:tcPr>
            <w:tcW w:w="8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68,056</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rPr>
              <w:t>-131.6%</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-108.1%</w:t>
            </w: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Retained earnings</w:t>
            </w:r>
          </w:p>
        </w:tc>
        <w:tc>
          <w:tcPr>
            <w:tcW w:w="600" w:type="dxa"/>
            <w:vAlign w:val="bottom"/>
            <w:tcBorders>
              <w:right w:val="single" w:sz="8" w:color="auto"/>
            </w:tcBorders>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8,992,620</w:t>
            </w:r>
          </w:p>
        </w:tc>
        <w:tc>
          <w:tcPr>
            <w:tcW w:w="1120" w:type="dxa"/>
            <w:vAlign w:val="bottom"/>
          </w:tcPr>
          <w:p>
            <w:pPr>
              <w:jc w:val="center"/>
              <w:ind w:right="83"/>
              <w:spacing w:after="0"/>
              <w:rPr>
                <w:sz w:val="20"/>
                <w:szCs w:val="20"/>
                <w:color w:val="auto"/>
              </w:rPr>
            </w:pPr>
            <w:r>
              <w:rPr>
                <w:rFonts w:ascii="Arial" w:cs="Arial" w:eastAsia="Arial" w:hAnsi="Arial"/>
                <w:sz w:val="11"/>
                <w:szCs w:val="11"/>
                <w:color w:val="auto"/>
              </w:rPr>
              <w:t>8,006,306</w:t>
            </w:r>
          </w:p>
        </w:tc>
        <w:tc>
          <w:tcPr>
            <w:tcW w:w="860" w:type="dxa"/>
            <w:vAlign w:val="bottom"/>
            <w:tcBorders>
              <w:right w:val="single" w:sz="8" w:color="auto"/>
            </w:tcBorders>
          </w:tcPr>
          <w:p>
            <w:pPr>
              <w:jc w:val="center"/>
              <w:ind w:right="103"/>
              <w:spacing w:after="0"/>
              <w:rPr>
                <w:sz w:val="20"/>
                <w:szCs w:val="20"/>
                <w:color w:val="auto"/>
              </w:rPr>
            </w:pPr>
            <w:r>
              <w:rPr>
                <w:rFonts w:ascii="Arial" w:cs="Arial" w:eastAsia="Arial" w:hAnsi="Arial"/>
                <w:sz w:val="11"/>
                <w:szCs w:val="11"/>
                <w:color w:val="auto"/>
              </w:rPr>
              <w:t>9,004,185</w:t>
            </w:r>
          </w:p>
        </w:tc>
        <w:tc>
          <w:tcPr>
            <w:tcW w:w="840" w:type="dxa"/>
            <w:vAlign w:val="bottom"/>
          </w:tcPr>
          <w:p>
            <w:pPr>
              <w:jc w:val="center"/>
              <w:spacing w:after="0"/>
              <w:rPr>
                <w:sz w:val="20"/>
                <w:szCs w:val="20"/>
                <w:color w:val="auto"/>
              </w:rPr>
            </w:pPr>
            <w:r>
              <w:rPr>
                <w:rFonts w:ascii="Arial" w:cs="Arial" w:eastAsia="Arial" w:hAnsi="Arial"/>
                <w:sz w:val="11"/>
                <w:szCs w:val="11"/>
                <w:color w:val="auto"/>
              </w:rPr>
              <w:t>12.5%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0.1%</w:t>
            </w: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tcBorders>
          </w:tcPr>
          <w:p>
            <w:pPr>
              <w:ind w:left="1200"/>
              <w:spacing w:after="0"/>
              <w:rPr>
                <w:sz w:val="20"/>
                <w:szCs w:val="20"/>
                <w:color w:val="auto"/>
              </w:rPr>
            </w:pPr>
            <w:r>
              <w:rPr>
                <w:rFonts w:ascii="Arial" w:cs="Arial" w:eastAsia="Arial" w:hAnsi="Arial"/>
                <w:sz w:val="11"/>
                <w:szCs w:val="11"/>
                <w:b w:val="1"/>
                <w:bCs w:val="1"/>
                <w:color w:val="auto"/>
              </w:rPr>
              <w:t>Total net equity</w:t>
            </w:r>
          </w:p>
        </w:tc>
        <w:tc>
          <w:tcPr>
            <w:tcW w:w="600" w:type="dxa"/>
            <w:vAlign w:val="bottom"/>
            <w:tcBorders>
              <w:right w:val="single" w:sz="8" w:color="auto"/>
            </w:tcBorders>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33,161,426</w:t>
            </w:r>
          </w:p>
        </w:tc>
        <w:tc>
          <w:tcPr>
            <w:tcW w:w="1120" w:type="dxa"/>
            <w:vAlign w:val="bottom"/>
          </w:tcPr>
          <w:p>
            <w:pPr>
              <w:jc w:val="center"/>
              <w:ind w:right="103"/>
              <w:spacing w:after="0"/>
              <w:rPr>
                <w:sz w:val="20"/>
                <w:szCs w:val="20"/>
                <w:color w:val="auto"/>
              </w:rPr>
            </w:pPr>
            <w:r>
              <w:rPr>
                <w:rFonts w:ascii="Arial" w:cs="Arial" w:eastAsia="Arial" w:hAnsi="Arial"/>
                <w:sz w:val="11"/>
                <w:szCs w:val="11"/>
                <w:b w:val="1"/>
                <w:bCs w:val="1"/>
                <w:color w:val="auto"/>
              </w:rPr>
              <w:t>35,400,047</w:t>
            </w:r>
          </w:p>
        </w:tc>
        <w:tc>
          <w:tcPr>
            <w:tcW w:w="860" w:type="dxa"/>
            <w:vAlign w:val="bottom"/>
            <w:tcBorders>
              <w:right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36,681,302</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3.6%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10.6%</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b w:val="1"/>
                <w:bCs w:val="1"/>
                <w:color w:val="auto"/>
              </w:rPr>
              <w:t>Total Liabilities And Equity</w:t>
            </w:r>
          </w:p>
        </w:tc>
        <w:tc>
          <w:tcPr>
            <w:tcW w:w="6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35,280,134</w:t>
            </w: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37,488,360</w:t>
            </w:r>
          </w:p>
        </w:tc>
        <w:tc>
          <w:tcPr>
            <w:tcW w:w="860" w:type="dxa"/>
            <w:vAlign w:val="bottom"/>
            <w:tcBorders>
              <w:bottom w:val="single" w:sz="8" w:color="auto"/>
              <w:right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38,766,733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9.9%</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-3537585</wp:posOffset>
            </wp:positionV>
            <wp:extent cx="1161415" cy="139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6"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Statement of Income</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 Thousands, IFRS)</w:t>
      </w:r>
    </w:p>
    <w:tbl>
      <w:tblPr>
        <w:tblLayout w:type="fixed"/>
        <w:tblInd w:w="10" w:type="dxa"/>
        <w:tblCellMar>
          <w:top w:w="0" w:type="dxa"/>
          <w:left w:w="0" w:type="dxa"/>
          <w:bottom w:w="0" w:type="dxa"/>
          <w:right w:w="0" w:type="dxa"/>
        </w:tblCellMar>
      </w:tblPr>
      <w:tr>
        <w:trPr>
          <w:trHeight w:val="99"/>
        </w:trPr>
        <w:tc>
          <w:tcPr>
            <w:tcW w:w="3720" w:type="dxa"/>
            <w:vAlign w:val="bottom"/>
            <w:tcBorders>
              <w:right w:val="single" w:sz="8" w:color="auto"/>
            </w:tcBorders>
          </w:tcPr>
          <w:p>
            <w:pPr>
              <w:spacing w:after="0"/>
              <w:rPr>
                <w:sz w:val="8"/>
                <w:szCs w:val="8"/>
                <w:color w:val="auto"/>
              </w:rPr>
            </w:pPr>
          </w:p>
        </w:tc>
        <w:tc>
          <w:tcPr>
            <w:tcW w:w="640" w:type="dxa"/>
            <w:vAlign w:val="bottom"/>
            <w:tcBorders>
              <w:top w:val="single" w:sz="8" w:color="auto"/>
            </w:tcBorders>
            <w:vMerge w:val="restart"/>
            <w:shd w:val="clear" w:color="auto" w:fill="2AD2C9"/>
          </w:tcPr>
          <w:p>
            <w:pPr>
              <w:jc w:val="center"/>
              <w:ind w:left="23"/>
              <w:spacing w:after="0"/>
              <w:rPr>
                <w:sz w:val="20"/>
                <w:szCs w:val="20"/>
                <w:color w:val="auto"/>
              </w:rPr>
            </w:pPr>
            <w:r>
              <w:rPr>
                <w:rFonts w:ascii="Arial" w:cs="Arial" w:eastAsia="Arial" w:hAnsi="Arial"/>
                <w:sz w:val="11"/>
                <w:szCs w:val="11"/>
                <w:b w:val="1"/>
                <w:bCs w:val="1"/>
                <w:color w:val="FFFFFF"/>
              </w:rPr>
              <w:t>4Q22</w:t>
            </w:r>
          </w:p>
        </w:tc>
        <w:tc>
          <w:tcPr>
            <w:tcW w:w="840" w:type="dxa"/>
            <w:vAlign w:val="bottom"/>
            <w:tcBorders>
              <w:top w:val="single" w:sz="8" w:color="auto"/>
            </w:tcBorders>
            <w:shd w:val="clear" w:color="auto" w:fill="2AD2C9"/>
          </w:tcPr>
          <w:p>
            <w:pPr>
              <w:ind w:left="220"/>
              <w:spacing w:after="0" w:line="99" w:lineRule="exact"/>
              <w:rPr>
                <w:sz w:val="20"/>
                <w:szCs w:val="20"/>
                <w:color w:val="auto"/>
              </w:rPr>
            </w:pPr>
            <w:r>
              <w:rPr>
                <w:rFonts w:ascii="Arial" w:cs="Arial" w:eastAsia="Arial" w:hAnsi="Arial"/>
                <w:sz w:val="11"/>
                <w:szCs w:val="11"/>
                <w:b w:val="1"/>
                <w:bCs w:val="1"/>
                <w:color w:val="FFFFFF"/>
              </w:rPr>
              <w:t>Quarter</w:t>
            </w:r>
          </w:p>
        </w:tc>
        <w:tc>
          <w:tcPr>
            <w:tcW w:w="68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1580" w:type="dxa"/>
            <w:vAlign w:val="bottom"/>
            <w:tcBorders>
              <w:top w:val="single" w:sz="8" w:color="auto"/>
              <w:right w:val="single" w:sz="8" w:color="auto"/>
            </w:tcBorders>
            <w:gridSpan w:val="2"/>
            <w:shd w:val="clear" w:color="auto" w:fill="2AD2C9"/>
          </w:tcPr>
          <w:p>
            <w:pPr>
              <w:ind w:left="500"/>
              <w:spacing w:after="0" w:line="99" w:lineRule="exact"/>
              <w:rPr>
                <w:sz w:val="20"/>
                <w:szCs w:val="20"/>
                <w:color w:val="auto"/>
              </w:rPr>
            </w:pPr>
            <w:r>
              <w:rPr>
                <w:rFonts w:ascii="Arial" w:cs="Arial" w:eastAsia="Arial" w:hAnsi="Arial"/>
                <w:sz w:val="11"/>
                <w:szCs w:val="11"/>
                <w:b w:val="1"/>
                <w:bCs w:val="1"/>
                <w:color w:val="FFFFFF"/>
              </w:rPr>
              <w:t>% change</w:t>
            </w:r>
          </w:p>
        </w:tc>
        <w:tc>
          <w:tcPr>
            <w:tcW w:w="1540" w:type="dxa"/>
            <w:vAlign w:val="bottom"/>
            <w:tcBorders>
              <w:top w:val="single" w:sz="8" w:color="auto"/>
              <w:right w:val="single" w:sz="8" w:color="auto"/>
            </w:tcBorders>
            <w:gridSpan w:val="2"/>
            <w:shd w:val="clear" w:color="auto" w:fill="2AD2C9"/>
          </w:tcPr>
          <w:p>
            <w:pPr>
              <w:ind w:left="600"/>
              <w:spacing w:after="0" w:line="99" w:lineRule="exact"/>
              <w:rPr>
                <w:sz w:val="20"/>
                <w:szCs w:val="20"/>
                <w:color w:val="auto"/>
              </w:rPr>
            </w:pPr>
            <w:r>
              <w:rPr>
                <w:rFonts w:ascii="Arial" w:cs="Arial" w:eastAsia="Arial" w:hAnsi="Arial"/>
                <w:sz w:val="11"/>
                <w:szCs w:val="11"/>
                <w:b w:val="1"/>
                <w:bCs w:val="1"/>
                <w:color w:val="FFFFFF"/>
              </w:rPr>
              <w:t>Up to</w:t>
            </w:r>
          </w:p>
        </w:tc>
        <w:tc>
          <w:tcPr>
            <w:tcW w:w="1360" w:type="dxa"/>
            <w:vAlign w:val="bottom"/>
            <w:tcBorders>
              <w:top w:val="single" w:sz="8" w:color="auto"/>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 Change</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72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vMerge w:val="continue"/>
            <w:shd w:val="clear" w:color="auto" w:fill="2AD2C9"/>
          </w:tcPr>
          <w:p>
            <w:pPr>
              <w:spacing w:after="0"/>
              <w:rPr>
                <w:sz w:val="11"/>
                <w:szCs w:val="11"/>
                <w:color w:val="auto"/>
              </w:rPr>
            </w:pPr>
          </w:p>
        </w:tc>
        <w:tc>
          <w:tcPr>
            <w:tcW w:w="840" w:type="dxa"/>
            <w:vAlign w:val="bottom"/>
            <w:tcBorders>
              <w:bottom w:val="single" w:sz="8" w:color="auto"/>
            </w:tcBorders>
            <w:shd w:val="clear" w:color="auto" w:fill="2AD2C9"/>
          </w:tcPr>
          <w:p>
            <w:pPr>
              <w:jc w:val="center"/>
              <w:ind w:left="63"/>
              <w:spacing w:after="0"/>
              <w:rPr>
                <w:sz w:val="20"/>
                <w:szCs w:val="20"/>
                <w:color w:val="auto"/>
              </w:rPr>
            </w:pPr>
            <w:r>
              <w:rPr>
                <w:rFonts w:ascii="Arial" w:cs="Arial" w:eastAsia="Arial" w:hAnsi="Arial"/>
                <w:sz w:val="11"/>
                <w:szCs w:val="11"/>
                <w:b w:val="1"/>
                <w:bCs w:val="1"/>
                <w:color w:val="FFFFFF"/>
              </w:rPr>
              <w:t>3Q23</w:t>
            </w:r>
          </w:p>
        </w:tc>
        <w:tc>
          <w:tcPr>
            <w:tcW w:w="68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QoQ</w:t>
            </w:r>
          </w:p>
        </w:tc>
        <w:tc>
          <w:tcPr>
            <w:tcW w:w="8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YoY</w:t>
            </w:r>
          </w:p>
        </w:tc>
        <w:tc>
          <w:tcPr>
            <w:tcW w:w="74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1"/>
                <w:szCs w:val="11"/>
                <w:b w:val="1"/>
                <w:bCs w:val="1"/>
                <w:color w:val="FFFFFF"/>
              </w:rPr>
              <w:t>Dec 22</w:t>
            </w:r>
          </w:p>
        </w:tc>
        <w:tc>
          <w:tcPr>
            <w:tcW w:w="80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1"/>
                <w:szCs w:val="11"/>
                <w:b w:val="1"/>
                <w:bCs w:val="1"/>
                <w:color w:val="FFFFFF"/>
              </w:rPr>
              <w:t>Dec 23</w:t>
            </w:r>
          </w:p>
        </w:tc>
        <w:tc>
          <w:tcPr>
            <w:tcW w:w="13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Dec 22 / Dec 23</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Interest income</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Net share of the income from investments in subsidiaries and</w:t>
            </w:r>
          </w:p>
        </w:tc>
        <w:tc>
          <w:tcPr>
            <w:tcW w:w="640" w:type="dxa"/>
            <w:vAlign w:val="bottom"/>
            <w:vMerge w:val="restart"/>
          </w:tcPr>
          <w:p>
            <w:pPr>
              <w:jc w:val="center"/>
              <w:ind w:left="43"/>
              <w:spacing w:after="0"/>
              <w:rPr>
                <w:sz w:val="20"/>
                <w:szCs w:val="20"/>
                <w:color w:val="auto"/>
              </w:rPr>
            </w:pPr>
            <w:r>
              <w:rPr>
                <w:rFonts w:ascii="Arial" w:cs="Arial" w:eastAsia="Arial" w:hAnsi="Arial"/>
                <w:sz w:val="11"/>
                <w:szCs w:val="11"/>
                <w:color w:val="auto"/>
              </w:rPr>
              <w:t>1,115,614</w:t>
            </w:r>
          </w:p>
        </w:tc>
        <w:tc>
          <w:tcPr>
            <w:tcW w:w="840" w:type="dxa"/>
            <w:vAlign w:val="bottom"/>
            <w:vMerge w:val="restart"/>
          </w:tcPr>
          <w:p>
            <w:pPr>
              <w:jc w:val="center"/>
              <w:ind w:left="63"/>
              <w:spacing w:after="0"/>
              <w:rPr>
                <w:sz w:val="20"/>
                <w:szCs w:val="20"/>
                <w:color w:val="auto"/>
              </w:rPr>
            </w:pPr>
            <w:r>
              <w:rPr>
                <w:rFonts w:ascii="Arial" w:cs="Arial" w:eastAsia="Arial" w:hAnsi="Arial"/>
                <w:sz w:val="11"/>
                <w:szCs w:val="11"/>
                <w:color w:val="auto"/>
              </w:rPr>
              <w:t>1,288,466</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906,901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-29.6%</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-18.7%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5,156,494</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5,439,451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5.5%</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3720" w:type="dxa"/>
            <w:vAlign w:val="bottom"/>
            <w:tcBorders>
              <w:left w:val="single" w:sz="8" w:color="auto"/>
              <w:right w:val="single" w:sz="8" w:color="auto"/>
            </w:tcBorders>
            <w:vMerge w:val="restart"/>
          </w:tcPr>
          <w:p>
            <w:pPr>
              <w:ind w:left="100"/>
              <w:spacing w:after="0" w:line="122" w:lineRule="exact"/>
              <w:rPr>
                <w:sz w:val="20"/>
                <w:szCs w:val="20"/>
                <w:color w:val="auto"/>
              </w:rPr>
            </w:pPr>
            <w:r>
              <w:rPr>
                <w:rFonts w:ascii="Arial" w:cs="Arial" w:eastAsia="Arial" w:hAnsi="Arial"/>
                <w:sz w:val="11"/>
                <w:szCs w:val="11"/>
                <w:color w:val="auto"/>
              </w:rPr>
              <w:t>associates</w:t>
            </w: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720" w:type="dxa"/>
            <w:vAlign w:val="bottom"/>
            <w:tcBorders>
              <w:left w:val="single" w:sz="8" w:color="auto"/>
              <w:right w:val="single" w:sz="8" w:color="auto"/>
            </w:tcBorders>
            <w:vMerge w:val="continue"/>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72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Interest and similar income</w:t>
            </w:r>
          </w:p>
        </w:tc>
        <w:tc>
          <w:tcPr>
            <w:tcW w:w="640" w:type="dxa"/>
            <w:vAlign w:val="bottom"/>
          </w:tcPr>
          <w:p>
            <w:pPr>
              <w:jc w:val="center"/>
              <w:ind w:left="43"/>
              <w:spacing w:after="0" w:line="122" w:lineRule="exact"/>
              <w:rPr>
                <w:sz w:val="20"/>
                <w:szCs w:val="20"/>
                <w:color w:val="auto"/>
              </w:rPr>
            </w:pPr>
            <w:r>
              <w:rPr>
                <w:rFonts w:ascii="Arial" w:cs="Arial" w:eastAsia="Arial" w:hAnsi="Arial"/>
                <w:sz w:val="11"/>
                <w:szCs w:val="11"/>
                <w:color w:val="auto"/>
              </w:rPr>
              <w:t>1,040</w:t>
            </w:r>
          </w:p>
        </w:tc>
        <w:tc>
          <w:tcPr>
            <w:tcW w:w="840" w:type="dxa"/>
            <w:vAlign w:val="bottom"/>
          </w:tcPr>
          <w:p>
            <w:pPr>
              <w:jc w:val="center"/>
              <w:ind w:left="63"/>
              <w:spacing w:after="0" w:line="122" w:lineRule="exact"/>
              <w:rPr>
                <w:sz w:val="20"/>
                <w:szCs w:val="20"/>
                <w:color w:val="auto"/>
              </w:rPr>
            </w:pPr>
            <w:r>
              <w:rPr>
                <w:rFonts w:ascii="Arial" w:cs="Arial" w:eastAsia="Arial" w:hAnsi="Arial"/>
                <w:sz w:val="11"/>
                <w:szCs w:val="11"/>
                <w:color w:val="auto"/>
              </w:rPr>
              <w:t>429</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1,170</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172.7%</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12.5%</w:t>
            </w: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rPr>
              <w:t>8,701</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10,895</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25.2%</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Net gain on financial assets at fair value through profit or loss</w:t>
            </w:r>
          </w:p>
        </w:tc>
        <w:tc>
          <w:tcPr>
            <w:tcW w:w="640" w:type="dxa"/>
            <w:vAlign w:val="bottom"/>
          </w:tcPr>
          <w:p>
            <w:pPr>
              <w:jc w:val="center"/>
              <w:ind w:left="43"/>
              <w:spacing w:after="0" w:line="122" w:lineRule="exact"/>
              <w:rPr>
                <w:sz w:val="20"/>
                <w:szCs w:val="20"/>
                <w:color w:val="auto"/>
              </w:rPr>
            </w:pPr>
            <w:r>
              <w:rPr>
                <w:rFonts w:ascii="Arial" w:cs="Arial" w:eastAsia="Arial" w:hAnsi="Arial"/>
                <w:sz w:val="11"/>
                <w:szCs w:val="11"/>
                <w:color w:val="auto"/>
              </w:rPr>
              <w:t>35,329</w:t>
            </w:r>
          </w:p>
        </w:tc>
        <w:tc>
          <w:tcPr>
            <w:tcW w:w="840" w:type="dxa"/>
            <w:vAlign w:val="bottom"/>
          </w:tcPr>
          <w:p>
            <w:pPr>
              <w:jc w:val="center"/>
              <w:ind w:left="63"/>
              <w:spacing w:after="0" w:line="122" w:lineRule="exact"/>
              <w:rPr>
                <w:sz w:val="20"/>
                <w:szCs w:val="20"/>
                <w:color w:val="auto"/>
              </w:rPr>
            </w:pPr>
            <w:r>
              <w:rPr>
                <w:rFonts w:ascii="Arial" w:cs="Arial" w:eastAsia="Arial" w:hAnsi="Arial"/>
                <w:sz w:val="11"/>
                <w:szCs w:val="11"/>
                <w:color w:val="auto"/>
              </w:rPr>
              <w:t>8,845</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32,430</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266.6%</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-8.2%</w:t>
            </w: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rPr>
              <w:t>(43,099)</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67,652</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-257.0%</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income</w:t>
            </w:r>
          </w:p>
        </w:tc>
        <w:tc>
          <w:tcPr>
            <w:tcW w:w="640" w:type="dxa"/>
            <w:vAlign w:val="bottom"/>
            <w:vMerge w:val="restart"/>
          </w:tcPr>
          <w:p>
            <w:pPr>
              <w:jc w:val="center"/>
              <w:ind w:left="43"/>
              <w:spacing w:after="0"/>
              <w:rPr>
                <w:sz w:val="20"/>
                <w:szCs w:val="20"/>
                <w:color w:val="auto"/>
              </w:rPr>
            </w:pPr>
            <w:r>
              <w:rPr>
                <w:rFonts w:ascii="Arial" w:cs="Arial" w:eastAsia="Arial" w:hAnsi="Arial"/>
                <w:sz w:val="11"/>
                <w:szCs w:val="11"/>
                <w:b w:val="1"/>
                <w:bCs w:val="1"/>
                <w:color w:val="auto"/>
              </w:rPr>
              <w:t>1,151,983</w:t>
            </w:r>
          </w:p>
        </w:tc>
        <w:tc>
          <w:tcPr>
            <w:tcW w:w="840" w:type="dxa"/>
            <w:vAlign w:val="bottom"/>
            <w:vMerge w:val="restart"/>
          </w:tcPr>
          <w:p>
            <w:pPr>
              <w:jc w:val="center"/>
              <w:ind w:left="63"/>
              <w:spacing w:after="0"/>
              <w:rPr>
                <w:sz w:val="20"/>
                <w:szCs w:val="20"/>
                <w:color w:val="auto"/>
              </w:rPr>
            </w:pPr>
            <w:r>
              <w:rPr>
                <w:rFonts w:ascii="Arial" w:cs="Arial" w:eastAsia="Arial" w:hAnsi="Arial"/>
                <w:sz w:val="11"/>
                <w:szCs w:val="11"/>
                <w:b w:val="1"/>
                <w:bCs w:val="1"/>
                <w:color w:val="auto"/>
              </w:rPr>
              <w:t>1,297,740</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940,501</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-27.5%</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-18.4%</w:t>
            </w: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5,122,096</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5,517,998</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7.7%</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720" w:type="dxa"/>
            <w:vAlign w:val="bottom"/>
            <w:tcBorders>
              <w:left w:val="single" w:sz="8" w:color="auto"/>
              <w:right w:val="single" w:sz="8" w:color="auto"/>
            </w:tcBorders>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Interest and similar expense</w:t>
            </w:r>
          </w:p>
        </w:tc>
        <w:tc>
          <w:tcPr>
            <w:tcW w:w="640" w:type="dxa"/>
            <w:vAlign w:val="bottom"/>
          </w:tcPr>
          <w:p>
            <w:pPr>
              <w:jc w:val="center"/>
              <w:ind w:left="43"/>
              <w:spacing w:after="0"/>
              <w:rPr>
                <w:sz w:val="20"/>
                <w:szCs w:val="20"/>
                <w:color w:val="auto"/>
              </w:rPr>
            </w:pPr>
            <w:r>
              <w:rPr>
                <w:rFonts w:ascii="Arial" w:cs="Arial" w:eastAsia="Arial" w:hAnsi="Arial"/>
                <w:sz w:val="11"/>
                <w:szCs w:val="11"/>
                <w:color w:val="auto"/>
              </w:rPr>
              <w:t>(20,550)</w:t>
            </w:r>
          </w:p>
        </w:tc>
        <w:tc>
          <w:tcPr>
            <w:tcW w:w="840" w:type="dxa"/>
            <w:vAlign w:val="bottom"/>
          </w:tcPr>
          <w:p>
            <w:pPr>
              <w:jc w:val="center"/>
              <w:ind w:left="43"/>
              <w:spacing w:after="0"/>
              <w:rPr>
                <w:sz w:val="20"/>
                <w:szCs w:val="20"/>
                <w:color w:val="auto"/>
              </w:rPr>
            </w:pPr>
            <w:r>
              <w:rPr>
                <w:rFonts w:ascii="Arial" w:cs="Arial" w:eastAsia="Arial" w:hAnsi="Arial"/>
                <w:sz w:val="11"/>
                <w:szCs w:val="11"/>
                <w:color w:val="auto"/>
              </w:rPr>
              <w:t>(13,880)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(14,444)</w:t>
            </w:r>
          </w:p>
        </w:tc>
        <w:tc>
          <w:tcPr>
            <w:tcW w:w="760" w:type="dxa"/>
            <w:vAlign w:val="bottom"/>
          </w:tcPr>
          <w:p>
            <w:pPr>
              <w:jc w:val="center"/>
              <w:spacing w:after="0"/>
              <w:rPr>
                <w:sz w:val="20"/>
                <w:szCs w:val="20"/>
                <w:color w:val="auto"/>
              </w:rPr>
            </w:pPr>
            <w:r>
              <w:rPr>
                <w:rFonts w:ascii="Arial" w:cs="Arial" w:eastAsia="Arial" w:hAnsi="Arial"/>
                <w:sz w:val="11"/>
                <w:szCs w:val="11"/>
                <w:color w:val="auto"/>
              </w:rPr>
              <w:t>4.1%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-29.7%</w:t>
            </w:r>
          </w:p>
        </w:tc>
        <w:tc>
          <w:tcPr>
            <w:tcW w:w="740" w:type="dxa"/>
            <w:vAlign w:val="bottom"/>
          </w:tcPr>
          <w:p>
            <w:pPr>
              <w:jc w:val="center"/>
              <w:spacing w:after="0"/>
              <w:rPr>
                <w:sz w:val="20"/>
                <w:szCs w:val="20"/>
                <w:color w:val="auto"/>
              </w:rPr>
            </w:pPr>
            <w:r>
              <w:rPr>
                <w:rFonts w:ascii="Arial" w:cs="Arial" w:eastAsia="Arial" w:hAnsi="Arial"/>
                <w:sz w:val="11"/>
                <w:szCs w:val="11"/>
                <w:color w:val="auto"/>
              </w:rPr>
              <w:t>(68,134)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(56,276)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-17.4%</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72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Administrative and general expenses</w:t>
            </w:r>
          </w:p>
        </w:tc>
        <w:tc>
          <w:tcPr>
            <w:tcW w:w="640" w:type="dxa"/>
            <w:vAlign w:val="bottom"/>
          </w:tcPr>
          <w:p>
            <w:pPr>
              <w:jc w:val="center"/>
              <w:ind w:left="23"/>
              <w:spacing w:after="0" w:line="122" w:lineRule="exact"/>
              <w:rPr>
                <w:sz w:val="20"/>
                <w:szCs w:val="20"/>
                <w:color w:val="auto"/>
              </w:rPr>
            </w:pPr>
            <w:r>
              <w:rPr>
                <w:rFonts w:ascii="Arial" w:cs="Arial" w:eastAsia="Arial" w:hAnsi="Arial"/>
                <w:sz w:val="11"/>
                <w:szCs w:val="11"/>
                <w:color w:val="auto"/>
              </w:rPr>
              <w:t>(9,272)</w:t>
            </w:r>
          </w:p>
        </w:tc>
        <w:tc>
          <w:tcPr>
            <w:tcW w:w="840" w:type="dxa"/>
            <w:vAlign w:val="bottom"/>
          </w:tcPr>
          <w:p>
            <w:pPr>
              <w:jc w:val="center"/>
              <w:ind w:left="63"/>
              <w:spacing w:after="0" w:line="122" w:lineRule="exact"/>
              <w:rPr>
                <w:sz w:val="20"/>
                <w:szCs w:val="20"/>
                <w:color w:val="auto"/>
              </w:rPr>
            </w:pPr>
            <w:r>
              <w:rPr>
                <w:rFonts w:ascii="Arial" w:cs="Arial" w:eastAsia="Arial" w:hAnsi="Arial"/>
                <w:sz w:val="11"/>
                <w:szCs w:val="11"/>
                <w:color w:val="auto"/>
              </w:rPr>
              <w:t>(4,097)</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(9,274)</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126.4%</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0.0%</w:t>
            </w: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rPr>
              <w:t>(23,205)</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(25,362)</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9.3%</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expenses</w:t>
            </w:r>
          </w:p>
        </w:tc>
        <w:tc>
          <w:tcPr>
            <w:tcW w:w="640" w:type="dxa"/>
            <w:vAlign w:val="bottom"/>
            <w:vMerge w:val="restart"/>
          </w:tcPr>
          <w:p>
            <w:pPr>
              <w:jc w:val="center"/>
              <w:ind w:left="43"/>
              <w:spacing w:after="0"/>
              <w:rPr>
                <w:sz w:val="20"/>
                <w:szCs w:val="20"/>
                <w:color w:val="auto"/>
              </w:rPr>
            </w:pPr>
            <w:r>
              <w:rPr>
                <w:rFonts w:ascii="Arial" w:cs="Arial" w:eastAsia="Arial" w:hAnsi="Arial"/>
                <w:sz w:val="11"/>
                <w:szCs w:val="11"/>
                <w:b w:val="1"/>
                <w:bCs w:val="1"/>
                <w:color w:val="auto"/>
              </w:rPr>
              <w:t>(29,822)</w:t>
            </w:r>
          </w:p>
        </w:tc>
        <w:tc>
          <w:tcPr>
            <w:tcW w:w="840" w:type="dxa"/>
            <w:vAlign w:val="bottom"/>
            <w:vMerge w:val="restart"/>
          </w:tcPr>
          <w:p>
            <w:pPr>
              <w:jc w:val="center"/>
              <w:ind w:left="43"/>
              <w:spacing w:after="0"/>
              <w:rPr>
                <w:sz w:val="20"/>
                <w:szCs w:val="20"/>
                <w:color w:val="auto"/>
              </w:rPr>
            </w:pPr>
            <w:r>
              <w:rPr>
                <w:rFonts w:ascii="Arial" w:cs="Arial" w:eastAsia="Arial" w:hAnsi="Arial"/>
                <w:sz w:val="11"/>
                <w:szCs w:val="11"/>
                <w:b w:val="1"/>
                <w:bCs w:val="1"/>
                <w:color w:val="auto"/>
              </w:rPr>
              <w:t>(17,977)</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(23,718)</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31.9%</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-20.5%</w:t>
            </w: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(91,339)</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(81,638)</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-10.6%</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720" w:type="dxa"/>
            <w:vAlign w:val="bottom"/>
            <w:tcBorders>
              <w:left w:val="single" w:sz="8" w:color="auto"/>
              <w:right w:val="single" w:sz="8" w:color="auto"/>
            </w:tcBorders>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Operating income</w:t>
            </w:r>
          </w:p>
        </w:tc>
        <w:tc>
          <w:tcPr>
            <w:tcW w:w="640" w:type="dxa"/>
            <w:vAlign w:val="bottom"/>
            <w:vMerge w:val="restart"/>
          </w:tcPr>
          <w:p>
            <w:pPr>
              <w:jc w:val="center"/>
              <w:ind w:left="43"/>
              <w:spacing w:after="0"/>
              <w:rPr>
                <w:sz w:val="20"/>
                <w:szCs w:val="20"/>
                <w:color w:val="auto"/>
              </w:rPr>
            </w:pPr>
            <w:r>
              <w:rPr>
                <w:rFonts w:ascii="Arial" w:cs="Arial" w:eastAsia="Arial" w:hAnsi="Arial"/>
                <w:sz w:val="11"/>
                <w:szCs w:val="11"/>
                <w:b w:val="1"/>
                <w:bCs w:val="1"/>
                <w:color w:val="auto"/>
              </w:rPr>
              <w:t>1,122,161</w:t>
            </w:r>
          </w:p>
        </w:tc>
        <w:tc>
          <w:tcPr>
            <w:tcW w:w="840" w:type="dxa"/>
            <w:vAlign w:val="bottom"/>
            <w:vMerge w:val="restart"/>
          </w:tcPr>
          <w:p>
            <w:pPr>
              <w:jc w:val="center"/>
              <w:ind w:left="63"/>
              <w:spacing w:after="0"/>
              <w:rPr>
                <w:sz w:val="20"/>
                <w:szCs w:val="20"/>
                <w:color w:val="auto"/>
              </w:rPr>
            </w:pPr>
            <w:r>
              <w:rPr>
                <w:rFonts w:ascii="Arial" w:cs="Arial" w:eastAsia="Arial" w:hAnsi="Arial"/>
                <w:sz w:val="11"/>
                <w:szCs w:val="11"/>
                <w:b w:val="1"/>
                <w:bCs w:val="1"/>
                <w:color w:val="auto"/>
              </w:rPr>
              <w:t>1,279,763</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916,783</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-28.4%</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-18.3%</w:t>
            </w: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5,030,757</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5,436,360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8.1%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720" w:type="dxa"/>
            <w:vAlign w:val="bottom"/>
            <w:tcBorders>
              <w:left w:val="single" w:sz="8" w:color="auto"/>
              <w:right w:val="single" w:sz="8" w:color="auto"/>
            </w:tcBorders>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Net gain (losses) from exchange differences</w:t>
            </w:r>
          </w:p>
        </w:tc>
        <w:tc>
          <w:tcPr>
            <w:tcW w:w="640" w:type="dxa"/>
            <w:vAlign w:val="bottom"/>
          </w:tcPr>
          <w:p>
            <w:pPr>
              <w:jc w:val="center"/>
              <w:ind w:left="23"/>
              <w:spacing w:after="0"/>
              <w:rPr>
                <w:sz w:val="20"/>
                <w:szCs w:val="20"/>
                <w:color w:val="auto"/>
              </w:rPr>
            </w:pPr>
            <w:r>
              <w:rPr>
                <w:rFonts w:ascii="Arial" w:cs="Arial" w:eastAsia="Arial" w:hAnsi="Arial"/>
                <w:sz w:val="11"/>
                <w:szCs w:val="11"/>
                <w:color w:val="auto"/>
              </w:rPr>
              <w:t>(2,647)</w:t>
            </w:r>
          </w:p>
        </w:tc>
        <w:tc>
          <w:tcPr>
            <w:tcW w:w="840" w:type="dxa"/>
            <w:vAlign w:val="bottom"/>
          </w:tcPr>
          <w:p>
            <w:pPr>
              <w:jc w:val="center"/>
              <w:ind w:left="63"/>
              <w:spacing w:after="0"/>
              <w:rPr>
                <w:sz w:val="20"/>
                <w:szCs w:val="20"/>
                <w:color w:val="auto"/>
              </w:rPr>
            </w:pPr>
            <w:r>
              <w:rPr>
                <w:rFonts w:ascii="Arial" w:cs="Arial" w:eastAsia="Arial" w:hAnsi="Arial"/>
                <w:sz w:val="11"/>
                <w:szCs w:val="11"/>
                <w:color w:val="auto"/>
              </w:rPr>
              <w:t>1,383</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510</w:t>
            </w:r>
          </w:p>
        </w:tc>
        <w:tc>
          <w:tcPr>
            <w:tcW w:w="760" w:type="dxa"/>
            <w:vAlign w:val="bottom"/>
          </w:tcPr>
          <w:p>
            <w:pPr>
              <w:jc w:val="center"/>
              <w:spacing w:after="0"/>
              <w:rPr>
                <w:sz w:val="20"/>
                <w:szCs w:val="20"/>
                <w:color w:val="auto"/>
              </w:rPr>
            </w:pPr>
            <w:r>
              <w:rPr>
                <w:rFonts w:ascii="Arial" w:cs="Arial" w:eastAsia="Arial" w:hAnsi="Arial"/>
                <w:sz w:val="11"/>
                <w:szCs w:val="11"/>
                <w:color w:val="auto"/>
              </w:rPr>
              <w:t>-63.1%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-119.3%</w:t>
            </w:r>
          </w:p>
        </w:tc>
        <w:tc>
          <w:tcPr>
            <w:tcW w:w="740" w:type="dxa"/>
            <w:vAlign w:val="bottom"/>
          </w:tcPr>
          <w:p>
            <w:pPr>
              <w:jc w:val="center"/>
              <w:spacing w:after="0"/>
              <w:rPr>
                <w:sz w:val="20"/>
                <w:szCs w:val="20"/>
                <w:color w:val="auto"/>
              </w:rPr>
            </w:pPr>
            <w:r>
              <w:rPr>
                <w:rFonts w:ascii="Arial" w:cs="Arial" w:eastAsia="Arial" w:hAnsi="Arial"/>
                <w:sz w:val="11"/>
                <w:szCs w:val="11"/>
                <w:color w:val="auto"/>
              </w:rPr>
              <w:t>(3,513)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(1,549)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-55.9%</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Other, net</w:t>
            </w:r>
          </w:p>
        </w:tc>
        <w:tc>
          <w:tcPr>
            <w:tcW w:w="640" w:type="dxa"/>
            <w:vAlign w:val="bottom"/>
            <w:vMerge w:val="restart"/>
          </w:tcPr>
          <w:p>
            <w:pPr>
              <w:jc w:val="center"/>
              <w:ind w:left="43"/>
              <w:spacing w:after="0"/>
              <w:rPr>
                <w:sz w:val="20"/>
                <w:szCs w:val="20"/>
                <w:color w:val="auto"/>
              </w:rPr>
            </w:pPr>
            <w:r>
              <w:rPr>
                <w:rFonts w:ascii="Arial" w:cs="Arial" w:eastAsia="Arial" w:hAnsi="Arial"/>
                <w:sz w:val="11"/>
                <w:szCs w:val="11"/>
                <w:color w:val="auto"/>
                <w:w w:val="97"/>
              </w:rPr>
              <w:t>106</w:t>
            </w:r>
          </w:p>
        </w:tc>
        <w:tc>
          <w:tcPr>
            <w:tcW w:w="840" w:type="dxa"/>
            <w:vAlign w:val="bottom"/>
            <w:vMerge w:val="restart"/>
          </w:tcPr>
          <w:p>
            <w:pPr>
              <w:jc w:val="center"/>
              <w:ind w:left="63"/>
              <w:spacing w:after="0"/>
              <w:rPr>
                <w:sz w:val="20"/>
                <w:szCs w:val="20"/>
                <w:color w:val="auto"/>
              </w:rPr>
            </w:pPr>
            <w:r>
              <w:rPr>
                <w:rFonts w:ascii="Arial" w:cs="Arial" w:eastAsia="Arial" w:hAnsi="Arial"/>
                <w:sz w:val="11"/>
                <w:szCs w:val="11"/>
                <w:color w:val="auto"/>
              </w:rPr>
              <w:t>2,665</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111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-95.8%</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4.7%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556</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2,977</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435.4%</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3720" w:type="dxa"/>
            <w:vAlign w:val="bottom"/>
            <w:tcBorders>
              <w:left w:val="single" w:sz="8" w:color="auto"/>
              <w:right w:val="single" w:sz="8" w:color="auto"/>
            </w:tcBorders>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Profit before income tax</w:t>
            </w:r>
          </w:p>
        </w:tc>
        <w:tc>
          <w:tcPr>
            <w:tcW w:w="640" w:type="dxa"/>
            <w:vAlign w:val="bottom"/>
          </w:tcPr>
          <w:p>
            <w:pPr>
              <w:jc w:val="center"/>
              <w:ind w:left="43"/>
              <w:spacing w:after="0"/>
              <w:rPr>
                <w:sz w:val="20"/>
                <w:szCs w:val="20"/>
                <w:color w:val="auto"/>
              </w:rPr>
            </w:pPr>
            <w:r>
              <w:rPr>
                <w:rFonts w:ascii="Arial" w:cs="Arial" w:eastAsia="Arial" w:hAnsi="Arial"/>
                <w:sz w:val="11"/>
                <w:szCs w:val="11"/>
                <w:b w:val="1"/>
                <w:bCs w:val="1"/>
                <w:color w:val="auto"/>
              </w:rPr>
              <w:t>1,119,620</w:t>
            </w:r>
          </w:p>
        </w:tc>
        <w:tc>
          <w:tcPr>
            <w:tcW w:w="840" w:type="dxa"/>
            <w:vAlign w:val="bottom"/>
          </w:tcPr>
          <w:p>
            <w:pPr>
              <w:jc w:val="center"/>
              <w:ind w:left="43"/>
              <w:spacing w:after="0"/>
              <w:rPr>
                <w:sz w:val="20"/>
                <w:szCs w:val="20"/>
                <w:color w:val="auto"/>
              </w:rPr>
            </w:pPr>
            <w:r>
              <w:rPr>
                <w:rFonts w:ascii="Arial" w:cs="Arial" w:eastAsia="Arial" w:hAnsi="Arial"/>
                <w:sz w:val="11"/>
                <w:szCs w:val="11"/>
                <w:b w:val="1"/>
                <w:bCs w:val="1"/>
                <w:color w:val="auto"/>
              </w:rPr>
              <w:t>1,283,811</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917,404</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-28.5%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-18.1%</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5,027,800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5,437,788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8.2%</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72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Income tax</w:t>
            </w:r>
          </w:p>
        </w:tc>
        <w:tc>
          <w:tcPr>
            <w:tcW w:w="640" w:type="dxa"/>
            <w:vAlign w:val="bottom"/>
          </w:tcPr>
          <w:p>
            <w:pPr>
              <w:jc w:val="center"/>
              <w:ind w:left="43"/>
              <w:spacing w:after="0" w:line="122" w:lineRule="exact"/>
              <w:rPr>
                <w:sz w:val="20"/>
                <w:szCs w:val="20"/>
                <w:color w:val="auto"/>
              </w:rPr>
            </w:pPr>
            <w:r>
              <w:rPr>
                <w:rFonts w:ascii="Arial" w:cs="Arial" w:eastAsia="Arial" w:hAnsi="Arial"/>
                <w:sz w:val="11"/>
                <w:szCs w:val="11"/>
                <w:color w:val="auto"/>
              </w:rPr>
              <w:t>(42,000)</w:t>
            </w:r>
          </w:p>
        </w:tc>
        <w:tc>
          <w:tcPr>
            <w:tcW w:w="840" w:type="dxa"/>
            <w:vAlign w:val="bottom"/>
          </w:tcPr>
          <w:p>
            <w:pPr>
              <w:jc w:val="center"/>
              <w:ind w:left="43"/>
              <w:spacing w:after="0" w:line="122" w:lineRule="exact"/>
              <w:rPr>
                <w:sz w:val="20"/>
                <w:szCs w:val="20"/>
                <w:color w:val="auto"/>
              </w:rPr>
            </w:pPr>
            <w:r>
              <w:rPr>
                <w:rFonts w:ascii="Arial" w:cs="Arial" w:eastAsia="Arial" w:hAnsi="Arial"/>
                <w:sz w:val="11"/>
                <w:szCs w:val="11"/>
                <w:color w:val="auto"/>
              </w:rPr>
              <w:t>(46,850)</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(68,500)</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46.2%</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63.1%</w:t>
            </w: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rPr>
              <w:t>(168,290)</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(209,238)</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24.3%</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income</w:t>
            </w:r>
          </w:p>
        </w:tc>
        <w:tc>
          <w:tcPr>
            <w:tcW w:w="64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b w:val="1"/>
                <w:bCs w:val="1"/>
                <w:color w:val="auto"/>
              </w:rPr>
              <w:t>1,077,620</w:t>
            </w:r>
          </w:p>
        </w:tc>
        <w:tc>
          <w:tcPr>
            <w:tcW w:w="840" w:type="dxa"/>
            <w:vAlign w:val="bottom"/>
            <w:tcBorders>
              <w:bottom w:val="single" w:sz="8" w:color="auto"/>
            </w:tcBorders>
          </w:tcPr>
          <w:p>
            <w:pPr>
              <w:jc w:val="center"/>
              <w:ind w:left="63"/>
              <w:spacing w:after="0"/>
              <w:rPr>
                <w:sz w:val="20"/>
                <w:szCs w:val="20"/>
                <w:color w:val="auto"/>
              </w:rPr>
            </w:pPr>
            <w:r>
              <w:rPr>
                <w:rFonts w:ascii="Arial" w:cs="Arial" w:eastAsia="Arial" w:hAnsi="Arial"/>
                <w:sz w:val="11"/>
                <w:szCs w:val="11"/>
                <w:b w:val="1"/>
                <w:bCs w:val="1"/>
                <w:color w:val="auto"/>
              </w:rPr>
              <w:t>1,236,961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848,904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-31.4%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-21.2%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4,859,510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5,228,550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7.6%</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tcBorders>
              <w:left w:val="single" w:sz="8" w:color="auto"/>
              <w:bottom w:val="single" w:sz="8" w:color="auto"/>
              <w:right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Double Leverage Ratio</w:t>
            </w:r>
          </w:p>
        </w:tc>
        <w:tc>
          <w:tcPr>
            <w:tcW w:w="640" w:type="dxa"/>
            <w:vAlign w:val="bottom"/>
            <w:tcBorders>
              <w:bottom w:val="single" w:sz="8" w:color="auto"/>
            </w:tcBorders>
          </w:tcPr>
          <w:p>
            <w:pPr>
              <w:jc w:val="center"/>
              <w:ind w:left="43"/>
              <w:spacing w:after="0" w:line="114" w:lineRule="exact"/>
              <w:rPr>
                <w:sz w:val="20"/>
                <w:szCs w:val="20"/>
                <w:color w:val="auto"/>
              </w:rPr>
            </w:pPr>
            <w:r>
              <w:rPr>
                <w:rFonts w:ascii="Arial" w:cs="Arial" w:eastAsia="Arial" w:hAnsi="Arial"/>
                <w:sz w:val="11"/>
                <w:szCs w:val="11"/>
                <w:b w:val="1"/>
                <w:bCs w:val="1"/>
                <w:color w:val="auto"/>
              </w:rPr>
              <w:t>102.2%</w:t>
            </w:r>
          </w:p>
        </w:tc>
        <w:tc>
          <w:tcPr>
            <w:tcW w:w="840" w:type="dxa"/>
            <w:vAlign w:val="bottom"/>
            <w:tcBorders>
              <w:bottom w:val="single" w:sz="8" w:color="auto"/>
            </w:tcBorders>
          </w:tcPr>
          <w:p>
            <w:pPr>
              <w:jc w:val="center"/>
              <w:ind w:left="63"/>
              <w:spacing w:after="0" w:line="114" w:lineRule="exact"/>
              <w:rPr>
                <w:sz w:val="20"/>
                <w:szCs w:val="20"/>
                <w:color w:val="auto"/>
              </w:rPr>
            </w:pPr>
            <w:r>
              <w:rPr>
                <w:rFonts w:ascii="Arial" w:cs="Arial" w:eastAsia="Arial" w:hAnsi="Arial"/>
                <w:sz w:val="11"/>
                <w:szCs w:val="11"/>
                <w:b w:val="1"/>
                <w:bCs w:val="1"/>
                <w:color w:val="auto"/>
              </w:rPr>
              <w:t>102.2%</w:t>
            </w:r>
          </w:p>
        </w:tc>
        <w:tc>
          <w:tcPr>
            <w:tcW w:w="68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98.6%</w:t>
            </w:r>
          </w:p>
        </w:tc>
        <w:tc>
          <w:tcPr>
            <w:tcW w:w="7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-360 bps</w:t>
            </w:r>
          </w:p>
        </w:tc>
        <w:tc>
          <w:tcPr>
            <w:tcW w:w="8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-360 bps</w:t>
            </w:r>
          </w:p>
        </w:tc>
        <w:tc>
          <w:tcPr>
            <w:tcW w:w="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102.2%</w:t>
            </w:r>
          </w:p>
        </w:tc>
        <w:tc>
          <w:tcPr>
            <w:tcW w:w="8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98.6%</w:t>
            </w:r>
          </w:p>
        </w:tc>
        <w:tc>
          <w:tcPr>
            <w:tcW w:w="13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-360 bps</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0"/>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gridSpan w:val="4"/>
          </w:tcPr>
          <w:p>
            <w:pPr>
              <w:spacing w:after="0"/>
              <w:rPr>
                <w:sz w:val="20"/>
                <w:szCs w:val="20"/>
                <w:color w:val="auto"/>
              </w:rPr>
            </w:pPr>
            <w:r>
              <w:rPr>
                <w:rFonts w:ascii="Arial" w:cs="Arial" w:eastAsia="Arial" w:hAnsi="Arial"/>
                <w:sz w:val="13"/>
                <w:szCs w:val="13"/>
                <w:color w:val="0000FF"/>
              </w:rPr>
              <w:t>Datos elaborados por BCP para uso Interno</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558"/>
        </w:trPr>
        <w:tc>
          <w:tcPr>
            <w:tcW w:w="3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22" w:right="31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600" w:type="dxa"/>
            <w:vAlign w:val="bottom"/>
            <w:tcBorders>
              <w:right w:val="single" w:sz="8" w:color="auto"/>
            </w:tcBorders>
            <w:shd w:val="clear" w:color="auto" w:fill="000000"/>
          </w:tcPr>
          <w:p>
            <w:pPr>
              <w:spacing w:after="0"/>
              <w:rPr>
                <w:sz w:val="24"/>
                <w:szCs w:val="24"/>
                <w:color w:val="auto"/>
              </w:rPr>
            </w:pPr>
          </w:p>
        </w:tc>
        <w:tc>
          <w:tcPr>
            <w:tcW w:w="5860" w:type="dxa"/>
            <w:vAlign w:val="bottom"/>
            <w:gridSpan w:val="3"/>
            <w:shd w:val="clear" w:color="auto" w:fill="000000"/>
          </w:tcPr>
          <w:p>
            <w:pPr>
              <w:ind w:left="21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1020" w:type="dxa"/>
            <w:vAlign w:val="bottom"/>
            <w:shd w:val="clear" w:color="auto" w:fill="000000"/>
          </w:tcPr>
          <w:p>
            <w:pPr>
              <w:spacing w:after="0"/>
              <w:rPr>
                <w:sz w:val="24"/>
                <w:szCs w:val="24"/>
                <w:color w:val="auto"/>
              </w:rPr>
            </w:pPr>
          </w:p>
        </w:tc>
        <w:tc>
          <w:tcPr>
            <w:tcW w:w="3780" w:type="dxa"/>
            <w:vAlign w:val="bottom"/>
            <w:gridSpan w:val="5"/>
            <w:shd w:val="clear" w:color="auto" w:fill="000000"/>
          </w:tcPr>
          <w:p>
            <w:pPr>
              <w:jc w:val="center"/>
              <w:ind w:right="380"/>
              <w:spacing w:after="0"/>
              <w:rPr>
                <w:sz w:val="20"/>
                <w:szCs w:val="20"/>
                <w:color w:val="auto"/>
              </w:rPr>
            </w:pPr>
            <w:r>
              <w:rPr>
                <w:rFonts w:ascii="Arial" w:cs="Arial" w:eastAsia="Arial" w:hAnsi="Arial"/>
                <w:sz w:val="18"/>
                <w:szCs w:val="18"/>
                <w:b w:val="1"/>
                <w:bCs w:val="1"/>
                <w:color w:val="E93BAC"/>
                <w:w w:val="99"/>
              </w:rPr>
              <w:t>Analysis of 4Q23 Consolidated Results</w:t>
            </w:r>
          </w:p>
        </w:tc>
      </w:tr>
      <w:tr>
        <w:trPr>
          <w:trHeight w:val="202"/>
        </w:trPr>
        <w:tc>
          <w:tcPr>
            <w:tcW w:w="600" w:type="dxa"/>
            <w:vAlign w:val="bottom"/>
            <w:tcBorders>
              <w:right w:val="single" w:sz="8" w:color="auto"/>
            </w:tcBorders>
            <w:shd w:val="clear" w:color="auto" w:fill="000000"/>
          </w:tcPr>
          <w:p>
            <w:pPr>
              <w:spacing w:after="0"/>
              <w:rPr>
                <w:sz w:val="17"/>
                <w:szCs w:val="17"/>
                <w:color w:val="auto"/>
              </w:rPr>
            </w:pPr>
          </w:p>
        </w:tc>
        <w:tc>
          <w:tcPr>
            <w:tcW w:w="3980" w:type="dxa"/>
            <w:vAlign w:val="bottom"/>
            <w:shd w:val="clear" w:color="auto" w:fill="000000"/>
          </w:tcPr>
          <w:p>
            <w:pPr>
              <w:spacing w:after="0"/>
              <w:rPr>
                <w:sz w:val="17"/>
                <w:szCs w:val="17"/>
                <w:color w:val="auto"/>
              </w:rPr>
            </w:pPr>
          </w:p>
        </w:tc>
        <w:tc>
          <w:tcPr>
            <w:tcW w:w="1080" w:type="dxa"/>
            <w:vAlign w:val="bottom"/>
            <w:tcBorders>
              <w:right w:val="single" w:sz="8" w:color="auto"/>
            </w:tcBorders>
            <w:shd w:val="clear" w:color="auto" w:fill="000000"/>
          </w:tcPr>
          <w:p>
            <w:pPr>
              <w:spacing w:after="0"/>
              <w:rPr>
                <w:sz w:val="17"/>
                <w:szCs w:val="17"/>
                <w:color w:val="auto"/>
              </w:rPr>
            </w:pPr>
          </w:p>
        </w:tc>
        <w:tc>
          <w:tcPr>
            <w:tcW w:w="800" w:type="dxa"/>
            <w:vAlign w:val="bottom"/>
            <w:shd w:val="clear" w:color="auto" w:fill="000000"/>
          </w:tcPr>
          <w:p>
            <w:pPr>
              <w:spacing w:after="0"/>
              <w:rPr>
                <w:sz w:val="17"/>
                <w:szCs w:val="17"/>
                <w:color w:val="auto"/>
              </w:rPr>
            </w:pPr>
          </w:p>
        </w:tc>
        <w:tc>
          <w:tcPr>
            <w:tcW w:w="1020" w:type="dxa"/>
            <w:vAlign w:val="bottom"/>
            <w:shd w:val="clear" w:color="auto" w:fill="000000"/>
          </w:tcPr>
          <w:p>
            <w:pPr>
              <w:spacing w:after="0"/>
              <w:rPr>
                <w:sz w:val="17"/>
                <w:szCs w:val="17"/>
                <w:color w:val="auto"/>
              </w:rPr>
            </w:pPr>
          </w:p>
        </w:tc>
        <w:tc>
          <w:tcPr>
            <w:tcW w:w="1000" w:type="dxa"/>
            <w:vAlign w:val="bottom"/>
            <w:shd w:val="clear" w:color="auto" w:fill="000000"/>
          </w:tcPr>
          <w:p>
            <w:pPr>
              <w:spacing w:after="0"/>
              <w:rPr>
                <w:sz w:val="17"/>
                <w:szCs w:val="17"/>
                <w:color w:val="auto"/>
              </w:rPr>
            </w:pPr>
          </w:p>
        </w:tc>
        <w:tc>
          <w:tcPr>
            <w:tcW w:w="200" w:type="dxa"/>
            <w:vAlign w:val="bottom"/>
            <w:tcBorders>
              <w:right w:val="single" w:sz="8" w:color="auto"/>
            </w:tcBorders>
            <w:shd w:val="clear" w:color="auto" w:fill="000000"/>
          </w:tcPr>
          <w:p>
            <w:pPr>
              <w:spacing w:after="0"/>
              <w:rPr>
                <w:sz w:val="17"/>
                <w:szCs w:val="17"/>
                <w:color w:val="auto"/>
              </w:rPr>
            </w:pPr>
          </w:p>
        </w:tc>
        <w:tc>
          <w:tcPr>
            <w:tcW w:w="700" w:type="dxa"/>
            <w:vAlign w:val="bottom"/>
            <w:shd w:val="clear" w:color="auto" w:fill="000000"/>
          </w:tcPr>
          <w:p>
            <w:pPr>
              <w:spacing w:after="0"/>
              <w:rPr>
                <w:sz w:val="17"/>
                <w:szCs w:val="17"/>
                <w:color w:val="auto"/>
              </w:rPr>
            </w:pPr>
          </w:p>
        </w:tc>
        <w:tc>
          <w:tcPr>
            <w:tcW w:w="1320" w:type="dxa"/>
            <w:vAlign w:val="bottom"/>
            <w:tcBorders>
              <w:right w:val="single" w:sz="8" w:color="auto"/>
            </w:tcBorders>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r>
      <w:tr>
        <w:trPr>
          <w:trHeight w:val="322"/>
        </w:trPr>
        <w:tc>
          <w:tcPr>
            <w:tcW w:w="4580" w:type="dxa"/>
            <w:vAlign w:val="bottom"/>
            <w:gridSpan w:val="2"/>
            <w:shd w:val="clear" w:color="auto" w:fill="E93CAC"/>
          </w:tcPr>
          <w:p>
            <w:pPr>
              <w:ind w:left="40"/>
              <w:spacing w:after="0"/>
              <w:rPr>
                <w:sz w:val="20"/>
                <w:szCs w:val="20"/>
                <w:color w:val="auto"/>
              </w:rPr>
            </w:pPr>
            <w:r>
              <w:rPr>
                <w:rFonts w:ascii="Arial" w:cs="Arial" w:eastAsia="Arial" w:hAnsi="Arial"/>
                <w:sz w:val="18"/>
                <w:szCs w:val="18"/>
                <w:b w:val="1"/>
                <w:bCs w:val="1"/>
                <w:color w:val="FFFFFF"/>
              </w:rPr>
              <w:t>12. Appendix</w:t>
            </w:r>
          </w:p>
        </w:tc>
        <w:tc>
          <w:tcPr>
            <w:tcW w:w="1080" w:type="dxa"/>
            <w:vAlign w:val="bottom"/>
            <w:tcBorders>
              <w:right w:val="single" w:sz="8" w:color="E93CAC"/>
            </w:tcBorders>
            <w:shd w:val="clear" w:color="auto" w:fill="E93CAC"/>
          </w:tcPr>
          <w:p>
            <w:pPr>
              <w:spacing w:after="0"/>
              <w:rPr>
                <w:sz w:val="24"/>
                <w:szCs w:val="24"/>
                <w:color w:val="auto"/>
              </w:rPr>
            </w:pPr>
          </w:p>
        </w:tc>
        <w:tc>
          <w:tcPr>
            <w:tcW w:w="800" w:type="dxa"/>
            <w:vAlign w:val="bottom"/>
            <w:shd w:val="clear" w:color="auto" w:fill="E93CAC"/>
          </w:tcPr>
          <w:p>
            <w:pPr>
              <w:spacing w:after="0"/>
              <w:rPr>
                <w:sz w:val="24"/>
                <w:szCs w:val="24"/>
                <w:color w:val="auto"/>
              </w:rPr>
            </w:pPr>
          </w:p>
        </w:tc>
        <w:tc>
          <w:tcPr>
            <w:tcW w:w="1020" w:type="dxa"/>
            <w:vAlign w:val="bottom"/>
            <w:shd w:val="clear" w:color="auto" w:fill="E93CAC"/>
          </w:tcPr>
          <w:p>
            <w:pPr>
              <w:spacing w:after="0"/>
              <w:rPr>
                <w:sz w:val="24"/>
                <w:szCs w:val="24"/>
                <w:color w:val="auto"/>
              </w:rPr>
            </w:pPr>
          </w:p>
        </w:tc>
        <w:tc>
          <w:tcPr>
            <w:tcW w:w="1000" w:type="dxa"/>
            <w:vAlign w:val="bottom"/>
            <w:shd w:val="clear" w:color="auto" w:fill="E93CAC"/>
          </w:tcPr>
          <w:p>
            <w:pPr>
              <w:spacing w:after="0"/>
              <w:rPr>
                <w:sz w:val="24"/>
                <w:szCs w:val="24"/>
                <w:color w:val="auto"/>
              </w:rPr>
            </w:pPr>
          </w:p>
        </w:tc>
        <w:tc>
          <w:tcPr>
            <w:tcW w:w="200" w:type="dxa"/>
            <w:vAlign w:val="bottom"/>
            <w:tcBorders>
              <w:right w:val="single" w:sz="8" w:color="E93CAC"/>
            </w:tcBorders>
            <w:shd w:val="clear" w:color="auto" w:fill="E93CAC"/>
          </w:tcPr>
          <w:p>
            <w:pPr>
              <w:spacing w:after="0"/>
              <w:rPr>
                <w:sz w:val="24"/>
                <w:szCs w:val="24"/>
                <w:color w:val="auto"/>
              </w:rPr>
            </w:pPr>
          </w:p>
        </w:tc>
        <w:tc>
          <w:tcPr>
            <w:tcW w:w="700" w:type="dxa"/>
            <w:vAlign w:val="bottom"/>
            <w:shd w:val="clear" w:color="auto" w:fill="E93CAC"/>
          </w:tcPr>
          <w:p>
            <w:pPr>
              <w:spacing w:after="0"/>
              <w:rPr>
                <w:sz w:val="24"/>
                <w:szCs w:val="24"/>
                <w:color w:val="auto"/>
              </w:rPr>
            </w:pPr>
          </w:p>
        </w:tc>
        <w:tc>
          <w:tcPr>
            <w:tcW w:w="1320" w:type="dxa"/>
            <w:vAlign w:val="bottom"/>
            <w:tcBorders>
              <w:right w:val="single" w:sz="8" w:color="E93CAC"/>
            </w:tcBorders>
            <w:shd w:val="clear" w:color="auto" w:fill="E93CAC"/>
          </w:tcPr>
          <w:p>
            <w:pPr>
              <w:spacing w:after="0"/>
              <w:rPr>
                <w:sz w:val="24"/>
                <w:szCs w:val="24"/>
                <w:color w:val="auto"/>
              </w:rPr>
            </w:pPr>
          </w:p>
        </w:tc>
        <w:tc>
          <w:tcPr>
            <w:tcW w:w="560" w:type="dxa"/>
            <w:vAlign w:val="bottom"/>
            <w:shd w:val="clear" w:color="auto" w:fill="E93CAC"/>
          </w:tcPr>
          <w:p>
            <w:pPr>
              <w:spacing w:after="0"/>
              <w:rPr>
                <w:sz w:val="24"/>
                <w:szCs w:val="24"/>
                <w:color w:val="auto"/>
              </w:rPr>
            </w:pPr>
          </w:p>
        </w:tc>
      </w:tr>
      <w:tr>
        <w:trPr>
          <w:trHeight w:val="68"/>
        </w:trPr>
        <w:tc>
          <w:tcPr>
            <w:tcW w:w="600" w:type="dxa"/>
            <w:vAlign w:val="bottom"/>
            <w:tcBorders>
              <w:right w:val="single" w:sz="8" w:color="E93CAC"/>
            </w:tcBorders>
            <w:shd w:val="clear" w:color="auto" w:fill="E93CAC"/>
          </w:tcPr>
          <w:p>
            <w:pPr>
              <w:spacing w:after="0"/>
              <w:rPr>
                <w:sz w:val="5"/>
                <w:szCs w:val="5"/>
                <w:color w:val="auto"/>
              </w:rPr>
            </w:pPr>
          </w:p>
        </w:tc>
        <w:tc>
          <w:tcPr>
            <w:tcW w:w="3980" w:type="dxa"/>
            <w:vAlign w:val="bottom"/>
            <w:shd w:val="clear" w:color="auto" w:fill="E93CAC"/>
          </w:tcPr>
          <w:p>
            <w:pPr>
              <w:spacing w:after="0"/>
              <w:rPr>
                <w:sz w:val="5"/>
                <w:szCs w:val="5"/>
                <w:color w:val="auto"/>
              </w:rPr>
            </w:pPr>
          </w:p>
        </w:tc>
        <w:tc>
          <w:tcPr>
            <w:tcW w:w="1080" w:type="dxa"/>
            <w:vAlign w:val="bottom"/>
            <w:tcBorders>
              <w:right w:val="single" w:sz="8" w:color="E93CAC"/>
            </w:tcBorders>
            <w:shd w:val="clear" w:color="auto" w:fill="E93CAC"/>
          </w:tcPr>
          <w:p>
            <w:pPr>
              <w:spacing w:after="0"/>
              <w:rPr>
                <w:sz w:val="5"/>
                <w:szCs w:val="5"/>
                <w:color w:val="auto"/>
              </w:rPr>
            </w:pPr>
          </w:p>
        </w:tc>
        <w:tc>
          <w:tcPr>
            <w:tcW w:w="800" w:type="dxa"/>
            <w:vAlign w:val="bottom"/>
            <w:shd w:val="clear" w:color="auto" w:fill="E93CAC"/>
          </w:tcPr>
          <w:p>
            <w:pPr>
              <w:spacing w:after="0"/>
              <w:rPr>
                <w:sz w:val="5"/>
                <w:szCs w:val="5"/>
                <w:color w:val="auto"/>
              </w:rPr>
            </w:pPr>
          </w:p>
        </w:tc>
        <w:tc>
          <w:tcPr>
            <w:tcW w:w="1020" w:type="dxa"/>
            <w:vAlign w:val="bottom"/>
            <w:shd w:val="clear" w:color="auto" w:fill="E93CAC"/>
          </w:tcPr>
          <w:p>
            <w:pPr>
              <w:spacing w:after="0"/>
              <w:rPr>
                <w:sz w:val="5"/>
                <w:szCs w:val="5"/>
                <w:color w:val="auto"/>
              </w:rPr>
            </w:pPr>
          </w:p>
        </w:tc>
        <w:tc>
          <w:tcPr>
            <w:tcW w:w="1000" w:type="dxa"/>
            <w:vAlign w:val="bottom"/>
            <w:shd w:val="clear" w:color="auto" w:fill="E93CAC"/>
          </w:tcPr>
          <w:p>
            <w:pPr>
              <w:spacing w:after="0"/>
              <w:rPr>
                <w:sz w:val="5"/>
                <w:szCs w:val="5"/>
                <w:color w:val="auto"/>
              </w:rPr>
            </w:pPr>
          </w:p>
        </w:tc>
        <w:tc>
          <w:tcPr>
            <w:tcW w:w="200" w:type="dxa"/>
            <w:vAlign w:val="bottom"/>
            <w:tcBorders>
              <w:right w:val="single" w:sz="8" w:color="E93CAC"/>
            </w:tcBorders>
            <w:shd w:val="clear" w:color="auto" w:fill="E93CAC"/>
          </w:tcPr>
          <w:p>
            <w:pPr>
              <w:spacing w:after="0"/>
              <w:rPr>
                <w:sz w:val="5"/>
                <w:szCs w:val="5"/>
                <w:color w:val="auto"/>
              </w:rPr>
            </w:pPr>
          </w:p>
        </w:tc>
        <w:tc>
          <w:tcPr>
            <w:tcW w:w="700" w:type="dxa"/>
            <w:vAlign w:val="bottom"/>
            <w:shd w:val="clear" w:color="auto" w:fill="E93CAC"/>
          </w:tcPr>
          <w:p>
            <w:pPr>
              <w:spacing w:after="0"/>
              <w:rPr>
                <w:sz w:val="5"/>
                <w:szCs w:val="5"/>
                <w:color w:val="auto"/>
              </w:rPr>
            </w:pPr>
          </w:p>
        </w:tc>
        <w:tc>
          <w:tcPr>
            <w:tcW w:w="1320" w:type="dxa"/>
            <w:vAlign w:val="bottom"/>
            <w:tcBorders>
              <w:right w:val="single" w:sz="8" w:color="E93CAC"/>
            </w:tcBorders>
            <w:shd w:val="clear" w:color="auto" w:fill="E93CAC"/>
          </w:tcPr>
          <w:p>
            <w:pPr>
              <w:spacing w:after="0"/>
              <w:rPr>
                <w:sz w:val="5"/>
                <w:szCs w:val="5"/>
                <w:color w:val="auto"/>
              </w:rPr>
            </w:pPr>
          </w:p>
        </w:tc>
        <w:tc>
          <w:tcPr>
            <w:tcW w:w="560" w:type="dxa"/>
            <w:vAlign w:val="bottom"/>
            <w:shd w:val="clear" w:color="auto" w:fill="E93CAC"/>
          </w:tcPr>
          <w:p>
            <w:pPr>
              <w:spacing w:after="0"/>
              <w:rPr>
                <w:sz w:val="5"/>
                <w:szCs w:val="5"/>
                <w:color w:val="auto"/>
              </w:rPr>
            </w:pPr>
          </w:p>
        </w:tc>
      </w:tr>
      <w:tr>
        <w:trPr>
          <w:trHeight w:val="389"/>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12.6.3 BCP Consolidated</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6"/>
        </w:trPr>
        <w:tc>
          <w:tcPr>
            <w:tcW w:w="600" w:type="dxa"/>
            <w:vAlign w:val="bottom"/>
          </w:tcPr>
          <w:p>
            <w:pPr>
              <w:spacing w:after="0"/>
              <w:rPr>
                <w:sz w:val="24"/>
                <w:szCs w:val="24"/>
                <w:color w:val="auto"/>
              </w:rPr>
            </w:pPr>
          </w:p>
        </w:tc>
        <w:tc>
          <w:tcPr>
            <w:tcW w:w="6880" w:type="dxa"/>
            <w:vAlign w:val="bottom"/>
            <w:gridSpan w:val="4"/>
          </w:tcPr>
          <w:p>
            <w:pPr>
              <w:ind w:left="3280"/>
              <w:spacing w:after="0"/>
              <w:rPr>
                <w:sz w:val="20"/>
                <w:szCs w:val="20"/>
                <w:color w:val="auto"/>
              </w:rPr>
            </w:pPr>
            <w:r>
              <w:rPr>
                <w:rFonts w:ascii="Arial" w:cs="Arial" w:eastAsia="Arial" w:hAnsi="Arial"/>
                <w:sz w:val="16"/>
                <w:szCs w:val="16"/>
                <w:b w:val="1"/>
                <w:bCs w:val="1"/>
                <w:color w:val="auto"/>
              </w:rPr>
              <w:t>Consolidated Statement of Financial Position</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0"/>
        </w:trPr>
        <w:tc>
          <w:tcPr>
            <w:tcW w:w="600" w:type="dxa"/>
            <w:vAlign w:val="bottom"/>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(S/ Thousands, IFRS)</w:t>
            </w: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99"/>
        </w:trPr>
        <w:tc>
          <w:tcPr>
            <w:tcW w:w="600" w:type="dxa"/>
            <w:vAlign w:val="bottom"/>
            <w:tcBorders>
              <w:right w:val="single" w:sz="8" w:color="auto"/>
            </w:tcBorders>
          </w:tcPr>
          <w:p>
            <w:pPr>
              <w:spacing w:after="0"/>
              <w:rPr>
                <w:sz w:val="8"/>
                <w:szCs w:val="8"/>
                <w:color w:val="auto"/>
              </w:rPr>
            </w:pPr>
          </w:p>
        </w:tc>
        <w:tc>
          <w:tcPr>
            <w:tcW w:w="3980" w:type="dxa"/>
            <w:vAlign w:val="bottom"/>
            <w:shd w:val="clear" w:color="auto" w:fill="2AD2C9"/>
          </w:tcPr>
          <w:p>
            <w:pPr>
              <w:spacing w:after="0"/>
              <w:rPr>
                <w:sz w:val="8"/>
                <w:szCs w:val="8"/>
                <w:color w:val="auto"/>
              </w:rPr>
            </w:pPr>
          </w:p>
        </w:tc>
        <w:tc>
          <w:tcPr>
            <w:tcW w:w="1080" w:type="dxa"/>
            <w:vAlign w:val="bottom"/>
            <w:tcBorders>
              <w:right w:val="single" w:sz="8" w:color="auto"/>
            </w:tcBorders>
            <w:shd w:val="clear" w:color="auto" w:fill="2AD2C9"/>
          </w:tcPr>
          <w:p>
            <w:pPr>
              <w:spacing w:after="0"/>
              <w:rPr>
                <w:sz w:val="8"/>
                <w:szCs w:val="8"/>
                <w:color w:val="auto"/>
              </w:rPr>
            </w:pPr>
          </w:p>
        </w:tc>
        <w:tc>
          <w:tcPr>
            <w:tcW w:w="800" w:type="dxa"/>
            <w:vAlign w:val="bottom"/>
            <w:shd w:val="clear" w:color="auto" w:fill="2AD2C9"/>
          </w:tcPr>
          <w:p>
            <w:pPr>
              <w:spacing w:after="0"/>
              <w:rPr>
                <w:sz w:val="8"/>
                <w:szCs w:val="8"/>
                <w:color w:val="auto"/>
              </w:rPr>
            </w:pPr>
          </w:p>
        </w:tc>
        <w:tc>
          <w:tcPr>
            <w:tcW w:w="1020" w:type="dxa"/>
            <w:vAlign w:val="bottom"/>
            <w:shd w:val="clear" w:color="auto" w:fill="2AD2C9"/>
          </w:tcPr>
          <w:p>
            <w:pPr>
              <w:jc w:val="center"/>
              <w:ind w:left="303"/>
              <w:spacing w:after="0" w:line="99" w:lineRule="exact"/>
              <w:rPr>
                <w:sz w:val="20"/>
                <w:szCs w:val="20"/>
                <w:color w:val="auto"/>
              </w:rPr>
            </w:pPr>
            <w:r>
              <w:rPr>
                <w:rFonts w:ascii="Arial" w:cs="Arial" w:eastAsia="Arial" w:hAnsi="Arial"/>
                <w:sz w:val="11"/>
                <w:szCs w:val="11"/>
                <w:b w:val="1"/>
                <w:bCs w:val="1"/>
                <w:color w:val="FFFFFF"/>
              </w:rPr>
              <w:t>As of</w:t>
            </w:r>
          </w:p>
        </w:tc>
        <w:tc>
          <w:tcPr>
            <w:tcW w:w="1000" w:type="dxa"/>
            <w:vAlign w:val="bottom"/>
            <w:shd w:val="clear" w:color="auto" w:fill="2AD2C9"/>
          </w:tcPr>
          <w:p>
            <w:pPr>
              <w:spacing w:after="0"/>
              <w:rPr>
                <w:sz w:val="8"/>
                <w:szCs w:val="8"/>
                <w:color w:val="auto"/>
              </w:rPr>
            </w:pPr>
          </w:p>
        </w:tc>
        <w:tc>
          <w:tcPr>
            <w:tcW w:w="200" w:type="dxa"/>
            <w:vAlign w:val="bottom"/>
            <w:tcBorders>
              <w:right w:val="single" w:sz="8" w:color="auto"/>
            </w:tcBorders>
            <w:shd w:val="clear" w:color="auto" w:fill="2AD2C9"/>
          </w:tcPr>
          <w:p>
            <w:pPr>
              <w:spacing w:after="0"/>
              <w:rPr>
                <w:sz w:val="8"/>
                <w:szCs w:val="8"/>
                <w:color w:val="auto"/>
              </w:rPr>
            </w:pPr>
          </w:p>
        </w:tc>
        <w:tc>
          <w:tcPr>
            <w:tcW w:w="700" w:type="dxa"/>
            <w:vAlign w:val="bottom"/>
            <w:shd w:val="clear" w:color="auto" w:fill="2AD2C9"/>
          </w:tcPr>
          <w:p>
            <w:pPr>
              <w:spacing w:after="0"/>
              <w:rPr>
                <w:sz w:val="8"/>
                <w:szCs w:val="8"/>
                <w:color w:val="auto"/>
              </w:rPr>
            </w:pPr>
          </w:p>
        </w:tc>
        <w:tc>
          <w:tcPr>
            <w:tcW w:w="1320" w:type="dxa"/>
            <w:vAlign w:val="bottom"/>
            <w:tcBorders>
              <w:right w:val="single" w:sz="8" w:color="auto"/>
            </w:tcBorders>
            <w:shd w:val="clear" w:color="auto" w:fill="2AD2C9"/>
          </w:tcPr>
          <w:p>
            <w:pPr>
              <w:ind w:left="20"/>
              <w:spacing w:after="0" w:line="99" w:lineRule="exact"/>
              <w:rPr>
                <w:sz w:val="20"/>
                <w:szCs w:val="20"/>
                <w:color w:val="auto"/>
              </w:rPr>
            </w:pPr>
            <w:r>
              <w:rPr>
                <w:rFonts w:ascii="Arial" w:cs="Arial" w:eastAsia="Arial" w:hAnsi="Arial"/>
                <w:sz w:val="11"/>
                <w:szCs w:val="11"/>
                <w:b w:val="1"/>
                <w:bCs w:val="1"/>
                <w:color w:val="FFFFFF"/>
              </w:rPr>
              <w:t>% change</w:t>
            </w:r>
          </w:p>
        </w:tc>
        <w:tc>
          <w:tcPr>
            <w:tcW w:w="560" w:type="dxa"/>
            <w:vAlign w:val="bottom"/>
          </w:tcPr>
          <w:p>
            <w:pPr>
              <w:spacing w:after="0"/>
              <w:rPr>
                <w:sz w:val="8"/>
                <w:szCs w:val="8"/>
                <w:color w:val="auto"/>
              </w:rPr>
            </w:pPr>
          </w:p>
        </w:tc>
      </w:tr>
      <w:tr>
        <w:trPr>
          <w:trHeight w:val="137"/>
        </w:trPr>
        <w:tc>
          <w:tcPr>
            <w:tcW w:w="600" w:type="dxa"/>
            <w:vAlign w:val="bottom"/>
            <w:tcBorders>
              <w:right w:val="single" w:sz="8" w:color="auto"/>
            </w:tcBorders>
          </w:tcPr>
          <w:p>
            <w:pPr>
              <w:spacing w:after="0"/>
              <w:rPr>
                <w:sz w:val="11"/>
                <w:szCs w:val="11"/>
                <w:color w:val="auto"/>
              </w:rPr>
            </w:pPr>
          </w:p>
        </w:tc>
        <w:tc>
          <w:tcPr>
            <w:tcW w:w="3980" w:type="dxa"/>
            <w:vAlign w:val="bottom"/>
            <w:tcBorders>
              <w:bottom w:val="single" w:sz="8" w:color="auto"/>
            </w:tcBorders>
            <w:shd w:val="clear" w:color="auto" w:fill="2AD2C9"/>
          </w:tcPr>
          <w:p>
            <w:pPr>
              <w:spacing w:after="0"/>
              <w:rPr>
                <w:sz w:val="11"/>
                <w:szCs w:val="11"/>
                <w:color w:val="auto"/>
              </w:rPr>
            </w:pPr>
          </w:p>
        </w:tc>
        <w:tc>
          <w:tcPr>
            <w:tcW w:w="1080" w:type="dxa"/>
            <w:vAlign w:val="bottom"/>
            <w:tcBorders>
              <w:bottom w:val="single" w:sz="8" w:color="auto"/>
              <w:right w:val="single" w:sz="8" w:color="auto"/>
            </w:tcBorders>
            <w:shd w:val="clear" w:color="auto" w:fill="2AD2C9"/>
          </w:tcPr>
          <w:p>
            <w:pPr>
              <w:spacing w:after="0"/>
              <w:rPr>
                <w:sz w:val="11"/>
                <w:szCs w:val="11"/>
                <w:color w:val="auto"/>
              </w:rPr>
            </w:pPr>
          </w:p>
        </w:tc>
        <w:tc>
          <w:tcPr>
            <w:tcW w:w="80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Dec 22</w:t>
            </w:r>
          </w:p>
        </w:tc>
        <w:tc>
          <w:tcPr>
            <w:tcW w:w="1020" w:type="dxa"/>
            <w:vAlign w:val="bottom"/>
            <w:tcBorders>
              <w:bottom w:val="single" w:sz="8" w:color="auto"/>
            </w:tcBorders>
            <w:shd w:val="clear" w:color="auto" w:fill="2AD2C9"/>
          </w:tcPr>
          <w:p>
            <w:pPr>
              <w:jc w:val="center"/>
              <w:ind w:left="283"/>
              <w:spacing w:after="0"/>
              <w:rPr>
                <w:sz w:val="20"/>
                <w:szCs w:val="20"/>
                <w:color w:val="auto"/>
              </w:rPr>
            </w:pPr>
            <w:r>
              <w:rPr>
                <w:rFonts w:ascii="Arial" w:cs="Arial" w:eastAsia="Arial" w:hAnsi="Arial"/>
                <w:sz w:val="11"/>
                <w:szCs w:val="11"/>
                <w:b w:val="1"/>
                <w:bCs w:val="1"/>
                <w:color w:val="FFFFFF"/>
              </w:rPr>
              <w:t>Sep 23</w:t>
            </w:r>
          </w:p>
        </w:tc>
        <w:tc>
          <w:tcPr>
            <w:tcW w:w="1000" w:type="dxa"/>
            <w:vAlign w:val="bottom"/>
            <w:tcBorders>
              <w:bottom w:val="single" w:sz="8" w:color="auto"/>
            </w:tcBorders>
            <w:shd w:val="clear" w:color="auto" w:fill="2AD2C9"/>
          </w:tcPr>
          <w:p>
            <w:pPr>
              <w:jc w:val="right"/>
              <w:ind w:right="82"/>
              <w:spacing w:after="0"/>
              <w:rPr>
                <w:sz w:val="20"/>
                <w:szCs w:val="20"/>
                <w:color w:val="auto"/>
              </w:rPr>
            </w:pPr>
            <w:r>
              <w:rPr>
                <w:rFonts w:ascii="Arial" w:cs="Arial" w:eastAsia="Arial" w:hAnsi="Arial"/>
                <w:sz w:val="11"/>
                <w:szCs w:val="11"/>
                <w:b w:val="1"/>
                <w:bCs w:val="1"/>
                <w:color w:val="FFFFFF"/>
              </w:rPr>
              <w:t>Dec 23</w:t>
            </w:r>
          </w:p>
        </w:tc>
        <w:tc>
          <w:tcPr>
            <w:tcW w:w="200" w:type="dxa"/>
            <w:vAlign w:val="bottom"/>
            <w:tcBorders>
              <w:bottom w:val="single" w:sz="8" w:color="auto"/>
              <w:right w:val="single" w:sz="8" w:color="auto"/>
            </w:tcBorders>
            <w:shd w:val="clear" w:color="auto" w:fill="2AD2C9"/>
          </w:tcPr>
          <w:p>
            <w:pPr>
              <w:spacing w:after="0"/>
              <w:rPr>
                <w:sz w:val="11"/>
                <w:szCs w:val="11"/>
                <w:color w:val="auto"/>
              </w:rPr>
            </w:pPr>
          </w:p>
        </w:tc>
        <w:tc>
          <w:tcPr>
            <w:tcW w:w="700" w:type="dxa"/>
            <w:vAlign w:val="bottom"/>
            <w:tcBorders>
              <w:bottom w:val="single" w:sz="8" w:color="auto"/>
            </w:tcBorders>
            <w:shd w:val="clear" w:color="auto" w:fill="2AD2C9"/>
          </w:tcPr>
          <w:p>
            <w:pPr>
              <w:jc w:val="center"/>
              <w:ind w:left="223"/>
              <w:spacing w:after="0"/>
              <w:rPr>
                <w:sz w:val="20"/>
                <w:szCs w:val="20"/>
                <w:color w:val="auto"/>
              </w:rPr>
            </w:pPr>
            <w:r>
              <w:rPr>
                <w:rFonts w:ascii="Arial" w:cs="Arial" w:eastAsia="Arial" w:hAnsi="Arial"/>
                <w:sz w:val="11"/>
                <w:szCs w:val="11"/>
                <w:b w:val="1"/>
                <w:bCs w:val="1"/>
                <w:color w:val="FFFFFF"/>
              </w:rPr>
              <w:t>QoQ</w:t>
            </w:r>
          </w:p>
        </w:tc>
        <w:tc>
          <w:tcPr>
            <w:tcW w:w="1320" w:type="dxa"/>
            <w:vAlign w:val="bottom"/>
            <w:tcBorders>
              <w:bottom w:val="single" w:sz="8" w:color="auto"/>
              <w:right w:val="single" w:sz="8" w:color="auto"/>
            </w:tcBorders>
            <w:shd w:val="clear" w:color="auto" w:fill="2AD2C9"/>
          </w:tcPr>
          <w:p>
            <w:pPr>
              <w:jc w:val="center"/>
              <w:ind w:left="203"/>
              <w:spacing w:after="0"/>
              <w:rPr>
                <w:sz w:val="20"/>
                <w:szCs w:val="20"/>
                <w:color w:val="auto"/>
              </w:rPr>
            </w:pPr>
            <w:r>
              <w:rPr>
                <w:rFonts w:ascii="Arial" w:cs="Arial" w:eastAsia="Arial" w:hAnsi="Arial"/>
                <w:sz w:val="11"/>
                <w:szCs w:val="11"/>
                <w:b w:val="1"/>
                <w:bCs w:val="1"/>
                <w:color w:val="FFFFFF"/>
              </w:rPr>
              <w:t>YoY</w:t>
            </w:r>
          </w:p>
        </w:tc>
        <w:tc>
          <w:tcPr>
            <w:tcW w:w="560" w:type="dxa"/>
            <w:vAlign w:val="bottom"/>
          </w:tcPr>
          <w:p>
            <w:pPr>
              <w:spacing w:after="0"/>
              <w:rPr>
                <w:sz w:val="11"/>
                <w:szCs w:val="11"/>
                <w:color w:val="auto"/>
              </w:rPr>
            </w:pPr>
          </w:p>
        </w:tc>
      </w:tr>
      <w:tr>
        <w:trPr>
          <w:trHeight w:val="99"/>
        </w:trPr>
        <w:tc>
          <w:tcPr>
            <w:tcW w:w="600" w:type="dxa"/>
            <w:vAlign w:val="bottom"/>
            <w:tcBorders>
              <w:right w:val="single" w:sz="8" w:color="auto"/>
            </w:tcBorders>
          </w:tcPr>
          <w:p>
            <w:pPr>
              <w:spacing w:after="0"/>
              <w:rPr>
                <w:sz w:val="8"/>
                <w:szCs w:val="8"/>
                <w:color w:val="auto"/>
              </w:rPr>
            </w:pPr>
          </w:p>
        </w:tc>
        <w:tc>
          <w:tcPr>
            <w:tcW w:w="3980" w:type="dxa"/>
            <w:vAlign w:val="bottom"/>
          </w:tcPr>
          <w:p>
            <w:pPr>
              <w:ind w:left="60"/>
              <w:spacing w:after="0" w:line="99" w:lineRule="exact"/>
              <w:rPr>
                <w:sz w:val="20"/>
                <w:szCs w:val="20"/>
                <w:color w:val="auto"/>
              </w:rPr>
            </w:pPr>
            <w:r>
              <w:rPr>
                <w:rFonts w:ascii="Arial" w:cs="Arial" w:eastAsia="Arial" w:hAnsi="Arial"/>
                <w:sz w:val="11"/>
                <w:szCs w:val="11"/>
                <w:b w:val="1"/>
                <w:bCs w:val="1"/>
                <w:color w:val="auto"/>
              </w:rPr>
              <w:t>ASSETS</w:t>
            </w:r>
          </w:p>
        </w:tc>
        <w:tc>
          <w:tcPr>
            <w:tcW w:w="108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Cash and due from banks</w:t>
            </w:r>
          </w:p>
        </w:tc>
        <w:tc>
          <w:tcPr>
            <w:tcW w:w="108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Non-interest bearing</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5,780,728</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6,041,081</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6,025,352</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-0.3%</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4.2%</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Interest bearing</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25,594,929</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23,912,271</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24,668,794</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3.2%</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-3.6%</w:t>
            </w:r>
          </w:p>
        </w:tc>
        <w:tc>
          <w:tcPr>
            <w:tcW w:w="560" w:type="dxa"/>
            <w:vAlign w:val="bottom"/>
          </w:tcPr>
          <w:p>
            <w:pPr>
              <w:spacing w:after="0"/>
              <w:rPr>
                <w:sz w:val="10"/>
                <w:szCs w:val="10"/>
                <w:color w:val="auto"/>
              </w:rPr>
            </w:pPr>
          </w:p>
        </w:tc>
      </w:tr>
      <w:tr>
        <w:trPr>
          <w:trHeight w:val="149"/>
        </w:trPr>
        <w:tc>
          <w:tcPr>
            <w:tcW w:w="600" w:type="dxa"/>
            <w:vAlign w:val="bottom"/>
            <w:tcBorders>
              <w:right w:val="single" w:sz="8" w:color="auto"/>
            </w:tcBorders>
          </w:tcPr>
          <w:p>
            <w:pPr>
              <w:spacing w:after="0"/>
              <w:rPr>
                <w:sz w:val="12"/>
                <w:szCs w:val="12"/>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Total cash and due from banks</w:t>
            </w:r>
          </w:p>
        </w:tc>
        <w:tc>
          <w:tcPr>
            <w:tcW w:w="1080" w:type="dxa"/>
            <w:vAlign w:val="bottom"/>
            <w:tcBorders>
              <w:right w:val="single" w:sz="8" w:color="auto"/>
            </w:tcBorders>
          </w:tcPr>
          <w:p>
            <w:pPr>
              <w:spacing w:after="0"/>
              <w:rPr>
                <w:sz w:val="12"/>
                <w:szCs w:val="12"/>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31,375,657</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29,953,352</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30,694,146</w:t>
            </w:r>
          </w:p>
        </w:tc>
        <w:tc>
          <w:tcPr>
            <w:tcW w:w="200" w:type="dxa"/>
            <w:vAlign w:val="bottom"/>
            <w:tcBorders>
              <w:right w:val="single" w:sz="8" w:color="auto"/>
            </w:tcBorders>
          </w:tcPr>
          <w:p>
            <w:pPr>
              <w:spacing w:after="0"/>
              <w:rPr>
                <w:sz w:val="12"/>
                <w:szCs w:val="12"/>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2.5%</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-2.2%</w:t>
            </w:r>
          </w:p>
        </w:tc>
        <w:tc>
          <w:tcPr>
            <w:tcW w:w="560" w:type="dxa"/>
            <w:vAlign w:val="bottom"/>
          </w:tcPr>
          <w:p>
            <w:pPr>
              <w:spacing w:after="0"/>
              <w:rPr>
                <w:sz w:val="12"/>
                <w:szCs w:val="12"/>
                <w:color w:val="auto"/>
              </w:rPr>
            </w:pPr>
          </w:p>
        </w:tc>
      </w:tr>
      <w:tr>
        <w:trPr>
          <w:trHeight w:val="244"/>
        </w:trPr>
        <w:tc>
          <w:tcPr>
            <w:tcW w:w="600" w:type="dxa"/>
            <w:vAlign w:val="bottom"/>
            <w:tcBorders>
              <w:right w:val="single" w:sz="8" w:color="auto"/>
            </w:tcBorders>
          </w:tcPr>
          <w:p>
            <w:pPr>
              <w:spacing w:after="0"/>
              <w:rPr>
                <w:sz w:val="21"/>
                <w:szCs w:val="21"/>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Cash collateral, reverse repurchase agreements and securities borrowing</w:t>
            </w:r>
          </w:p>
        </w:tc>
        <w:tc>
          <w:tcPr>
            <w:tcW w:w="1080" w:type="dxa"/>
            <w:vAlign w:val="bottom"/>
            <w:tcBorders>
              <w:right w:val="single" w:sz="8" w:color="auto"/>
            </w:tcBorders>
          </w:tcPr>
          <w:p>
            <w:pPr>
              <w:spacing w:after="0"/>
              <w:rPr>
                <w:sz w:val="21"/>
                <w:szCs w:val="21"/>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244,017</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207,284</w:t>
            </w:r>
          </w:p>
        </w:tc>
        <w:tc>
          <w:tcPr>
            <w:tcW w:w="1000" w:type="dxa"/>
            <w:vAlign w:val="bottom"/>
          </w:tcPr>
          <w:p>
            <w:pPr>
              <w:jc w:val="center"/>
              <w:ind w:left="302"/>
              <w:spacing w:after="0"/>
              <w:rPr>
                <w:sz w:val="20"/>
                <w:szCs w:val="20"/>
                <w:color w:val="auto"/>
              </w:rPr>
            </w:pPr>
            <w:r>
              <w:rPr>
                <w:rFonts w:ascii="Arial" w:cs="Arial" w:eastAsia="Arial" w:hAnsi="Arial"/>
                <w:sz w:val="11"/>
                <w:szCs w:val="11"/>
                <w:color w:val="auto"/>
              </w:rPr>
              <w:t>100,211</w:t>
            </w:r>
          </w:p>
        </w:tc>
        <w:tc>
          <w:tcPr>
            <w:tcW w:w="200" w:type="dxa"/>
            <w:vAlign w:val="bottom"/>
            <w:tcBorders>
              <w:right w:val="single" w:sz="8" w:color="auto"/>
            </w:tcBorders>
          </w:tcPr>
          <w:p>
            <w:pPr>
              <w:spacing w:after="0"/>
              <w:rPr>
                <w:sz w:val="21"/>
                <w:szCs w:val="21"/>
                <w:color w:val="auto"/>
              </w:rPr>
            </w:pPr>
          </w:p>
        </w:tc>
        <w:tc>
          <w:tcPr>
            <w:tcW w:w="700" w:type="dxa"/>
            <w:vAlign w:val="bottom"/>
          </w:tcPr>
          <w:p>
            <w:pPr>
              <w:jc w:val="center"/>
              <w:ind w:left="243"/>
              <w:spacing w:after="0"/>
              <w:rPr>
                <w:sz w:val="20"/>
                <w:szCs w:val="20"/>
                <w:color w:val="auto"/>
              </w:rPr>
            </w:pPr>
            <w:r>
              <w:rPr>
                <w:rFonts w:ascii="Arial" w:cs="Arial" w:eastAsia="Arial" w:hAnsi="Arial"/>
                <w:sz w:val="11"/>
                <w:szCs w:val="11"/>
                <w:color w:val="auto"/>
              </w:rPr>
              <w:t>-51.7%</w:t>
            </w:r>
          </w:p>
        </w:tc>
        <w:tc>
          <w:tcPr>
            <w:tcW w:w="1320" w:type="dxa"/>
            <w:vAlign w:val="bottom"/>
            <w:tcBorders>
              <w:right w:val="single" w:sz="8" w:color="auto"/>
            </w:tcBorders>
          </w:tcPr>
          <w:p>
            <w:pPr>
              <w:jc w:val="center"/>
              <w:ind w:left="223"/>
              <w:spacing w:after="0"/>
              <w:rPr>
                <w:sz w:val="20"/>
                <w:szCs w:val="20"/>
                <w:color w:val="auto"/>
              </w:rPr>
            </w:pPr>
            <w:r>
              <w:rPr>
                <w:rFonts w:ascii="Arial" w:cs="Arial" w:eastAsia="Arial" w:hAnsi="Arial"/>
                <w:sz w:val="11"/>
                <w:szCs w:val="11"/>
                <w:color w:val="auto"/>
              </w:rPr>
              <w:t>-58.9%</w:t>
            </w:r>
          </w:p>
        </w:tc>
        <w:tc>
          <w:tcPr>
            <w:tcW w:w="560" w:type="dxa"/>
            <w:vAlign w:val="bottom"/>
          </w:tcPr>
          <w:p>
            <w:pPr>
              <w:spacing w:after="0"/>
              <w:rPr>
                <w:sz w:val="21"/>
                <w:szCs w:val="21"/>
                <w:color w:val="auto"/>
              </w:rPr>
            </w:pPr>
          </w:p>
        </w:tc>
      </w:tr>
      <w:tr>
        <w:trPr>
          <w:trHeight w:val="217"/>
        </w:trPr>
        <w:tc>
          <w:tcPr>
            <w:tcW w:w="600" w:type="dxa"/>
            <w:vAlign w:val="bottom"/>
            <w:tcBorders>
              <w:right w:val="single" w:sz="8" w:color="auto"/>
            </w:tcBorders>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Fair value through profit or loss investments</w:t>
            </w:r>
          </w:p>
        </w:tc>
        <w:tc>
          <w:tcPr>
            <w:tcW w:w="1080" w:type="dxa"/>
            <w:vAlign w:val="bottom"/>
            <w:tcBorders>
              <w:right w:val="single" w:sz="8" w:color="auto"/>
            </w:tcBorders>
          </w:tcPr>
          <w:p>
            <w:pPr>
              <w:spacing w:after="0"/>
              <w:rPr>
                <w:sz w:val="18"/>
                <w:szCs w:val="18"/>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1,011</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1,229,265</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362,360</w:t>
            </w:r>
          </w:p>
        </w:tc>
        <w:tc>
          <w:tcPr>
            <w:tcW w:w="200" w:type="dxa"/>
            <w:vAlign w:val="bottom"/>
            <w:tcBorders>
              <w:right w:val="single" w:sz="8" w:color="auto"/>
            </w:tcBorders>
          </w:tcPr>
          <w:p>
            <w:pPr>
              <w:spacing w:after="0"/>
              <w:rPr>
                <w:sz w:val="18"/>
                <w:szCs w:val="18"/>
                <w:color w:val="auto"/>
              </w:rPr>
            </w:pPr>
          </w:p>
        </w:tc>
        <w:tc>
          <w:tcPr>
            <w:tcW w:w="700" w:type="dxa"/>
            <w:vAlign w:val="bottom"/>
          </w:tcPr>
          <w:p>
            <w:pPr>
              <w:jc w:val="center"/>
              <w:ind w:left="243"/>
              <w:spacing w:after="0"/>
              <w:rPr>
                <w:sz w:val="20"/>
                <w:szCs w:val="20"/>
                <w:color w:val="auto"/>
              </w:rPr>
            </w:pPr>
            <w:r>
              <w:rPr>
                <w:rFonts w:ascii="Arial" w:cs="Arial" w:eastAsia="Arial" w:hAnsi="Arial"/>
                <w:sz w:val="11"/>
                <w:szCs w:val="11"/>
                <w:color w:val="auto"/>
              </w:rPr>
              <w:t>-70.5%</w:t>
            </w:r>
          </w:p>
        </w:tc>
        <w:tc>
          <w:tcPr>
            <w:tcW w:w="1320" w:type="dxa"/>
            <w:vAlign w:val="bottom"/>
            <w:tcBorders>
              <w:right w:val="single" w:sz="8" w:color="auto"/>
            </w:tcBorders>
          </w:tcPr>
          <w:p>
            <w:pPr>
              <w:jc w:val="center"/>
              <w:ind w:left="223"/>
              <w:spacing w:after="0"/>
              <w:rPr>
                <w:sz w:val="20"/>
                <w:szCs w:val="20"/>
                <w:color w:val="auto"/>
              </w:rPr>
            </w:pPr>
            <w:r>
              <w:rPr>
                <w:rFonts w:ascii="Arial" w:cs="Arial" w:eastAsia="Arial" w:hAnsi="Arial"/>
                <w:sz w:val="11"/>
                <w:szCs w:val="11"/>
                <w:color w:val="auto"/>
              </w:rPr>
              <w:t>n.a</w:t>
            </w:r>
          </w:p>
        </w:tc>
        <w:tc>
          <w:tcPr>
            <w:tcW w:w="560" w:type="dxa"/>
            <w:vAlign w:val="bottom"/>
          </w:tcPr>
          <w:p>
            <w:pPr>
              <w:spacing w:after="0"/>
              <w:rPr>
                <w:sz w:val="18"/>
                <w:szCs w:val="18"/>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Fair value through other comprehensive income investments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15,260,159</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19,717,481</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20,592,731</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4.4%</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34.9%</w:t>
            </w:r>
          </w:p>
        </w:tc>
        <w:tc>
          <w:tcPr>
            <w:tcW w:w="560" w:type="dxa"/>
            <w:vAlign w:val="bottom"/>
          </w:tcPr>
          <w:p>
            <w:pPr>
              <w:spacing w:after="0"/>
              <w:rPr>
                <w:sz w:val="10"/>
                <w:szCs w:val="10"/>
                <w:color w:val="auto"/>
              </w:rPr>
            </w:pPr>
          </w:p>
        </w:tc>
      </w:tr>
      <w:tr>
        <w:trPr>
          <w:trHeight w:val="149"/>
        </w:trPr>
        <w:tc>
          <w:tcPr>
            <w:tcW w:w="600" w:type="dxa"/>
            <w:vAlign w:val="bottom"/>
            <w:tcBorders>
              <w:right w:val="single" w:sz="8" w:color="auto"/>
            </w:tcBorders>
          </w:tcPr>
          <w:p>
            <w:pPr>
              <w:spacing w:after="0"/>
              <w:rPr>
                <w:sz w:val="12"/>
                <w:szCs w:val="12"/>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Amortized cost investments</w:t>
            </w:r>
          </w:p>
        </w:tc>
        <w:tc>
          <w:tcPr>
            <w:tcW w:w="1080" w:type="dxa"/>
            <w:vAlign w:val="bottom"/>
            <w:tcBorders>
              <w:right w:val="single" w:sz="8" w:color="auto"/>
            </w:tcBorders>
          </w:tcPr>
          <w:p>
            <w:pPr>
              <w:spacing w:after="0"/>
              <w:rPr>
                <w:sz w:val="12"/>
                <w:szCs w:val="12"/>
                <w:color w:val="auto"/>
              </w:rPr>
            </w:pPr>
          </w:p>
        </w:tc>
        <w:tc>
          <w:tcPr>
            <w:tcW w:w="800" w:type="dxa"/>
            <w:vAlign w:val="bottom"/>
          </w:tcPr>
          <w:p>
            <w:pPr>
              <w:jc w:val="center"/>
              <w:ind w:left="83"/>
              <w:spacing w:after="0"/>
              <w:rPr>
                <w:sz w:val="20"/>
                <w:szCs w:val="20"/>
                <w:color w:val="auto"/>
              </w:rPr>
            </w:pPr>
            <w:r>
              <w:rPr>
                <w:rFonts w:ascii="Arial" w:cs="Arial" w:eastAsia="Arial" w:hAnsi="Arial"/>
                <w:sz w:val="11"/>
                <w:szCs w:val="11"/>
                <w:color w:val="auto"/>
              </w:rPr>
              <w:t>9,831,983</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9,450,388</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9,557,451</w:t>
            </w:r>
          </w:p>
        </w:tc>
        <w:tc>
          <w:tcPr>
            <w:tcW w:w="200" w:type="dxa"/>
            <w:vAlign w:val="bottom"/>
            <w:tcBorders>
              <w:right w:val="single" w:sz="8" w:color="auto"/>
            </w:tcBorders>
          </w:tcPr>
          <w:p>
            <w:pPr>
              <w:spacing w:after="0"/>
              <w:rPr>
                <w:sz w:val="12"/>
                <w:szCs w:val="12"/>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1.1%</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-2.8%</w:t>
            </w:r>
          </w:p>
        </w:tc>
        <w:tc>
          <w:tcPr>
            <w:tcW w:w="560" w:type="dxa"/>
            <w:vAlign w:val="bottom"/>
          </w:tcPr>
          <w:p>
            <w:pPr>
              <w:spacing w:after="0"/>
              <w:rPr>
                <w:sz w:val="12"/>
                <w:szCs w:val="12"/>
                <w:color w:val="auto"/>
              </w:rPr>
            </w:pPr>
          </w:p>
        </w:tc>
      </w:tr>
      <w:tr>
        <w:trPr>
          <w:trHeight w:val="217"/>
        </w:trPr>
        <w:tc>
          <w:tcPr>
            <w:tcW w:w="600" w:type="dxa"/>
            <w:vAlign w:val="bottom"/>
            <w:tcBorders>
              <w:right w:val="single" w:sz="8" w:color="auto"/>
            </w:tcBorders>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Loans</w:t>
            </w:r>
          </w:p>
        </w:tc>
        <w:tc>
          <w:tcPr>
            <w:tcW w:w="1080" w:type="dxa"/>
            <w:vAlign w:val="bottom"/>
            <w:tcBorders>
              <w:right w:val="single" w:sz="8" w:color="auto"/>
            </w:tcBorders>
          </w:tcPr>
          <w:p>
            <w:pPr>
              <w:spacing w:after="0"/>
              <w:rPr>
                <w:sz w:val="18"/>
                <w:szCs w:val="18"/>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136,046,442</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131,843,710</w:t>
            </w:r>
          </w:p>
        </w:tc>
        <w:tc>
          <w:tcPr>
            <w:tcW w:w="1000" w:type="dxa"/>
            <w:vAlign w:val="bottom"/>
          </w:tcPr>
          <w:p>
            <w:pPr>
              <w:jc w:val="center"/>
              <w:ind w:left="302"/>
              <w:spacing w:after="0"/>
              <w:rPr>
                <w:sz w:val="20"/>
                <w:szCs w:val="20"/>
                <w:color w:val="auto"/>
              </w:rPr>
            </w:pPr>
            <w:r>
              <w:rPr>
                <w:rFonts w:ascii="Arial" w:cs="Arial" w:eastAsia="Arial" w:hAnsi="Arial"/>
                <w:sz w:val="11"/>
                <w:szCs w:val="11"/>
                <w:color w:val="auto"/>
              </w:rPr>
              <w:t>131,767,137</w:t>
            </w:r>
          </w:p>
        </w:tc>
        <w:tc>
          <w:tcPr>
            <w:tcW w:w="200" w:type="dxa"/>
            <w:vAlign w:val="bottom"/>
            <w:tcBorders>
              <w:right w:val="single" w:sz="8" w:color="auto"/>
            </w:tcBorders>
          </w:tcPr>
          <w:p>
            <w:pPr>
              <w:spacing w:after="0"/>
              <w:rPr>
                <w:sz w:val="18"/>
                <w:szCs w:val="18"/>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-0.1%</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-3.1%</w:t>
            </w:r>
          </w:p>
        </w:tc>
        <w:tc>
          <w:tcPr>
            <w:tcW w:w="560" w:type="dxa"/>
            <w:vAlign w:val="bottom"/>
          </w:tcPr>
          <w:p>
            <w:pPr>
              <w:spacing w:after="0"/>
              <w:rPr>
                <w:sz w:val="18"/>
                <w:szCs w:val="18"/>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Current</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130,396,010</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125,761,669</w:t>
            </w:r>
          </w:p>
        </w:tc>
        <w:tc>
          <w:tcPr>
            <w:tcW w:w="1000" w:type="dxa"/>
            <w:vAlign w:val="bottom"/>
          </w:tcPr>
          <w:p>
            <w:pPr>
              <w:jc w:val="center"/>
              <w:ind w:left="302"/>
              <w:spacing w:after="0" w:line="122" w:lineRule="exact"/>
              <w:rPr>
                <w:sz w:val="20"/>
                <w:szCs w:val="20"/>
                <w:color w:val="auto"/>
              </w:rPr>
            </w:pPr>
            <w:r>
              <w:rPr>
                <w:rFonts w:ascii="Arial" w:cs="Arial" w:eastAsia="Arial" w:hAnsi="Arial"/>
                <w:sz w:val="11"/>
                <w:szCs w:val="11"/>
                <w:color w:val="auto"/>
              </w:rPr>
              <w:t>125,948,604</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0.1%</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-3.4%</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Internal overdue loans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5,650,432</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6,082,041</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5,818,533</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-4.3%</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3.0%</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Less - allowance for loan losses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(7,408,223)</w:t>
            </w:r>
          </w:p>
        </w:tc>
        <w:tc>
          <w:tcPr>
            <w:tcW w:w="1020" w:type="dxa"/>
            <w:vAlign w:val="bottom"/>
          </w:tcPr>
          <w:p>
            <w:pPr>
              <w:jc w:val="center"/>
              <w:ind w:left="303"/>
              <w:spacing w:after="0" w:line="122" w:lineRule="exact"/>
              <w:rPr>
                <w:sz w:val="20"/>
                <w:szCs w:val="20"/>
                <w:color w:val="auto"/>
              </w:rPr>
            </w:pPr>
            <w:r>
              <w:rPr>
                <w:rFonts w:ascii="Arial" w:cs="Arial" w:eastAsia="Arial" w:hAnsi="Arial"/>
                <w:sz w:val="11"/>
                <w:szCs w:val="11"/>
                <w:color w:val="auto"/>
              </w:rPr>
              <w:t>(7,570,703)</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(7,772,720)</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2.7%</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4.9%</w:t>
            </w:r>
          </w:p>
        </w:tc>
        <w:tc>
          <w:tcPr>
            <w:tcW w:w="560" w:type="dxa"/>
            <w:vAlign w:val="bottom"/>
          </w:tcPr>
          <w:p>
            <w:pPr>
              <w:spacing w:after="0"/>
              <w:rPr>
                <w:sz w:val="10"/>
                <w:szCs w:val="10"/>
                <w:color w:val="auto"/>
              </w:rPr>
            </w:pPr>
          </w:p>
        </w:tc>
      </w:tr>
      <w:tr>
        <w:trPr>
          <w:trHeight w:val="149"/>
        </w:trPr>
        <w:tc>
          <w:tcPr>
            <w:tcW w:w="600" w:type="dxa"/>
            <w:vAlign w:val="bottom"/>
            <w:tcBorders>
              <w:right w:val="single" w:sz="8" w:color="auto"/>
            </w:tcBorders>
          </w:tcPr>
          <w:p>
            <w:pPr>
              <w:spacing w:after="0"/>
              <w:rPr>
                <w:sz w:val="12"/>
                <w:szCs w:val="12"/>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Loans, net</w:t>
            </w:r>
          </w:p>
        </w:tc>
        <w:tc>
          <w:tcPr>
            <w:tcW w:w="1080" w:type="dxa"/>
            <w:vAlign w:val="bottom"/>
            <w:tcBorders>
              <w:right w:val="single" w:sz="8" w:color="auto"/>
            </w:tcBorders>
          </w:tcPr>
          <w:p>
            <w:pPr>
              <w:spacing w:after="0"/>
              <w:rPr>
                <w:sz w:val="12"/>
                <w:szCs w:val="12"/>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128,638,219</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124,273,007</w:t>
            </w:r>
          </w:p>
        </w:tc>
        <w:tc>
          <w:tcPr>
            <w:tcW w:w="1000" w:type="dxa"/>
            <w:vAlign w:val="bottom"/>
          </w:tcPr>
          <w:p>
            <w:pPr>
              <w:jc w:val="center"/>
              <w:ind w:left="302"/>
              <w:spacing w:after="0"/>
              <w:rPr>
                <w:sz w:val="20"/>
                <w:szCs w:val="20"/>
                <w:color w:val="auto"/>
              </w:rPr>
            </w:pPr>
            <w:r>
              <w:rPr>
                <w:rFonts w:ascii="Arial" w:cs="Arial" w:eastAsia="Arial" w:hAnsi="Arial"/>
                <w:sz w:val="11"/>
                <w:szCs w:val="11"/>
                <w:color w:val="auto"/>
              </w:rPr>
              <w:t>123,994,417</w:t>
            </w:r>
          </w:p>
        </w:tc>
        <w:tc>
          <w:tcPr>
            <w:tcW w:w="200" w:type="dxa"/>
            <w:vAlign w:val="bottom"/>
            <w:tcBorders>
              <w:right w:val="single" w:sz="8" w:color="auto"/>
            </w:tcBorders>
          </w:tcPr>
          <w:p>
            <w:pPr>
              <w:spacing w:after="0"/>
              <w:rPr>
                <w:sz w:val="12"/>
                <w:szCs w:val="12"/>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-0.2%</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-3.6%</w:t>
            </w:r>
          </w:p>
        </w:tc>
        <w:tc>
          <w:tcPr>
            <w:tcW w:w="560" w:type="dxa"/>
            <w:vAlign w:val="bottom"/>
          </w:tcPr>
          <w:p>
            <w:pPr>
              <w:spacing w:after="0"/>
              <w:rPr>
                <w:sz w:val="12"/>
                <w:szCs w:val="12"/>
                <w:color w:val="auto"/>
              </w:rPr>
            </w:pPr>
          </w:p>
        </w:tc>
      </w:tr>
      <w:tr>
        <w:trPr>
          <w:trHeight w:val="217"/>
        </w:trPr>
        <w:tc>
          <w:tcPr>
            <w:tcW w:w="600" w:type="dxa"/>
            <w:vAlign w:val="bottom"/>
            <w:tcBorders>
              <w:right w:val="single" w:sz="8" w:color="auto"/>
            </w:tcBorders>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 xml:space="preserve">Property, furniture and equipment, net </w:t>
            </w:r>
            <w:r>
              <w:rPr>
                <w:rFonts w:ascii="Arial" w:cs="Arial" w:eastAsia="Arial" w:hAnsi="Arial"/>
                <w:sz w:val="18"/>
                <w:szCs w:val="18"/>
                <w:color w:val="auto"/>
                <w:vertAlign w:val="superscript"/>
              </w:rPr>
              <w:t>(1)</w:t>
            </w:r>
          </w:p>
        </w:tc>
        <w:tc>
          <w:tcPr>
            <w:tcW w:w="1080" w:type="dxa"/>
            <w:vAlign w:val="bottom"/>
            <w:tcBorders>
              <w:right w:val="single" w:sz="8" w:color="auto"/>
            </w:tcBorders>
          </w:tcPr>
          <w:p>
            <w:pPr>
              <w:spacing w:after="0"/>
              <w:rPr>
                <w:sz w:val="18"/>
                <w:szCs w:val="18"/>
                <w:color w:val="auto"/>
              </w:rPr>
            </w:pPr>
          </w:p>
        </w:tc>
        <w:tc>
          <w:tcPr>
            <w:tcW w:w="800" w:type="dxa"/>
            <w:vAlign w:val="bottom"/>
          </w:tcPr>
          <w:p>
            <w:pPr>
              <w:jc w:val="center"/>
              <w:ind w:left="83"/>
              <w:spacing w:after="0"/>
              <w:rPr>
                <w:sz w:val="20"/>
                <w:szCs w:val="20"/>
                <w:color w:val="auto"/>
              </w:rPr>
            </w:pPr>
            <w:r>
              <w:rPr>
                <w:rFonts w:ascii="Arial" w:cs="Arial" w:eastAsia="Arial" w:hAnsi="Arial"/>
                <w:sz w:val="11"/>
                <w:szCs w:val="11"/>
                <w:color w:val="auto"/>
              </w:rPr>
              <w:t>1,536,875</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1,449,222</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1,559,485</w:t>
            </w:r>
          </w:p>
        </w:tc>
        <w:tc>
          <w:tcPr>
            <w:tcW w:w="200" w:type="dxa"/>
            <w:vAlign w:val="bottom"/>
            <w:tcBorders>
              <w:right w:val="single" w:sz="8" w:color="auto"/>
            </w:tcBorders>
          </w:tcPr>
          <w:p>
            <w:pPr>
              <w:spacing w:after="0"/>
              <w:rPr>
                <w:sz w:val="18"/>
                <w:szCs w:val="18"/>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7.6%</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1.5%</w:t>
            </w:r>
          </w:p>
        </w:tc>
        <w:tc>
          <w:tcPr>
            <w:tcW w:w="560" w:type="dxa"/>
            <w:vAlign w:val="bottom"/>
          </w:tcPr>
          <w:p>
            <w:pPr>
              <w:spacing w:after="0"/>
              <w:rPr>
                <w:sz w:val="18"/>
                <w:szCs w:val="18"/>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Due from customers on acceptances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699,678</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325,771</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412,401</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26.6%</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-41.1%</w:t>
            </w:r>
          </w:p>
        </w:tc>
        <w:tc>
          <w:tcPr>
            <w:tcW w:w="560" w:type="dxa"/>
            <w:vAlign w:val="bottom"/>
          </w:tcPr>
          <w:p>
            <w:pPr>
              <w:spacing w:after="0"/>
              <w:rPr>
                <w:sz w:val="10"/>
                <w:szCs w:val="10"/>
                <w:color w:val="auto"/>
              </w:rPr>
            </w:pPr>
          </w:p>
        </w:tc>
      </w:tr>
      <w:tr>
        <w:trPr>
          <w:trHeight w:val="117"/>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17" w:lineRule="exact"/>
              <w:rPr>
                <w:sz w:val="20"/>
                <w:szCs w:val="20"/>
                <w:color w:val="auto"/>
              </w:rPr>
            </w:pPr>
            <w:r>
              <w:rPr>
                <w:rFonts w:ascii="Arial" w:cs="Arial" w:eastAsia="Arial" w:hAnsi="Arial"/>
                <w:sz w:val="11"/>
                <w:szCs w:val="11"/>
                <w:color w:val="auto"/>
              </w:rPr>
              <w:t>Investments in associates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17" w:lineRule="exact"/>
              <w:rPr>
                <w:sz w:val="20"/>
                <w:szCs w:val="20"/>
                <w:color w:val="auto"/>
              </w:rPr>
            </w:pPr>
            <w:r>
              <w:rPr>
                <w:rFonts w:ascii="Arial" w:cs="Arial" w:eastAsia="Arial" w:hAnsi="Arial"/>
                <w:sz w:val="11"/>
                <w:szCs w:val="11"/>
                <w:color w:val="auto"/>
              </w:rPr>
              <w:t>28,578</w:t>
            </w:r>
          </w:p>
        </w:tc>
        <w:tc>
          <w:tcPr>
            <w:tcW w:w="1020" w:type="dxa"/>
            <w:vAlign w:val="bottom"/>
          </w:tcPr>
          <w:p>
            <w:pPr>
              <w:jc w:val="center"/>
              <w:ind w:left="283"/>
              <w:spacing w:after="0" w:line="117" w:lineRule="exact"/>
              <w:rPr>
                <w:sz w:val="20"/>
                <w:szCs w:val="20"/>
                <w:color w:val="auto"/>
              </w:rPr>
            </w:pPr>
            <w:r>
              <w:rPr>
                <w:rFonts w:ascii="Arial" w:cs="Arial" w:eastAsia="Arial" w:hAnsi="Arial"/>
                <w:sz w:val="11"/>
                <w:szCs w:val="11"/>
                <w:color w:val="auto"/>
              </w:rPr>
              <w:t>17,941</w:t>
            </w:r>
          </w:p>
        </w:tc>
        <w:tc>
          <w:tcPr>
            <w:tcW w:w="1000" w:type="dxa"/>
            <w:vAlign w:val="bottom"/>
          </w:tcPr>
          <w:p>
            <w:pPr>
              <w:jc w:val="center"/>
              <w:ind w:left="282"/>
              <w:spacing w:after="0" w:line="117" w:lineRule="exact"/>
              <w:rPr>
                <w:sz w:val="20"/>
                <w:szCs w:val="20"/>
                <w:color w:val="auto"/>
              </w:rPr>
            </w:pPr>
            <w:r>
              <w:rPr>
                <w:rFonts w:ascii="Arial" w:cs="Arial" w:eastAsia="Arial" w:hAnsi="Arial"/>
                <w:sz w:val="11"/>
                <w:szCs w:val="11"/>
                <w:color w:val="auto"/>
              </w:rPr>
              <w:t>21,426</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43"/>
              <w:spacing w:after="0" w:line="117" w:lineRule="exact"/>
              <w:rPr>
                <w:sz w:val="20"/>
                <w:szCs w:val="20"/>
                <w:color w:val="auto"/>
              </w:rPr>
            </w:pPr>
            <w:r>
              <w:rPr>
                <w:rFonts w:ascii="Arial" w:cs="Arial" w:eastAsia="Arial" w:hAnsi="Arial"/>
                <w:sz w:val="11"/>
                <w:szCs w:val="11"/>
                <w:color w:val="auto"/>
              </w:rPr>
              <w:t>19.4%</w:t>
            </w:r>
          </w:p>
        </w:tc>
        <w:tc>
          <w:tcPr>
            <w:tcW w:w="1320" w:type="dxa"/>
            <w:vAlign w:val="bottom"/>
            <w:tcBorders>
              <w:right w:val="single" w:sz="8" w:color="auto"/>
            </w:tcBorders>
          </w:tcPr>
          <w:p>
            <w:pPr>
              <w:jc w:val="center"/>
              <w:ind w:left="223"/>
              <w:spacing w:after="0" w:line="117" w:lineRule="exact"/>
              <w:rPr>
                <w:sz w:val="20"/>
                <w:szCs w:val="20"/>
                <w:color w:val="auto"/>
              </w:rPr>
            </w:pPr>
            <w:r>
              <w:rPr>
                <w:rFonts w:ascii="Arial" w:cs="Arial" w:eastAsia="Arial" w:hAnsi="Arial"/>
                <w:sz w:val="11"/>
                <w:szCs w:val="11"/>
                <w:color w:val="auto"/>
              </w:rPr>
              <w:t>-25.0%</w:t>
            </w:r>
          </w:p>
        </w:tc>
        <w:tc>
          <w:tcPr>
            <w:tcW w:w="560" w:type="dxa"/>
            <w:vAlign w:val="bottom"/>
          </w:tcPr>
          <w:p>
            <w:pPr>
              <w:spacing w:after="0"/>
              <w:rPr>
                <w:sz w:val="10"/>
                <w:szCs w:val="10"/>
                <w:color w:val="auto"/>
              </w:rPr>
            </w:pPr>
          </w:p>
        </w:tc>
      </w:tr>
      <w:tr>
        <w:trPr>
          <w:trHeight w:val="249"/>
        </w:trPr>
        <w:tc>
          <w:tcPr>
            <w:tcW w:w="600" w:type="dxa"/>
            <w:vAlign w:val="bottom"/>
            <w:tcBorders>
              <w:right w:val="single" w:sz="8" w:color="auto"/>
            </w:tcBorders>
          </w:tcPr>
          <w:p>
            <w:pPr>
              <w:spacing w:after="0"/>
              <w:rPr>
                <w:sz w:val="21"/>
                <w:szCs w:val="21"/>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 xml:space="preserve">Other assets </w:t>
            </w:r>
            <w:r>
              <w:rPr>
                <w:rFonts w:ascii="Arial" w:cs="Arial" w:eastAsia="Arial" w:hAnsi="Arial"/>
                <w:sz w:val="18"/>
                <w:szCs w:val="18"/>
                <w:color w:val="auto"/>
                <w:vertAlign w:val="superscript"/>
              </w:rPr>
              <w:t>(2)</w:t>
            </w:r>
          </w:p>
        </w:tc>
        <w:tc>
          <w:tcPr>
            <w:tcW w:w="1080" w:type="dxa"/>
            <w:vAlign w:val="bottom"/>
            <w:tcBorders>
              <w:right w:val="single" w:sz="8" w:color="auto"/>
            </w:tcBorders>
          </w:tcPr>
          <w:p>
            <w:pPr>
              <w:spacing w:after="0"/>
              <w:rPr>
                <w:sz w:val="21"/>
                <w:szCs w:val="21"/>
                <w:color w:val="auto"/>
              </w:rPr>
            </w:pPr>
          </w:p>
        </w:tc>
        <w:tc>
          <w:tcPr>
            <w:tcW w:w="800" w:type="dxa"/>
            <w:vAlign w:val="bottom"/>
          </w:tcPr>
          <w:p>
            <w:pPr>
              <w:jc w:val="center"/>
              <w:ind w:left="83"/>
              <w:spacing w:after="0"/>
              <w:rPr>
                <w:sz w:val="20"/>
                <w:szCs w:val="20"/>
                <w:color w:val="auto"/>
              </w:rPr>
            </w:pPr>
            <w:r>
              <w:rPr>
                <w:rFonts w:ascii="Arial" w:cs="Arial" w:eastAsia="Arial" w:hAnsi="Arial"/>
                <w:sz w:val="11"/>
                <w:szCs w:val="11"/>
                <w:color w:val="auto"/>
              </w:rPr>
              <w:t>5,662,055</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7,736,054</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6,510,227</w:t>
            </w:r>
          </w:p>
        </w:tc>
        <w:tc>
          <w:tcPr>
            <w:tcW w:w="200" w:type="dxa"/>
            <w:vAlign w:val="bottom"/>
            <w:tcBorders>
              <w:right w:val="single" w:sz="8" w:color="auto"/>
            </w:tcBorders>
          </w:tcPr>
          <w:p>
            <w:pPr>
              <w:spacing w:after="0"/>
              <w:rPr>
                <w:sz w:val="21"/>
                <w:szCs w:val="21"/>
                <w:color w:val="auto"/>
              </w:rPr>
            </w:pPr>
          </w:p>
        </w:tc>
        <w:tc>
          <w:tcPr>
            <w:tcW w:w="700" w:type="dxa"/>
            <w:vAlign w:val="bottom"/>
          </w:tcPr>
          <w:p>
            <w:pPr>
              <w:jc w:val="center"/>
              <w:ind w:left="243"/>
              <w:spacing w:after="0"/>
              <w:rPr>
                <w:sz w:val="20"/>
                <w:szCs w:val="20"/>
                <w:color w:val="auto"/>
              </w:rPr>
            </w:pPr>
            <w:r>
              <w:rPr>
                <w:rFonts w:ascii="Arial" w:cs="Arial" w:eastAsia="Arial" w:hAnsi="Arial"/>
                <w:sz w:val="11"/>
                <w:szCs w:val="11"/>
                <w:color w:val="auto"/>
              </w:rPr>
              <w:t>-15.8%</w:t>
            </w:r>
          </w:p>
        </w:tc>
        <w:tc>
          <w:tcPr>
            <w:tcW w:w="1320" w:type="dxa"/>
            <w:vAlign w:val="bottom"/>
            <w:tcBorders>
              <w:right w:val="single" w:sz="8" w:color="auto"/>
            </w:tcBorders>
          </w:tcPr>
          <w:p>
            <w:pPr>
              <w:jc w:val="center"/>
              <w:ind w:left="223"/>
              <w:spacing w:after="0"/>
              <w:rPr>
                <w:sz w:val="20"/>
                <w:szCs w:val="20"/>
                <w:color w:val="auto"/>
              </w:rPr>
            </w:pPr>
            <w:r>
              <w:rPr>
                <w:rFonts w:ascii="Arial" w:cs="Arial" w:eastAsia="Arial" w:hAnsi="Arial"/>
                <w:sz w:val="11"/>
                <w:szCs w:val="11"/>
                <w:color w:val="auto"/>
              </w:rPr>
              <w:t>15.0%</w:t>
            </w:r>
          </w:p>
        </w:tc>
        <w:tc>
          <w:tcPr>
            <w:tcW w:w="560" w:type="dxa"/>
            <w:vAlign w:val="bottom"/>
          </w:tcPr>
          <w:p>
            <w:pPr>
              <w:spacing w:after="0"/>
              <w:rPr>
                <w:sz w:val="21"/>
                <w:szCs w:val="21"/>
                <w:color w:val="auto"/>
              </w:rPr>
            </w:pPr>
          </w:p>
        </w:tc>
      </w:tr>
      <w:tr>
        <w:trPr>
          <w:trHeight w:val="155"/>
        </w:trPr>
        <w:tc>
          <w:tcPr>
            <w:tcW w:w="600" w:type="dxa"/>
            <w:vAlign w:val="bottom"/>
            <w:tcBorders>
              <w:right w:val="single" w:sz="8" w:color="auto"/>
            </w:tcBorders>
          </w:tcPr>
          <w:p>
            <w:pPr>
              <w:spacing w:after="0"/>
              <w:rPr>
                <w:sz w:val="13"/>
                <w:szCs w:val="13"/>
                <w:color w:val="auto"/>
              </w:rPr>
            </w:pPr>
          </w:p>
        </w:tc>
        <w:tc>
          <w:tcPr>
            <w:tcW w:w="3980" w:type="dxa"/>
            <w:vAlign w:val="bottom"/>
          </w:tcPr>
          <w:p>
            <w:pPr>
              <w:jc w:val="center"/>
              <w:ind w:left="963"/>
              <w:spacing w:after="0"/>
              <w:rPr>
                <w:sz w:val="20"/>
                <w:szCs w:val="20"/>
                <w:color w:val="auto"/>
              </w:rPr>
            </w:pPr>
            <w:r>
              <w:rPr>
                <w:rFonts w:ascii="Arial" w:cs="Arial" w:eastAsia="Arial" w:hAnsi="Arial"/>
                <w:sz w:val="11"/>
                <w:szCs w:val="11"/>
                <w:b w:val="1"/>
                <w:bCs w:val="1"/>
                <w:color w:val="auto"/>
              </w:rPr>
              <w:t>Total Assets</w:t>
            </w:r>
          </w:p>
        </w:tc>
        <w:tc>
          <w:tcPr>
            <w:tcW w:w="1080" w:type="dxa"/>
            <w:vAlign w:val="bottom"/>
            <w:tcBorders>
              <w:right w:val="single" w:sz="8" w:color="auto"/>
            </w:tcBorders>
          </w:tcPr>
          <w:p>
            <w:pPr>
              <w:spacing w:after="0"/>
              <w:rPr>
                <w:sz w:val="13"/>
                <w:szCs w:val="13"/>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b w:val="1"/>
                <w:bCs w:val="1"/>
                <w:color w:val="auto"/>
              </w:rPr>
              <w:t>193,278,232</w:t>
            </w:r>
          </w:p>
        </w:tc>
        <w:tc>
          <w:tcPr>
            <w:tcW w:w="1020" w:type="dxa"/>
            <w:vAlign w:val="bottom"/>
          </w:tcPr>
          <w:p>
            <w:pPr>
              <w:jc w:val="center"/>
              <w:ind w:left="283"/>
              <w:spacing w:after="0"/>
              <w:rPr>
                <w:sz w:val="20"/>
                <w:szCs w:val="20"/>
                <w:color w:val="auto"/>
              </w:rPr>
            </w:pPr>
            <w:r>
              <w:rPr>
                <w:rFonts w:ascii="Arial" w:cs="Arial" w:eastAsia="Arial" w:hAnsi="Arial"/>
                <w:sz w:val="11"/>
                <w:szCs w:val="11"/>
                <w:b w:val="1"/>
                <w:bCs w:val="1"/>
                <w:color w:val="auto"/>
              </w:rPr>
              <w:t>194,359,765</w:t>
            </w:r>
          </w:p>
        </w:tc>
        <w:tc>
          <w:tcPr>
            <w:tcW w:w="1000" w:type="dxa"/>
            <w:vAlign w:val="bottom"/>
          </w:tcPr>
          <w:p>
            <w:pPr>
              <w:jc w:val="center"/>
              <w:ind w:left="302"/>
              <w:spacing w:after="0"/>
              <w:rPr>
                <w:sz w:val="20"/>
                <w:szCs w:val="20"/>
                <w:color w:val="auto"/>
              </w:rPr>
            </w:pPr>
            <w:r>
              <w:rPr>
                <w:rFonts w:ascii="Arial" w:cs="Arial" w:eastAsia="Arial" w:hAnsi="Arial"/>
                <w:sz w:val="11"/>
                <w:szCs w:val="11"/>
                <w:b w:val="1"/>
                <w:bCs w:val="1"/>
                <w:color w:val="auto"/>
              </w:rPr>
              <w:t>193,804,855</w:t>
            </w:r>
          </w:p>
        </w:tc>
        <w:tc>
          <w:tcPr>
            <w:tcW w:w="200" w:type="dxa"/>
            <w:vAlign w:val="bottom"/>
            <w:tcBorders>
              <w:right w:val="single" w:sz="8" w:color="auto"/>
            </w:tcBorders>
          </w:tcPr>
          <w:p>
            <w:pPr>
              <w:spacing w:after="0"/>
              <w:rPr>
                <w:sz w:val="13"/>
                <w:szCs w:val="13"/>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b w:val="1"/>
                <w:bCs w:val="1"/>
                <w:color w:val="auto"/>
              </w:rPr>
              <w:t>-0.3%</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0.3%</w:t>
            </w:r>
          </w:p>
        </w:tc>
        <w:tc>
          <w:tcPr>
            <w:tcW w:w="560" w:type="dxa"/>
            <w:vAlign w:val="bottom"/>
          </w:tcPr>
          <w:p>
            <w:pPr>
              <w:spacing w:after="0"/>
              <w:rPr>
                <w:sz w:val="13"/>
                <w:szCs w:val="13"/>
                <w:color w:val="auto"/>
              </w:rPr>
            </w:pPr>
          </w:p>
        </w:tc>
      </w:tr>
      <w:tr>
        <w:trPr>
          <w:trHeight w:val="211"/>
        </w:trPr>
        <w:tc>
          <w:tcPr>
            <w:tcW w:w="600" w:type="dxa"/>
            <w:vAlign w:val="bottom"/>
            <w:tcBorders>
              <w:right w:val="single" w:sz="8" w:color="auto"/>
            </w:tcBorders>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1"/>
                <w:szCs w:val="11"/>
                <w:b w:val="1"/>
                <w:bCs w:val="1"/>
                <w:color w:val="auto"/>
              </w:rPr>
              <w:t>Liabilities and Equity</w:t>
            </w:r>
          </w:p>
        </w:tc>
        <w:tc>
          <w:tcPr>
            <w:tcW w:w="10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17"/>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17" w:lineRule="exact"/>
              <w:rPr>
                <w:sz w:val="20"/>
                <w:szCs w:val="20"/>
                <w:color w:val="auto"/>
              </w:rPr>
            </w:pPr>
            <w:r>
              <w:rPr>
                <w:rFonts w:ascii="Arial" w:cs="Arial" w:eastAsia="Arial" w:hAnsi="Arial"/>
                <w:sz w:val="11"/>
                <w:szCs w:val="11"/>
                <w:color w:val="auto"/>
              </w:rPr>
              <w:t>Deposits and obligations</w:t>
            </w:r>
          </w:p>
        </w:tc>
        <w:tc>
          <w:tcPr>
            <w:tcW w:w="108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9"/>
                <w:szCs w:val="9"/>
                <w:color w:val="auto"/>
              </w:rPr>
              <w:t xml:space="preserve">Non-interest bearing </w:t>
            </w:r>
            <w:r>
              <w:rPr>
                <w:rFonts w:ascii="Arial" w:cs="Arial" w:eastAsia="Arial" w:hAnsi="Arial"/>
                <w:sz w:val="14"/>
                <w:szCs w:val="14"/>
                <w:color w:val="auto"/>
                <w:vertAlign w:val="superscript"/>
              </w:rPr>
              <w:t>(1)</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39,399,007</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36,743,810</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39,377,289</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7.2%</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-0.1%</w:t>
            </w:r>
          </w:p>
        </w:tc>
        <w:tc>
          <w:tcPr>
            <w:tcW w:w="560" w:type="dxa"/>
            <w:vAlign w:val="bottom"/>
          </w:tcPr>
          <w:p>
            <w:pPr>
              <w:spacing w:after="0"/>
              <w:rPr>
                <w:sz w:val="10"/>
                <w:szCs w:val="10"/>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980" w:type="dxa"/>
            <w:vAlign w:val="bottom"/>
          </w:tcPr>
          <w:p>
            <w:pPr>
              <w:ind w:left="60"/>
              <w:spacing w:after="0" w:line="127" w:lineRule="exact"/>
              <w:rPr>
                <w:sz w:val="20"/>
                <w:szCs w:val="20"/>
                <w:color w:val="auto"/>
              </w:rPr>
            </w:pPr>
            <w:r>
              <w:rPr>
                <w:rFonts w:ascii="Arial" w:cs="Arial" w:eastAsia="Arial" w:hAnsi="Arial"/>
                <w:sz w:val="9"/>
                <w:szCs w:val="9"/>
                <w:color w:val="auto"/>
              </w:rPr>
              <w:t xml:space="preserve">Interest bearing </w:t>
            </w:r>
            <w:r>
              <w:rPr>
                <w:rFonts w:ascii="Arial" w:cs="Arial" w:eastAsia="Arial" w:hAnsi="Arial"/>
                <w:sz w:val="14"/>
                <w:szCs w:val="14"/>
                <w:color w:val="auto"/>
                <w:vertAlign w:val="superscript"/>
              </w:rPr>
              <w:t>(1)</w:t>
            </w:r>
          </w:p>
        </w:tc>
        <w:tc>
          <w:tcPr>
            <w:tcW w:w="1080" w:type="dxa"/>
            <w:vAlign w:val="bottom"/>
            <w:tcBorders>
              <w:right w:val="single" w:sz="8" w:color="auto"/>
            </w:tcBorders>
          </w:tcPr>
          <w:p>
            <w:pPr>
              <w:spacing w:after="0"/>
              <w:rPr>
                <w:sz w:val="11"/>
                <w:szCs w:val="11"/>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90,420,659</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95,597,397</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92,931,227</w:t>
            </w:r>
          </w:p>
        </w:tc>
        <w:tc>
          <w:tcPr>
            <w:tcW w:w="200" w:type="dxa"/>
            <w:vAlign w:val="bottom"/>
            <w:tcBorders>
              <w:right w:val="single" w:sz="8" w:color="auto"/>
            </w:tcBorders>
          </w:tcPr>
          <w:p>
            <w:pPr>
              <w:spacing w:after="0"/>
              <w:rPr>
                <w:sz w:val="11"/>
                <w:szCs w:val="11"/>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-2.8%</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2.8%</w:t>
            </w:r>
          </w:p>
        </w:tc>
        <w:tc>
          <w:tcPr>
            <w:tcW w:w="560" w:type="dxa"/>
            <w:vAlign w:val="bottom"/>
          </w:tcPr>
          <w:p>
            <w:pPr>
              <w:spacing w:after="0"/>
              <w:rPr>
                <w:sz w:val="11"/>
                <w:szCs w:val="11"/>
                <w:color w:val="auto"/>
              </w:rPr>
            </w:pPr>
          </w:p>
        </w:tc>
      </w:tr>
      <w:tr>
        <w:trPr>
          <w:trHeight w:val="149"/>
        </w:trPr>
        <w:tc>
          <w:tcPr>
            <w:tcW w:w="600" w:type="dxa"/>
            <w:vAlign w:val="bottom"/>
            <w:tcBorders>
              <w:right w:val="single" w:sz="8" w:color="auto"/>
            </w:tcBorders>
          </w:tcPr>
          <w:p>
            <w:pPr>
              <w:spacing w:after="0"/>
              <w:rPr>
                <w:sz w:val="12"/>
                <w:szCs w:val="12"/>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Total deposits and obligations</w:t>
            </w:r>
          </w:p>
        </w:tc>
        <w:tc>
          <w:tcPr>
            <w:tcW w:w="1080" w:type="dxa"/>
            <w:vAlign w:val="bottom"/>
            <w:tcBorders>
              <w:right w:val="single" w:sz="8" w:color="auto"/>
            </w:tcBorders>
          </w:tcPr>
          <w:p>
            <w:pPr>
              <w:spacing w:after="0"/>
              <w:rPr>
                <w:sz w:val="12"/>
                <w:szCs w:val="12"/>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129,819,666</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132,341,207</w:t>
            </w:r>
          </w:p>
        </w:tc>
        <w:tc>
          <w:tcPr>
            <w:tcW w:w="1000" w:type="dxa"/>
            <w:vAlign w:val="bottom"/>
          </w:tcPr>
          <w:p>
            <w:pPr>
              <w:jc w:val="center"/>
              <w:ind w:left="302"/>
              <w:spacing w:after="0"/>
              <w:rPr>
                <w:sz w:val="20"/>
                <w:szCs w:val="20"/>
                <w:color w:val="auto"/>
              </w:rPr>
            </w:pPr>
            <w:r>
              <w:rPr>
                <w:rFonts w:ascii="Arial" w:cs="Arial" w:eastAsia="Arial" w:hAnsi="Arial"/>
                <w:sz w:val="11"/>
                <w:szCs w:val="11"/>
                <w:color w:val="auto"/>
              </w:rPr>
              <w:t>132,308,516</w:t>
            </w:r>
          </w:p>
        </w:tc>
        <w:tc>
          <w:tcPr>
            <w:tcW w:w="200" w:type="dxa"/>
            <w:vAlign w:val="bottom"/>
            <w:tcBorders>
              <w:right w:val="single" w:sz="8" w:color="auto"/>
            </w:tcBorders>
          </w:tcPr>
          <w:p>
            <w:pPr>
              <w:spacing w:after="0"/>
              <w:rPr>
                <w:sz w:val="12"/>
                <w:szCs w:val="12"/>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0.0%</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1.9%</w:t>
            </w:r>
          </w:p>
        </w:tc>
        <w:tc>
          <w:tcPr>
            <w:tcW w:w="560" w:type="dxa"/>
            <w:vAlign w:val="bottom"/>
          </w:tcPr>
          <w:p>
            <w:pPr>
              <w:spacing w:after="0"/>
              <w:rPr>
                <w:sz w:val="12"/>
                <w:szCs w:val="12"/>
                <w:color w:val="auto"/>
              </w:rPr>
            </w:pPr>
          </w:p>
        </w:tc>
      </w:tr>
      <w:tr>
        <w:trPr>
          <w:trHeight w:val="217"/>
        </w:trPr>
        <w:tc>
          <w:tcPr>
            <w:tcW w:w="600" w:type="dxa"/>
            <w:vAlign w:val="bottom"/>
            <w:tcBorders>
              <w:right w:val="single" w:sz="8" w:color="auto"/>
            </w:tcBorders>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Payables from repurchase agreements and securities lending</w:t>
            </w:r>
          </w:p>
        </w:tc>
        <w:tc>
          <w:tcPr>
            <w:tcW w:w="1080" w:type="dxa"/>
            <w:vAlign w:val="bottom"/>
            <w:tcBorders>
              <w:right w:val="single" w:sz="8" w:color="auto"/>
            </w:tcBorders>
          </w:tcPr>
          <w:p>
            <w:pPr>
              <w:spacing w:after="0"/>
              <w:rPr>
                <w:sz w:val="18"/>
                <w:szCs w:val="18"/>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11,843,594</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10,155,810</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8,005,844</w:t>
            </w:r>
          </w:p>
        </w:tc>
        <w:tc>
          <w:tcPr>
            <w:tcW w:w="200" w:type="dxa"/>
            <w:vAlign w:val="bottom"/>
            <w:tcBorders>
              <w:right w:val="single" w:sz="8" w:color="auto"/>
            </w:tcBorders>
          </w:tcPr>
          <w:p>
            <w:pPr>
              <w:spacing w:after="0"/>
              <w:rPr>
                <w:sz w:val="18"/>
                <w:szCs w:val="18"/>
                <w:color w:val="auto"/>
              </w:rPr>
            </w:pPr>
          </w:p>
        </w:tc>
        <w:tc>
          <w:tcPr>
            <w:tcW w:w="700" w:type="dxa"/>
            <w:vAlign w:val="bottom"/>
          </w:tcPr>
          <w:p>
            <w:pPr>
              <w:jc w:val="center"/>
              <w:ind w:left="243"/>
              <w:spacing w:after="0"/>
              <w:rPr>
                <w:sz w:val="20"/>
                <w:szCs w:val="20"/>
                <w:color w:val="auto"/>
              </w:rPr>
            </w:pPr>
            <w:r>
              <w:rPr>
                <w:rFonts w:ascii="Arial" w:cs="Arial" w:eastAsia="Arial" w:hAnsi="Arial"/>
                <w:sz w:val="11"/>
                <w:szCs w:val="11"/>
                <w:color w:val="auto"/>
              </w:rPr>
              <w:t>-21.2%</w:t>
            </w:r>
          </w:p>
        </w:tc>
        <w:tc>
          <w:tcPr>
            <w:tcW w:w="1320" w:type="dxa"/>
            <w:vAlign w:val="bottom"/>
            <w:tcBorders>
              <w:right w:val="single" w:sz="8" w:color="auto"/>
            </w:tcBorders>
          </w:tcPr>
          <w:p>
            <w:pPr>
              <w:jc w:val="center"/>
              <w:ind w:left="223"/>
              <w:spacing w:after="0"/>
              <w:rPr>
                <w:sz w:val="20"/>
                <w:szCs w:val="20"/>
                <w:color w:val="auto"/>
              </w:rPr>
            </w:pPr>
            <w:r>
              <w:rPr>
                <w:rFonts w:ascii="Arial" w:cs="Arial" w:eastAsia="Arial" w:hAnsi="Arial"/>
                <w:sz w:val="11"/>
                <w:szCs w:val="11"/>
                <w:color w:val="auto"/>
              </w:rPr>
              <w:t>-32.4%</w:t>
            </w:r>
          </w:p>
        </w:tc>
        <w:tc>
          <w:tcPr>
            <w:tcW w:w="560" w:type="dxa"/>
            <w:vAlign w:val="bottom"/>
          </w:tcPr>
          <w:p>
            <w:pPr>
              <w:spacing w:after="0"/>
              <w:rPr>
                <w:sz w:val="18"/>
                <w:szCs w:val="18"/>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BCRP instruments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11,297,659</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9,616,150</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7,461,674</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-22.4%</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-34.0%</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Repurchase agreements with third parties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545,935</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539,660</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544,170</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0.8%</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-0.3%</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jc w:val="right"/>
              <w:ind w:right="883"/>
              <w:spacing w:after="0" w:line="122" w:lineRule="exact"/>
              <w:rPr>
                <w:sz w:val="20"/>
                <w:szCs w:val="20"/>
                <w:color w:val="auto"/>
              </w:rPr>
            </w:pPr>
            <w:r>
              <w:rPr>
                <w:rFonts w:ascii="Arial" w:cs="Arial" w:eastAsia="Arial" w:hAnsi="Arial"/>
                <w:sz w:val="11"/>
                <w:szCs w:val="11"/>
                <w:color w:val="FFFFFF"/>
                <w:w w:val="97"/>
              </w:rPr>
              <w:t>0</w:t>
            </w:r>
          </w:p>
        </w:tc>
        <w:tc>
          <w:tcPr>
            <w:tcW w:w="1000" w:type="dxa"/>
            <w:vAlign w:val="bottom"/>
          </w:tcPr>
          <w:p>
            <w:pPr>
              <w:jc w:val="right"/>
              <w:ind w:right="862"/>
              <w:spacing w:after="0" w:line="122" w:lineRule="exact"/>
              <w:rPr>
                <w:sz w:val="20"/>
                <w:szCs w:val="20"/>
                <w:color w:val="auto"/>
              </w:rPr>
            </w:pPr>
            <w:r>
              <w:rPr>
                <w:rFonts w:ascii="Arial" w:cs="Arial" w:eastAsia="Arial" w:hAnsi="Arial"/>
                <w:sz w:val="11"/>
                <w:szCs w:val="11"/>
                <w:color w:val="FFFFFF"/>
                <w:w w:val="97"/>
              </w:rPr>
              <w:t>0</w:t>
            </w:r>
          </w:p>
        </w:tc>
        <w:tc>
          <w:tcPr>
            <w:tcW w:w="20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FFFFFF"/>
              </w:rPr>
              <w:t>0</w:t>
            </w:r>
          </w:p>
        </w:tc>
        <w:tc>
          <w:tcPr>
            <w:tcW w:w="70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Due to banks and correspondents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8,539,195</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10,116,035</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w w:val="98"/>
              </w:rPr>
              <w:t>11,870,116</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17.3%</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39.0%</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Bonds and notes issued</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13,840,114</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11,250,454</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10,961,427</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-2.6%</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-20.8%</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Banker’s acceptances outstanding</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699,678</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325,771</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412,401</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26.6%</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-41.1%</w:t>
            </w:r>
          </w:p>
        </w:tc>
        <w:tc>
          <w:tcPr>
            <w:tcW w:w="560" w:type="dxa"/>
            <w:vAlign w:val="bottom"/>
          </w:tcPr>
          <w:p>
            <w:pPr>
              <w:spacing w:after="0"/>
              <w:rPr>
                <w:sz w:val="10"/>
                <w:szCs w:val="10"/>
                <w:color w:val="auto"/>
              </w:rPr>
            </w:pPr>
          </w:p>
        </w:tc>
      </w:tr>
      <w:tr>
        <w:trPr>
          <w:trHeight w:val="117"/>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17" w:lineRule="exact"/>
              <w:rPr>
                <w:sz w:val="20"/>
                <w:szCs w:val="20"/>
                <w:color w:val="auto"/>
              </w:rPr>
            </w:pPr>
            <w:r>
              <w:rPr>
                <w:rFonts w:ascii="Arial" w:cs="Arial" w:eastAsia="Arial" w:hAnsi="Arial"/>
                <w:sz w:val="11"/>
                <w:szCs w:val="11"/>
                <w:color w:val="auto"/>
              </w:rPr>
              <w:t>Financial liabilities at fair value through profit or loss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17" w:lineRule="exact"/>
              <w:rPr>
                <w:sz w:val="20"/>
                <w:szCs w:val="20"/>
                <w:color w:val="auto"/>
              </w:rPr>
            </w:pPr>
            <w:r>
              <w:rPr>
                <w:rFonts w:ascii="Arial" w:cs="Arial" w:eastAsia="Arial" w:hAnsi="Arial"/>
                <w:sz w:val="11"/>
                <w:szCs w:val="11"/>
                <w:color w:val="auto"/>
              </w:rPr>
              <w:t>7,669</w:t>
            </w:r>
          </w:p>
        </w:tc>
        <w:tc>
          <w:tcPr>
            <w:tcW w:w="1020" w:type="dxa"/>
            <w:vAlign w:val="bottom"/>
          </w:tcPr>
          <w:p>
            <w:pPr>
              <w:jc w:val="center"/>
              <w:ind w:left="283"/>
              <w:spacing w:after="0" w:line="117" w:lineRule="exact"/>
              <w:rPr>
                <w:sz w:val="20"/>
                <w:szCs w:val="20"/>
                <w:color w:val="auto"/>
              </w:rPr>
            </w:pPr>
            <w:r>
              <w:rPr>
                <w:rFonts w:ascii="Arial" w:cs="Arial" w:eastAsia="Arial" w:hAnsi="Arial"/>
                <w:sz w:val="11"/>
                <w:szCs w:val="11"/>
                <w:color w:val="auto"/>
              </w:rPr>
              <w:t>42,768</w:t>
            </w:r>
          </w:p>
        </w:tc>
        <w:tc>
          <w:tcPr>
            <w:tcW w:w="1000" w:type="dxa"/>
            <w:vAlign w:val="bottom"/>
          </w:tcPr>
          <w:p>
            <w:pPr>
              <w:jc w:val="center"/>
              <w:ind w:left="282"/>
              <w:spacing w:after="0" w:line="117" w:lineRule="exact"/>
              <w:rPr>
                <w:sz w:val="20"/>
                <w:szCs w:val="20"/>
                <w:color w:val="auto"/>
              </w:rPr>
            </w:pPr>
            <w:r>
              <w:rPr>
                <w:rFonts w:ascii="Arial" w:cs="Arial" w:eastAsia="Arial" w:hAnsi="Arial"/>
                <w:sz w:val="11"/>
                <w:szCs w:val="11"/>
                <w:color w:val="auto"/>
              </w:rPr>
              <w:t>91,966</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17" w:lineRule="exact"/>
              <w:rPr>
                <w:sz w:val="20"/>
                <w:szCs w:val="20"/>
                <w:color w:val="auto"/>
              </w:rPr>
            </w:pPr>
            <w:r>
              <w:rPr>
                <w:rFonts w:ascii="Arial" w:cs="Arial" w:eastAsia="Arial" w:hAnsi="Arial"/>
                <w:sz w:val="11"/>
                <w:szCs w:val="11"/>
                <w:color w:val="auto"/>
              </w:rPr>
              <w:t>115.0%</w:t>
            </w:r>
          </w:p>
        </w:tc>
        <w:tc>
          <w:tcPr>
            <w:tcW w:w="1320" w:type="dxa"/>
            <w:vAlign w:val="bottom"/>
            <w:tcBorders>
              <w:right w:val="single" w:sz="8" w:color="auto"/>
            </w:tcBorders>
          </w:tcPr>
          <w:p>
            <w:pPr>
              <w:jc w:val="center"/>
              <w:ind w:left="203"/>
              <w:spacing w:after="0" w:line="117" w:lineRule="exact"/>
              <w:rPr>
                <w:sz w:val="20"/>
                <w:szCs w:val="20"/>
                <w:color w:val="auto"/>
              </w:rPr>
            </w:pPr>
            <w:r>
              <w:rPr>
                <w:rFonts w:ascii="Arial" w:cs="Arial" w:eastAsia="Arial" w:hAnsi="Arial"/>
                <w:sz w:val="11"/>
                <w:szCs w:val="11"/>
                <w:color w:val="auto"/>
                <w:w w:val="97"/>
              </w:rPr>
              <w:t>n.a.</w:t>
            </w:r>
          </w:p>
        </w:tc>
        <w:tc>
          <w:tcPr>
            <w:tcW w:w="560" w:type="dxa"/>
            <w:vAlign w:val="bottom"/>
          </w:tcPr>
          <w:p>
            <w:pPr>
              <w:spacing w:after="0"/>
              <w:rPr>
                <w:sz w:val="10"/>
                <w:szCs w:val="10"/>
                <w:color w:val="auto"/>
              </w:rPr>
            </w:pPr>
          </w:p>
        </w:tc>
      </w:tr>
      <w:tr>
        <w:trPr>
          <w:trHeight w:val="127"/>
        </w:trPr>
        <w:tc>
          <w:tcPr>
            <w:tcW w:w="600" w:type="dxa"/>
            <w:vAlign w:val="bottom"/>
            <w:tcBorders>
              <w:right w:val="single" w:sz="8" w:color="auto"/>
            </w:tcBorders>
          </w:tcPr>
          <w:p>
            <w:pPr>
              <w:spacing w:after="0"/>
              <w:rPr>
                <w:sz w:val="11"/>
                <w:szCs w:val="11"/>
                <w:color w:val="auto"/>
              </w:rPr>
            </w:pPr>
          </w:p>
        </w:tc>
        <w:tc>
          <w:tcPr>
            <w:tcW w:w="3980" w:type="dxa"/>
            <w:vAlign w:val="bottom"/>
          </w:tcPr>
          <w:p>
            <w:pPr>
              <w:ind w:left="60"/>
              <w:spacing w:after="0" w:line="127" w:lineRule="exact"/>
              <w:rPr>
                <w:sz w:val="20"/>
                <w:szCs w:val="20"/>
                <w:color w:val="auto"/>
              </w:rPr>
            </w:pPr>
            <w:r>
              <w:rPr>
                <w:rFonts w:ascii="Arial" w:cs="Arial" w:eastAsia="Arial" w:hAnsi="Arial"/>
                <w:sz w:val="9"/>
                <w:szCs w:val="9"/>
                <w:color w:val="auto"/>
              </w:rPr>
              <w:t xml:space="preserve">Other liabilities </w:t>
            </w:r>
            <w:r>
              <w:rPr>
                <w:rFonts w:ascii="Arial" w:cs="Arial" w:eastAsia="Arial" w:hAnsi="Arial"/>
                <w:sz w:val="14"/>
                <w:szCs w:val="14"/>
                <w:color w:val="auto"/>
                <w:vertAlign w:val="superscript"/>
              </w:rPr>
              <w:t>(3)</w:t>
            </w:r>
          </w:p>
        </w:tc>
        <w:tc>
          <w:tcPr>
            <w:tcW w:w="1080" w:type="dxa"/>
            <w:vAlign w:val="bottom"/>
            <w:tcBorders>
              <w:right w:val="single" w:sz="8" w:color="auto"/>
            </w:tcBorders>
          </w:tcPr>
          <w:p>
            <w:pPr>
              <w:spacing w:after="0"/>
              <w:rPr>
                <w:sz w:val="11"/>
                <w:szCs w:val="11"/>
                <w:color w:val="auto"/>
              </w:rPr>
            </w:pPr>
          </w:p>
        </w:tc>
        <w:tc>
          <w:tcPr>
            <w:tcW w:w="800" w:type="dxa"/>
            <w:vAlign w:val="bottom"/>
          </w:tcPr>
          <w:p>
            <w:pPr>
              <w:jc w:val="center"/>
              <w:ind w:left="83"/>
              <w:spacing w:after="0"/>
              <w:rPr>
                <w:sz w:val="20"/>
                <w:szCs w:val="20"/>
                <w:color w:val="auto"/>
              </w:rPr>
            </w:pPr>
            <w:r>
              <w:rPr>
                <w:rFonts w:ascii="Arial" w:cs="Arial" w:eastAsia="Arial" w:hAnsi="Arial"/>
                <w:sz w:val="11"/>
                <w:szCs w:val="11"/>
                <w:color w:val="auto"/>
              </w:rPr>
              <w:t>5,256,079</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5,741,077</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4,995,178</w:t>
            </w:r>
          </w:p>
        </w:tc>
        <w:tc>
          <w:tcPr>
            <w:tcW w:w="200" w:type="dxa"/>
            <w:vAlign w:val="bottom"/>
            <w:tcBorders>
              <w:right w:val="single" w:sz="8" w:color="auto"/>
            </w:tcBorders>
          </w:tcPr>
          <w:p>
            <w:pPr>
              <w:spacing w:after="0"/>
              <w:rPr>
                <w:sz w:val="11"/>
                <w:szCs w:val="11"/>
                <w:color w:val="auto"/>
              </w:rPr>
            </w:pPr>
          </w:p>
        </w:tc>
        <w:tc>
          <w:tcPr>
            <w:tcW w:w="700" w:type="dxa"/>
            <w:vAlign w:val="bottom"/>
          </w:tcPr>
          <w:p>
            <w:pPr>
              <w:jc w:val="center"/>
              <w:ind w:left="243"/>
              <w:spacing w:after="0"/>
              <w:rPr>
                <w:sz w:val="20"/>
                <w:szCs w:val="20"/>
                <w:color w:val="auto"/>
              </w:rPr>
            </w:pPr>
            <w:r>
              <w:rPr>
                <w:rFonts w:ascii="Arial" w:cs="Arial" w:eastAsia="Arial" w:hAnsi="Arial"/>
                <w:sz w:val="11"/>
                <w:szCs w:val="11"/>
                <w:color w:val="auto"/>
              </w:rPr>
              <w:t>-13.0%</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-5.0%</w:t>
            </w:r>
          </w:p>
        </w:tc>
        <w:tc>
          <w:tcPr>
            <w:tcW w:w="560" w:type="dxa"/>
            <w:vAlign w:val="bottom"/>
          </w:tcPr>
          <w:p>
            <w:pPr>
              <w:spacing w:after="0"/>
              <w:rPr>
                <w:sz w:val="11"/>
                <w:szCs w:val="11"/>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jc w:val="center"/>
              <w:ind w:left="983"/>
              <w:spacing w:after="0" w:line="122" w:lineRule="exact"/>
              <w:rPr>
                <w:sz w:val="20"/>
                <w:szCs w:val="20"/>
                <w:color w:val="auto"/>
              </w:rPr>
            </w:pPr>
            <w:r>
              <w:rPr>
                <w:rFonts w:ascii="Arial" w:cs="Arial" w:eastAsia="Arial" w:hAnsi="Arial"/>
                <w:sz w:val="11"/>
                <w:szCs w:val="11"/>
                <w:b w:val="1"/>
                <w:bCs w:val="1"/>
                <w:color w:val="auto"/>
              </w:rPr>
              <w:t>Total Liabilities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b w:val="1"/>
                <w:bCs w:val="1"/>
                <w:color w:val="auto"/>
              </w:rPr>
              <w:t>170,005,995</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b w:val="1"/>
                <w:bCs w:val="1"/>
                <w:color w:val="auto"/>
              </w:rPr>
              <w:t>169,973,122</w:t>
            </w:r>
          </w:p>
        </w:tc>
        <w:tc>
          <w:tcPr>
            <w:tcW w:w="1000" w:type="dxa"/>
            <w:vAlign w:val="bottom"/>
          </w:tcPr>
          <w:p>
            <w:pPr>
              <w:jc w:val="center"/>
              <w:ind w:left="302"/>
              <w:spacing w:after="0" w:line="122" w:lineRule="exact"/>
              <w:rPr>
                <w:sz w:val="20"/>
                <w:szCs w:val="20"/>
                <w:color w:val="auto"/>
              </w:rPr>
            </w:pPr>
            <w:r>
              <w:rPr>
                <w:rFonts w:ascii="Arial" w:cs="Arial" w:eastAsia="Arial" w:hAnsi="Arial"/>
                <w:sz w:val="11"/>
                <w:szCs w:val="11"/>
                <w:b w:val="1"/>
                <w:bCs w:val="1"/>
                <w:color w:val="auto"/>
              </w:rPr>
              <w:t>168,645,448</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b w:val="1"/>
                <w:bCs w:val="1"/>
                <w:color w:val="auto"/>
              </w:rPr>
              <w:t>-0.8%</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b w:val="1"/>
                <w:bCs w:val="1"/>
                <w:color w:val="auto"/>
              </w:rPr>
              <w:t>-0.8%</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Net equity</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23,121,902</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24,228,926</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24,998,419</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3.2%</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8.1%</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140"/>
              <w:spacing w:after="0" w:line="122" w:lineRule="exact"/>
              <w:rPr>
                <w:sz w:val="20"/>
                <w:szCs w:val="20"/>
                <w:color w:val="auto"/>
              </w:rPr>
            </w:pPr>
            <w:r>
              <w:rPr>
                <w:rFonts w:ascii="Arial" w:cs="Arial" w:eastAsia="Arial" w:hAnsi="Arial"/>
                <w:sz w:val="11"/>
                <w:szCs w:val="11"/>
                <w:color w:val="auto"/>
              </w:rPr>
              <w:t>Capital stock</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11,882,984</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12,679,794</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12,679,794</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0.0%</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6.7%</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Reserves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6,540,665</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6,820,930</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6,372,059</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-6.6%</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-2.6%</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140"/>
              <w:spacing w:after="0" w:line="122" w:lineRule="exact"/>
              <w:rPr>
                <w:sz w:val="20"/>
                <w:szCs w:val="20"/>
                <w:color w:val="auto"/>
              </w:rPr>
            </w:pPr>
            <w:r>
              <w:rPr>
                <w:rFonts w:ascii="Arial" w:cs="Arial" w:eastAsia="Arial" w:hAnsi="Arial"/>
                <w:sz w:val="11"/>
                <w:szCs w:val="11"/>
                <w:color w:val="auto"/>
              </w:rPr>
              <w:t>Unrealized gains and losses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(549,319)</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(373,385)</w:t>
            </w:r>
          </w:p>
        </w:tc>
        <w:tc>
          <w:tcPr>
            <w:tcW w:w="1000" w:type="dxa"/>
            <w:vAlign w:val="bottom"/>
          </w:tcPr>
          <w:p>
            <w:pPr>
              <w:jc w:val="center"/>
              <w:ind w:left="302"/>
              <w:spacing w:after="0" w:line="122" w:lineRule="exact"/>
              <w:rPr>
                <w:sz w:val="20"/>
                <w:szCs w:val="20"/>
                <w:color w:val="auto"/>
              </w:rPr>
            </w:pPr>
            <w:r>
              <w:rPr>
                <w:rFonts w:ascii="Arial" w:cs="Arial" w:eastAsia="Arial" w:hAnsi="Arial"/>
                <w:sz w:val="11"/>
                <w:szCs w:val="11"/>
                <w:color w:val="auto"/>
              </w:rPr>
              <w:t>(108,012)</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-71.1%</w:t>
            </w:r>
          </w:p>
        </w:tc>
        <w:tc>
          <w:tcPr>
            <w:tcW w:w="1320" w:type="dxa"/>
            <w:vAlign w:val="bottom"/>
            <w:tcBorders>
              <w:right w:val="single" w:sz="8" w:color="auto"/>
            </w:tcBorders>
          </w:tcPr>
          <w:p>
            <w:pPr>
              <w:jc w:val="center"/>
              <w:ind w:left="223"/>
              <w:spacing w:after="0" w:line="122" w:lineRule="exact"/>
              <w:rPr>
                <w:sz w:val="20"/>
                <w:szCs w:val="20"/>
                <w:color w:val="auto"/>
              </w:rPr>
            </w:pPr>
            <w:r>
              <w:rPr>
                <w:rFonts w:ascii="Arial" w:cs="Arial" w:eastAsia="Arial" w:hAnsi="Arial"/>
                <w:sz w:val="11"/>
                <w:szCs w:val="11"/>
                <w:color w:val="auto"/>
              </w:rPr>
              <w:t>-80.3%</w:t>
            </w:r>
          </w:p>
        </w:tc>
        <w:tc>
          <w:tcPr>
            <w:tcW w:w="560" w:type="dxa"/>
            <w:vAlign w:val="bottom"/>
          </w:tcPr>
          <w:p>
            <w:pPr>
              <w:spacing w:after="0"/>
              <w:rPr>
                <w:sz w:val="10"/>
                <w:szCs w:val="10"/>
                <w:color w:val="auto"/>
              </w:rPr>
            </w:pPr>
          </w:p>
        </w:tc>
      </w:tr>
      <w:tr>
        <w:trPr>
          <w:trHeight w:val="149"/>
        </w:trPr>
        <w:tc>
          <w:tcPr>
            <w:tcW w:w="600" w:type="dxa"/>
            <w:vAlign w:val="bottom"/>
            <w:tcBorders>
              <w:right w:val="single" w:sz="8" w:color="auto"/>
            </w:tcBorders>
          </w:tcPr>
          <w:p>
            <w:pPr>
              <w:spacing w:after="0"/>
              <w:rPr>
                <w:sz w:val="12"/>
                <w:szCs w:val="12"/>
                <w:color w:val="auto"/>
              </w:rPr>
            </w:pPr>
          </w:p>
        </w:tc>
        <w:tc>
          <w:tcPr>
            <w:tcW w:w="3980" w:type="dxa"/>
            <w:vAlign w:val="bottom"/>
          </w:tcPr>
          <w:p>
            <w:pPr>
              <w:ind w:left="140"/>
              <w:spacing w:after="0"/>
              <w:rPr>
                <w:sz w:val="20"/>
                <w:szCs w:val="20"/>
                <w:color w:val="auto"/>
              </w:rPr>
            </w:pPr>
            <w:r>
              <w:rPr>
                <w:rFonts w:ascii="Arial" w:cs="Arial" w:eastAsia="Arial" w:hAnsi="Arial"/>
                <w:sz w:val="11"/>
                <w:szCs w:val="11"/>
                <w:color w:val="auto"/>
              </w:rPr>
              <w:t>Retained earnings</w:t>
            </w:r>
          </w:p>
        </w:tc>
        <w:tc>
          <w:tcPr>
            <w:tcW w:w="1080" w:type="dxa"/>
            <w:vAlign w:val="bottom"/>
            <w:tcBorders>
              <w:right w:val="single" w:sz="8" w:color="auto"/>
            </w:tcBorders>
          </w:tcPr>
          <w:p>
            <w:pPr>
              <w:spacing w:after="0"/>
              <w:rPr>
                <w:sz w:val="12"/>
                <w:szCs w:val="12"/>
                <w:color w:val="auto"/>
              </w:rPr>
            </w:pPr>
          </w:p>
        </w:tc>
        <w:tc>
          <w:tcPr>
            <w:tcW w:w="800" w:type="dxa"/>
            <w:vAlign w:val="bottom"/>
          </w:tcPr>
          <w:p>
            <w:pPr>
              <w:jc w:val="center"/>
              <w:ind w:left="83"/>
              <w:spacing w:after="0"/>
              <w:rPr>
                <w:sz w:val="20"/>
                <w:szCs w:val="20"/>
                <w:color w:val="auto"/>
              </w:rPr>
            </w:pPr>
            <w:r>
              <w:rPr>
                <w:rFonts w:ascii="Arial" w:cs="Arial" w:eastAsia="Arial" w:hAnsi="Arial"/>
                <w:sz w:val="11"/>
                <w:szCs w:val="11"/>
                <w:color w:val="auto"/>
              </w:rPr>
              <w:t>5,247,572</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5,101,587</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6,054,578</w:t>
            </w:r>
          </w:p>
        </w:tc>
        <w:tc>
          <w:tcPr>
            <w:tcW w:w="200" w:type="dxa"/>
            <w:vAlign w:val="bottom"/>
            <w:tcBorders>
              <w:right w:val="single" w:sz="8" w:color="auto"/>
            </w:tcBorders>
          </w:tcPr>
          <w:p>
            <w:pPr>
              <w:spacing w:after="0"/>
              <w:rPr>
                <w:sz w:val="12"/>
                <w:szCs w:val="12"/>
                <w:color w:val="auto"/>
              </w:rPr>
            </w:pPr>
          </w:p>
        </w:tc>
        <w:tc>
          <w:tcPr>
            <w:tcW w:w="700" w:type="dxa"/>
            <w:vAlign w:val="bottom"/>
          </w:tcPr>
          <w:p>
            <w:pPr>
              <w:jc w:val="center"/>
              <w:ind w:left="243"/>
              <w:spacing w:after="0"/>
              <w:rPr>
                <w:sz w:val="20"/>
                <w:szCs w:val="20"/>
                <w:color w:val="auto"/>
              </w:rPr>
            </w:pPr>
            <w:r>
              <w:rPr>
                <w:rFonts w:ascii="Arial" w:cs="Arial" w:eastAsia="Arial" w:hAnsi="Arial"/>
                <w:sz w:val="11"/>
                <w:szCs w:val="11"/>
                <w:color w:val="auto"/>
              </w:rPr>
              <w:t>18.7%</w:t>
            </w:r>
          </w:p>
        </w:tc>
        <w:tc>
          <w:tcPr>
            <w:tcW w:w="1320" w:type="dxa"/>
            <w:vAlign w:val="bottom"/>
            <w:tcBorders>
              <w:right w:val="single" w:sz="8" w:color="auto"/>
            </w:tcBorders>
          </w:tcPr>
          <w:p>
            <w:pPr>
              <w:jc w:val="center"/>
              <w:ind w:left="223"/>
              <w:spacing w:after="0"/>
              <w:rPr>
                <w:sz w:val="20"/>
                <w:szCs w:val="20"/>
                <w:color w:val="auto"/>
              </w:rPr>
            </w:pPr>
            <w:r>
              <w:rPr>
                <w:rFonts w:ascii="Arial" w:cs="Arial" w:eastAsia="Arial" w:hAnsi="Arial"/>
                <w:sz w:val="11"/>
                <w:szCs w:val="11"/>
                <w:color w:val="auto"/>
              </w:rPr>
              <w:t>15.4%</w:t>
            </w:r>
          </w:p>
        </w:tc>
        <w:tc>
          <w:tcPr>
            <w:tcW w:w="560" w:type="dxa"/>
            <w:vAlign w:val="bottom"/>
          </w:tcPr>
          <w:p>
            <w:pPr>
              <w:spacing w:after="0"/>
              <w:rPr>
                <w:sz w:val="12"/>
                <w:szCs w:val="12"/>
                <w:color w:val="auto"/>
              </w:rPr>
            </w:pPr>
          </w:p>
        </w:tc>
      </w:tr>
      <w:tr>
        <w:trPr>
          <w:trHeight w:val="244"/>
        </w:trPr>
        <w:tc>
          <w:tcPr>
            <w:tcW w:w="600" w:type="dxa"/>
            <w:vAlign w:val="bottom"/>
            <w:tcBorders>
              <w:right w:val="single" w:sz="8" w:color="auto"/>
            </w:tcBorders>
          </w:tcPr>
          <w:p>
            <w:pPr>
              <w:spacing w:after="0"/>
              <w:rPr>
                <w:sz w:val="21"/>
                <w:szCs w:val="21"/>
                <w:color w:val="auto"/>
              </w:rPr>
            </w:pPr>
          </w:p>
        </w:tc>
        <w:tc>
          <w:tcPr>
            <w:tcW w:w="3980" w:type="dxa"/>
            <w:vAlign w:val="bottom"/>
          </w:tcPr>
          <w:p>
            <w:pPr>
              <w:ind w:left="60"/>
              <w:spacing w:after="0"/>
              <w:rPr>
                <w:sz w:val="20"/>
                <w:szCs w:val="20"/>
                <w:color w:val="auto"/>
              </w:rPr>
            </w:pPr>
            <w:r>
              <w:rPr>
                <w:rFonts w:ascii="Arial" w:cs="Arial" w:eastAsia="Arial" w:hAnsi="Arial"/>
                <w:sz w:val="11"/>
                <w:szCs w:val="11"/>
                <w:color w:val="auto"/>
              </w:rPr>
              <w:t>Non-controlling interest</w:t>
            </w:r>
          </w:p>
        </w:tc>
        <w:tc>
          <w:tcPr>
            <w:tcW w:w="1080" w:type="dxa"/>
            <w:vAlign w:val="bottom"/>
            <w:tcBorders>
              <w:right w:val="single" w:sz="8" w:color="auto"/>
            </w:tcBorders>
          </w:tcPr>
          <w:p>
            <w:pPr>
              <w:spacing w:after="0"/>
              <w:rPr>
                <w:sz w:val="21"/>
                <w:szCs w:val="21"/>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150,335</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157,717</w:t>
            </w:r>
          </w:p>
        </w:tc>
        <w:tc>
          <w:tcPr>
            <w:tcW w:w="1000" w:type="dxa"/>
            <w:vAlign w:val="bottom"/>
          </w:tcPr>
          <w:p>
            <w:pPr>
              <w:jc w:val="center"/>
              <w:ind w:left="282"/>
              <w:spacing w:after="0"/>
              <w:rPr>
                <w:sz w:val="20"/>
                <w:szCs w:val="20"/>
                <w:color w:val="auto"/>
              </w:rPr>
            </w:pPr>
            <w:r>
              <w:rPr>
                <w:rFonts w:ascii="Arial" w:cs="Arial" w:eastAsia="Arial" w:hAnsi="Arial"/>
                <w:sz w:val="11"/>
                <w:szCs w:val="11"/>
                <w:color w:val="auto"/>
              </w:rPr>
              <w:t>160,988</w:t>
            </w:r>
          </w:p>
        </w:tc>
        <w:tc>
          <w:tcPr>
            <w:tcW w:w="200" w:type="dxa"/>
            <w:vAlign w:val="bottom"/>
            <w:tcBorders>
              <w:right w:val="single" w:sz="8" w:color="auto"/>
            </w:tcBorders>
          </w:tcPr>
          <w:p>
            <w:pPr>
              <w:spacing w:after="0"/>
              <w:rPr>
                <w:sz w:val="21"/>
                <w:szCs w:val="21"/>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2.1%</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7.1%</w:t>
            </w:r>
          </w:p>
        </w:tc>
        <w:tc>
          <w:tcPr>
            <w:tcW w:w="560" w:type="dxa"/>
            <w:vAlign w:val="bottom"/>
          </w:tcPr>
          <w:p>
            <w:pPr>
              <w:spacing w:after="0"/>
              <w:rPr>
                <w:sz w:val="21"/>
                <w:szCs w:val="21"/>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3980" w:type="dxa"/>
            <w:vAlign w:val="bottom"/>
          </w:tcPr>
          <w:p>
            <w:pPr>
              <w:jc w:val="center"/>
              <w:ind w:left="963"/>
              <w:spacing w:after="0"/>
              <w:rPr>
                <w:sz w:val="20"/>
                <w:szCs w:val="20"/>
                <w:color w:val="auto"/>
              </w:rPr>
            </w:pPr>
            <w:r>
              <w:rPr>
                <w:rFonts w:ascii="Arial" w:cs="Arial" w:eastAsia="Arial" w:hAnsi="Arial"/>
                <w:sz w:val="11"/>
                <w:szCs w:val="11"/>
                <w:b w:val="1"/>
                <w:bCs w:val="1"/>
                <w:color w:val="auto"/>
              </w:rPr>
              <w:t>Total Net Equity</w:t>
            </w:r>
          </w:p>
        </w:tc>
        <w:tc>
          <w:tcPr>
            <w:tcW w:w="1080" w:type="dxa"/>
            <w:vAlign w:val="bottom"/>
            <w:tcBorders>
              <w:right w:val="single" w:sz="8" w:color="auto"/>
            </w:tcBorders>
          </w:tcPr>
          <w:p>
            <w:pPr>
              <w:spacing w:after="0"/>
              <w:rPr>
                <w:sz w:val="21"/>
                <w:szCs w:val="21"/>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b w:val="1"/>
                <w:bCs w:val="1"/>
                <w:color w:val="auto"/>
              </w:rPr>
              <w:t>23,272,237</w:t>
            </w:r>
          </w:p>
        </w:tc>
        <w:tc>
          <w:tcPr>
            <w:tcW w:w="1020" w:type="dxa"/>
            <w:vAlign w:val="bottom"/>
          </w:tcPr>
          <w:p>
            <w:pPr>
              <w:jc w:val="center"/>
              <w:ind w:left="283"/>
              <w:spacing w:after="0"/>
              <w:rPr>
                <w:sz w:val="20"/>
                <w:szCs w:val="20"/>
                <w:color w:val="auto"/>
              </w:rPr>
            </w:pPr>
            <w:r>
              <w:rPr>
                <w:rFonts w:ascii="Arial" w:cs="Arial" w:eastAsia="Arial" w:hAnsi="Arial"/>
                <w:sz w:val="11"/>
                <w:szCs w:val="11"/>
                <w:b w:val="1"/>
                <w:bCs w:val="1"/>
                <w:color w:val="auto"/>
              </w:rPr>
              <w:t>24,386,643</w:t>
            </w:r>
          </w:p>
        </w:tc>
        <w:tc>
          <w:tcPr>
            <w:tcW w:w="1000" w:type="dxa"/>
            <w:vAlign w:val="bottom"/>
          </w:tcPr>
          <w:p>
            <w:pPr>
              <w:jc w:val="center"/>
              <w:ind w:left="282"/>
              <w:spacing w:after="0"/>
              <w:rPr>
                <w:sz w:val="20"/>
                <w:szCs w:val="20"/>
                <w:color w:val="auto"/>
              </w:rPr>
            </w:pPr>
            <w:r>
              <w:rPr>
                <w:rFonts w:ascii="Arial" w:cs="Arial" w:eastAsia="Arial" w:hAnsi="Arial"/>
                <w:sz w:val="11"/>
                <w:szCs w:val="11"/>
                <w:b w:val="1"/>
                <w:bCs w:val="1"/>
                <w:color w:val="auto"/>
              </w:rPr>
              <w:t>25,159,407</w:t>
            </w:r>
          </w:p>
        </w:tc>
        <w:tc>
          <w:tcPr>
            <w:tcW w:w="200" w:type="dxa"/>
            <w:vAlign w:val="bottom"/>
            <w:tcBorders>
              <w:right w:val="single" w:sz="8" w:color="auto"/>
            </w:tcBorders>
          </w:tcPr>
          <w:p>
            <w:pPr>
              <w:spacing w:after="0"/>
              <w:rPr>
                <w:sz w:val="21"/>
                <w:szCs w:val="21"/>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b w:val="1"/>
                <w:bCs w:val="1"/>
                <w:color w:val="auto"/>
              </w:rPr>
              <w:t>3.2%</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8.1%</w:t>
            </w:r>
          </w:p>
        </w:tc>
        <w:tc>
          <w:tcPr>
            <w:tcW w:w="560" w:type="dxa"/>
            <w:vAlign w:val="bottom"/>
          </w:tcPr>
          <w:p>
            <w:pPr>
              <w:spacing w:after="0"/>
              <w:rPr>
                <w:sz w:val="21"/>
                <w:szCs w:val="21"/>
                <w:color w:val="auto"/>
              </w:rPr>
            </w:pPr>
          </w:p>
        </w:tc>
      </w:tr>
      <w:tr>
        <w:trPr>
          <w:trHeight w:val="244"/>
        </w:trPr>
        <w:tc>
          <w:tcPr>
            <w:tcW w:w="600" w:type="dxa"/>
            <w:vAlign w:val="bottom"/>
            <w:tcBorders>
              <w:right w:val="single" w:sz="8" w:color="auto"/>
            </w:tcBorders>
          </w:tcPr>
          <w:p>
            <w:pPr>
              <w:spacing w:after="0"/>
              <w:rPr>
                <w:sz w:val="21"/>
                <w:szCs w:val="21"/>
                <w:color w:val="auto"/>
              </w:rPr>
            </w:pPr>
          </w:p>
        </w:tc>
        <w:tc>
          <w:tcPr>
            <w:tcW w:w="3980" w:type="dxa"/>
            <w:vAlign w:val="bottom"/>
          </w:tcPr>
          <w:p>
            <w:pPr>
              <w:ind w:left="60"/>
              <w:spacing w:after="0"/>
              <w:rPr>
                <w:sz w:val="20"/>
                <w:szCs w:val="20"/>
                <w:color w:val="auto"/>
              </w:rPr>
            </w:pPr>
            <w:r>
              <w:rPr>
                <w:rFonts w:ascii="Arial" w:cs="Arial" w:eastAsia="Arial" w:hAnsi="Arial"/>
                <w:sz w:val="11"/>
                <w:szCs w:val="11"/>
                <w:b w:val="1"/>
                <w:bCs w:val="1"/>
                <w:color w:val="auto"/>
              </w:rPr>
              <w:t>Total liabilities and equity</w:t>
            </w:r>
          </w:p>
        </w:tc>
        <w:tc>
          <w:tcPr>
            <w:tcW w:w="1080" w:type="dxa"/>
            <w:vAlign w:val="bottom"/>
            <w:tcBorders>
              <w:right w:val="single" w:sz="8" w:color="auto"/>
            </w:tcBorders>
          </w:tcPr>
          <w:p>
            <w:pPr>
              <w:spacing w:after="0"/>
              <w:rPr>
                <w:sz w:val="21"/>
                <w:szCs w:val="21"/>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b w:val="1"/>
                <w:bCs w:val="1"/>
                <w:color w:val="auto"/>
              </w:rPr>
              <w:t>193,278,232</w:t>
            </w:r>
          </w:p>
        </w:tc>
        <w:tc>
          <w:tcPr>
            <w:tcW w:w="1020" w:type="dxa"/>
            <w:vAlign w:val="bottom"/>
          </w:tcPr>
          <w:p>
            <w:pPr>
              <w:jc w:val="center"/>
              <w:ind w:left="283"/>
              <w:spacing w:after="0"/>
              <w:rPr>
                <w:sz w:val="20"/>
                <w:szCs w:val="20"/>
                <w:color w:val="auto"/>
              </w:rPr>
            </w:pPr>
            <w:r>
              <w:rPr>
                <w:rFonts w:ascii="Arial" w:cs="Arial" w:eastAsia="Arial" w:hAnsi="Arial"/>
                <w:sz w:val="11"/>
                <w:szCs w:val="11"/>
                <w:b w:val="1"/>
                <w:bCs w:val="1"/>
                <w:color w:val="auto"/>
              </w:rPr>
              <w:t>194,359,765</w:t>
            </w:r>
          </w:p>
        </w:tc>
        <w:tc>
          <w:tcPr>
            <w:tcW w:w="1000" w:type="dxa"/>
            <w:vAlign w:val="bottom"/>
          </w:tcPr>
          <w:p>
            <w:pPr>
              <w:jc w:val="center"/>
              <w:ind w:left="302"/>
              <w:spacing w:after="0"/>
              <w:rPr>
                <w:sz w:val="20"/>
                <w:szCs w:val="20"/>
                <w:color w:val="auto"/>
              </w:rPr>
            </w:pPr>
            <w:r>
              <w:rPr>
                <w:rFonts w:ascii="Arial" w:cs="Arial" w:eastAsia="Arial" w:hAnsi="Arial"/>
                <w:sz w:val="11"/>
                <w:szCs w:val="11"/>
                <w:b w:val="1"/>
                <w:bCs w:val="1"/>
                <w:color w:val="auto"/>
              </w:rPr>
              <w:t>193,804,855</w:t>
            </w:r>
          </w:p>
        </w:tc>
        <w:tc>
          <w:tcPr>
            <w:tcW w:w="200" w:type="dxa"/>
            <w:vAlign w:val="bottom"/>
            <w:tcBorders>
              <w:right w:val="single" w:sz="8" w:color="auto"/>
            </w:tcBorders>
          </w:tcPr>
          <w:p>
            <w:pPr>
              <w:spacing w:after="0"/>
              <w:rPr>
                <w:sz w:val="21"/>
                <w:szCs w:val="21"/>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b w:val="1"/>
                <w:bCs w:val="1"/>
                <w:color w:val="auto"/>
              </w:rPr>
              <w:t>-0.3%</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0.3%</w:t>
            </w:r>
          </w:p>
        </w:tc>
        <w:tc>
          <w:tcPr>
            <w:tcW w:w="560" w:type="dxa"/>
            <w:vAlign w:val="bottom"/>
          </w:tcPr>
          <w:p>
            <w:pPr>
              <w:spacing w:after="0"/>
              <w:rPr>
                <w:sz w:val="21"/>
                <w:szCs w:val="21"/>
                <w:color w:val="auto"/>
              </w:rPr>
            </w:pPr>
          </w:p>
        </w:tc>
      </w:tr>
      <w:tr>
        <w:trPr>
          <w:trHeight w:val="211"/>
        </w:trPr>
        <w:tc>
          <w:tcPr>
            <w:tcW w:w="600" w:type="dxa"/>
            <w:vAlign w:val="bottom"/>
            <w:tcBorders>
              <w:right w:val="single" w:sz="8" w:color="auto"/>
            </w:tcBorders>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1"/>
                <w:szCs w:val="11"/>
                <w:b w:val="1"/>
                <w:bCs w:val="1"/>
                <w:color w:val="auto"/>
              </w:rPr>
              <w:t>Off-balance sheet</w:t>
            </w:r>
          </w:p>
        </w:tc>
        <w:tc>
          <w:tcPr>
            <w:tcW w:w="1080" w:type="dxa"/>
            <w:vAlign w:val="bottom"/>
            <w:tcBorders>
              <w:right w:val="single" w:sz="8" w:color="auto"/>
            </w:tcBorders>
          </w:tcPr>
          <w:p>
            <w:pPr>
              <w:spacing w:after="0"/>
              <w:rPr>
                <w:sz w:val="18"/>
                <w:szCs w:val="18"/>
                <w:color w:val="auto"/>
              </w:rPr>
            </w:pPr>
          </w:p>
        </w:tc>
        <w:tc>
          <w:tcPr>
            <w:tcW w:w="800" w:type="dxa"/>
            <w:vAlign w:val="bottom"/>
          </w:tcPr>
          <w:p>
            <w:pPr>
              <w:jc w:val="center"/>
              <w:ind w:left="103"/>
              <w:spacing w:after="0"/>
              <w:rPr>
                <w:sz w:val="20"/>
                <w:szCs w:val="20"/>
                <w:color w:val="auto"/>
              </w:rPr>
            </w:pPr>
            <w:r>
              <w:rPr>
                <w:rFonts w:ascii="Arial" w:cs="Arial" w:eastAsia="Arial" w:hAnsi="Arial"/>
                <w:sz w:val="11"/>
                <w:szCs w:val="11"/>
                <w:color w:val="auto"/>
              </w:rPr>
              <w:t>137,999,722</w:t>
            </w:r>
          </w:p>
        </w:tc>
        <w:tc>
          <w:tcPr>
            <w:tcW w:w="1020" w:type="dxa"/>
            <w:vAlign w:val="bottom"/>
          </w:tcPr>
          <w:p>
            <w:pPr>
              <w:jc w:val="center"/>
              <w:ind w:left="283"/>
              <w:spacing w:after="0"/>
              <w:rPr>
                <w:sz w:val="20"/>
                <w:szCs w:val="20"/>
                <w:color w:val="auto"/>
              </w:rPr>
            </w:pPr>
            <w:r>
              <w:rPr>
                <w:rFonts w:ascii="Arial" w:cs="Arial" w:eastAsia="Arial" w:hAnsi="Arial"/>
                <w:sz w:val="11"/>
                <w:szCs w:val="11"/>
                <w:color w:val="auto"/>
              </w:rPr>
              <w:t>141,192,730</w:t>
            </w:r>
          </w:p>
        </w:tc>
        <w:tc>
          <w:tcPr>
            <w:tcW w:w="1000" w:type="dxa"/>
            <w:vAlign w:val="bottom"/>
          </w:tcPr>
          <w:p>
            <w:pPr>
              <w:jc w:val="center"/>
              <w:ind w:left="302"/>
              <w:spacing w:after="0"/>
              <w:rPr>
                <w:sz w:val="20"/>
                <w:szCs w:val="20"/>
                <w:color w:val="auto"/>
              </w:rPr>
            </w:pPr>
            <w:r>
              <w:rPr>
                <w:rFonts w:ascii="Arial" w:cs="Arial" w:eastAsia="Arial" w:hAnsi="Arial"/>
                <w:sz w:val="11"/>
                <w:szCs w:val="11"/>
                <w:color w:val="auto"/>
              </w:rPr>
              <w:t>138,140,917</w:t>
            </w:r>
          </w:p>
        </w:tc>
        <w:tc>
          <w:tcPr>
            <w:tcW w:w="200" w:type="dxa"/>
            <w:vAlign w:val="bottom"/>
            <w:tcBorders>
              <w:right w:val="single" w:sz="8" w:color="auto"/>
            </w:tcBorders>
          </w:tcPr>
          <w:p>
            <w:pPr>
              <w:spacing w:after="0"/>
              <w:rPr>
                <w:sz w:val="18"/>
                <w:szCs w:val="18"/>
                <w:color w:val="auto"/>
              </w:rPr>
            </w:pPr>
          </w:p>
        </w:tc>
        <w:tc>
          <w:tcPr>
            <w:tcW w:w="700" w:type="dxa"/>
            <w:vAlign w:val="bottom"/>
          </w:tcPr>
          <w:p>
            <w:pPr>
              <w:jc w:val="center"/>
              <w:ind w:left="223"/>
              <w:spacing w:after="0"/>
              <w:rPr>
                <w:sz w:val="20"/>
                <w:szCs w:val="20"/>
                <w:color w:val="auto"/>
              </w:rPr>
            </w:pPr>
            <w:r>
              <w:rPr>
                <w:rFonts w:ascii="Arial" w:cs="Arial" w:eastAsia="Arial" w:hAnsi="Arial"/>
                <w:sz w:val="11"/>
                <w:szCs w:val="11"/>
                <w:color w:val="auto"/>
              </w:rPr>
              <w:t>-2.2%</w:t>
            </w:r>
          </w:p>
        </w:tc>
        <w:tc>
          <w:tcPr>
            <w:tcW w:w="13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0.1%</w:t>
            </w:r>
          </w:p>
        </w:tc>
        <w:tc>
          <w:tcPr>
            <w:tcW w:w="560" w:type="dxa"/>
            <w:vAlign w:val="bottom"/>
          </w:tcPr>
          <w:p>
            <w:pPr>
              <w:spacing w:after="0"/>
              <w:rPr>
                <w:sz w:val="18"/>
                <w:szCs w:val="18"/>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Total performance bonds, stand-by and L/Cs.</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19,737,892</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18,226,797</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19,328,506</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6.0%</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-2.1%</w:t>
            </w:r>
          </w:p>
        </w:tc>
        <w:tc>
          <w:tcPr>
            <w:tcW w:w="560" w:type="dxa"/>
            <w:vAlign w:val="bottom"/>
          </w:tcPr>
          <w:p>
            <w:pPr>
              <w:spacing w:after="0"/>
              <w:rPr>
                <w:sz w:val="10"/>
                <w:szCs w:val="10"/>
                <w:color w:val="auto"/>
              </w:rPr>
            </w:pPr>
          </w:p>
        </w:tc>
      </w:tr>
      <w:tr>
        <w:trPr>
          <w:trHeight w:val="122"/>
        </w:trPr>
        <w:tc>
          <w:tcPr>
            <w:tcW w:w="600" w:type="dxa"/>
            <w:vAlign w:val="bottom"/>
            <w:tcBorders>
              <w:right w:val="single" w:sz="8" w:color="auto"/>
            </w:tcBorders>
          </w:tcPr>
          <w:p>
            <w:pPr>
              <w:spacing w:after="0"/>
              <w:rPr>
                <w:sz w:val="10"/>
                <w:szCs w:val="10"/>
                <w:color w:val="auto"/>
              </w:rPr>
            </w:pPr>
          </w:p>
        </w:tc>
        <w:tc>
          <w:tcPr>
            <w:tcW w:w="3980" w:type="dxa"/>
            <w:vAlign w:val="bottom"/>
          </w:tcPr>
          <w:p>
            <w:pPr>
              <w:ind w:left="60"/>
              <w:spacing w:after="0" w:line="122" w:lineRule="exact"/>
              <w:rPr>
                <w:sz w:val="20"/>
                <w:szCs w:val="20"/>
                <w:color w:val="auto"/>
              </w:rPr>
            </w:pPr>
            <w:r>
              <w:rPr>
                <w:rFonts w:ascii="Arial" w:cs="Arial" w:eastAsia="Arial" w:hAnsi="Arial"/>
                <w:sz w:val="11"/>
                <w:szCs w:val="11"/>
                <w:color w:val="auto"/>
              </w:rPr>
              <w:t>Undrawn credit lines, advised but not committed</w:t>
            </w:r>
          </w:p>
        </w:tc>
        <w:tc>
          <w:tcPr>
            <w:tcW w:w="1080" w:type="dxa"/>
            <w:vAlign w:val="bottom"/>
            <w:tcBorders>
              <w:right w:val="single" w:sz="8" w:color="auto"/>
            </w:tcBorders>
          </w:tcPr>
          <w:p>
            <w:pPr>
              <w:spacing w:after="0"/>
              <w:rPr>
                <w:sz w:val="10"/>
                <w:szCs w:val="10"/>
                <w:color w:val="auto"/>
              </w:rPr>
            </w:pPr>
          </w:p>
        </w:tc>
        <w:tc>
          <w:tcPr>
            <w:tcW w:w="8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75,276,664</w:t>
            </w:r>
          </w:p>
        </w:tc>
        <w:tc>
          <w:tcPr>
            <w:tcW w:w="102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79,083,109</w:t>
            </w:r>
          </w:p>
        </w:tc>
        <w:tc>
          <w:tcPr>
            <w:tcW w:w="1000" w:type="dxa"/>
            <w:vAlign w:val="bottom"/>
          </w:tcPr>
          <w:p>
            <w:pPr>
              <w:jc w:val="center"/>
              <w:ind w:left="282"/>
              <w:spacing w:after="0" w:line="122" w:lineRule="exact"/>
              <w:rPr>
                <w:sz w:val="20"/>
                <w:szCs w:val="20"/>
                <w:color w:val="auto"/>
              </w:rPr>
            </w:pPr>
            <w:r>
              <w:rPr>
                <w:rFonts w:ascii="Arial" w:cs="Arial" w:eastAsia="Arial" w:hAnsi="Arial"/>
                <w:sz w:val="11"/>
                <w:szCs w:val="11"/>
                <w:color w:val="auto"/>
              </w:rPr>
              <w:t>76,719,565</w:t>
            </w:r>
          </w:p>
        </w:tc>
        <w:tc>
          <w:tcPr>
            <w:tcW w:w="200" w:type="dxa"/>
            <w:vAlign w:val="bottom"/>
            <w:tcBorders>
              <w:right w:val="single" w:sz="8" w:color="auto"/>
            </w:tcBorders>
          </w:tcPr>
          <w:p>
            <w:pPr>
              <w:spacing w:after="0"/>
              <w:rPr>
                <w:sz w:val="10"/>
                <w:szCs w:val="10"/>
                <w:color w:val="auto"/>
              </w:rPr>
            </w:pPr>
          </w:p>
        </w:tc>
        <w:tc>
          <w:tcPr>
            <w:tcW w:w="70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-3.0%</w:t>
            </w:r>
          </w:p>
        </w:tc>
        <w:tc>
          <w:tcPr>
            <w:tcW w:w="132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1.9%</w:t>
            </w:r>
          </w:p>
        </w:tc>
        <w:tc>
          <w:tcPr>
            <w:tcW w:w="560" w:type="dxa"/>
            <w:vAlign w:val="bottom"/>
          </w:tcPr>
          <w:p>
            <w:pPr>
              <w:spacing w:after="0"/>
              <w:rPr>
                <w:sz w:val="10"/>
                <w:szCs w:val="10"/>
                <w:color w:val="auto"/>
              </w:rPr>
            </w:pPr>
          </w:p>
        </w:tc>
      </w:tr>
      <w:tr>
        <w:trPr>
          <w:trHeight w:val="137"/>
        </w:trPr>
        <w:tc>
          <w:tcPr>
            <w:tcW w:w="600" w:type="dxa"/>
            <w:vAlign w:val="bottom"/>
            <w:tcBorders>
              <w:right w:val="single" w:sz="8" w:color="auto"/>
            </w:tcBorders>
          </w:tcPr>
          <w:p>
            <w:pPr>
              <w:spacing w:after="0"/>
              <w:rPr>
                <w:sz w:val="11"/>
                <w:szCs w:val="11"/>
                <w:color w:val="auto"/>
              </w:rPr>
            </w:pP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Total derivatives (notional) and others</w:t>
            </w:r>
          </w:p>
        </w:tc>
        <w:tc>
          <w:tcPr>
            <w:tcW w:w="108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jc w:val="center"/>
              <w:ind w:left="103"/>
              <w:spacing w:after="0"/>
              <w:rPr>
                <w:sz w:val="20"/>
                <w:szCs w:val="20"/>
                <w:color w:val="auto"/>
              </w:rPr>
            </w:pPr>
            <w:r>
              <w:rPr>
                <w:rFonts w:ascii="Arial" w:cs="Arial" w:eastAsia="Arial" w:hAnsi="Arial"/>
                <w:sz w:val="11"/>
                <w:szCs w:val="11"/>
                <w:color w:val="auto"/>
              </w:rPr>
              <w:t>42,985,166</w:t>
            </w:r>
          </w:p>
        </w:tc>
        <w:tc>
          <w:tcPr>
            <w:tcW w:w="1020" w:type="dxa"/>
            <w:vAlign w:val="bottom"/>
            <w:tcBorders>
              <w:bottom w:val="single" w:sz="8" w:color="auto"/>
            </w:tcBorders>
          </w:tcPr>
          <w:p>
            <w:pPr>
              <w:jc w:val="center"/>
              <w:ind w:left="283"/>
              <w:spacing w:after="0"/>
              <w:rPr>
                <w:sz w:val="20"/>
                <w:szCs w:val="20"/>
                <w:color w:val="auto"/>
              </w:rPr>
            </w:pPr>
            <w:r>
              <w:rPr>
                <w:rFonts w:ascii="Arial" w:cs="Arial" w:eastAsia="Arial" w:hAnsi="Arial"/>
                <w:sz w:val="11"/>
                <w:szCs w:val="11"/>
                <w:color w:val="auto"/>
              </w:rPr>
              <w:t>43,882,824</w:t>
            </w:r>
          </w:p>
        </w:tc>
        <w:tc>
          <w:tcPr>
            <w:tcW w:w="1000" w:type="dxa"/>
            <w:vAlign w:val="bottom"/>
            <w:tcBorders>
              <w:bottom w:val="single" w:sz="8" w:color="auto"/>
            </w:tcBorders>
          </w:tcPr>
          <w:p>
            <w:pPr>
              <w:jc w:val="center"/>
              <w:ind w:left="282"/>
              <w:spacing w:after="0"/>
              <w:rPr>
                <w:sz w:val="20"/>
                <w:szCs w:val="20"/>
                <w:color w:val="auto"/>
              </w:rPr>
            </w:pPr>
            <w:r>
              <w:rPr>
                <w:rFonts w:ascii="Arial" w:cs="Arial" w:eastAsia="Arial" w:hAnsi="Arial"/>
                <w:sz w:val="11"/>
                <w:szCs w:val="11"/>
                <w:color w:val="auto"/>
              </w:rPr>
              <w:t>42,092,846</w:t>
            </w:r>
          </w:p>
        </w:tc>
        <w:tc>
          <w:tcPr>
            <w:tcW w:w="20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color w:val="auto"/>
              </w:rPr>
              <w:t>-4.1%</w:t>
            </w:r>
          </w:p>
        </w:tc>
        <w:tc>
          <w:tcPr>
            <w:tcW w:w="132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color w:val="auto"/>
              </w:rPr>
              <w:t>-2.1%</w:t>
            </w:r>
          </w:p>
        </w:tc>
        <w:tc>
          <w:tcPr>
            <w:tcW w:w="5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-5704840</wp:posOffset>
            </wp:positionV>
            <wp:extent cx="1161415" cy="1390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7" w:lineRule="exact"/>
        <w:rPr>
          <w:sz w:val="20"/>
          <w:szCs w:val="20"/>
          <w:color w:val="auto"/>
        </w:rPr>
      </w:pPr>
    </w:p>
    <w:p>
      <w:pPr>
        <w:ind w:left="800" w:hanging="236"/>
        <w:spacing w:after="0"/>
        <w:tabs>
          <w:tab w:leader="none" w:pos="80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Right of use asset of lease contracts is included by application of IFRS 16.</w:t>
      </w:r>
    </w:p>
    <w:p>
      <w:pPr>
        <w:spacing w:after="0" w:line="5" w:lineRule="exact"/>
        <w:rPr>
          <w:rFonts w:ascii="Arial" w:cs="Arial" w:eastAsia="Arial" w:hAnsi="Arial"/>
          <w:sz w:val="11"/>
          <w:szCs w:val="11"/>
          <w:color w:val="auto"/>
        </w:rPr>
      </w:pPr>
    </w:p>
    <w:p>
      <w:pPr>
        <w:ind w:left="800" w:hanging="236"/>
        <w:spacing w:after="0" w:line="231" w:lineRule="auto"/>
        <w:tabs>
          <w:tab w:leader="none" w:pos="800" w:val="left"/>
        </w:tabs>
        <w:numPr>
          <w:ilvl w:val="0"/>
          <w:numId w:val="58"/>
        </w:numPr>
        <w:rPr>
          <w:rFonts w:ascii="Arial" w:cs="Arial" w:eastAsia="Arial" w:hAnsi="Arial"/>
          <w:sz w:val="11"/>
          <w:szCs w:val="11"/>
          <w:color w:val="auto"/>
        </w:rPr>
      </w:pPr>
      <w:r>
        <w:rPr>
          <w:rFonts w:ascii="Arial" w:cs="Arial" w:eastAsia="Arial" w:hAnsi="Arial"/>
          <w:sz w:val="11"/>
          <w:szCs w:val="11"/>
          <w:color w:val="auto"/>
        </w:rPr>
        <w:t>Mainly includes intangible assets, other accounts receivable and tax credit.</w:t>
      </w:r>
    </w:p>
    <w:p>
      <w:pPr>
        <w:ind w:left="800" w:hanging="236"/>
        <w:spacing w:after="0"/>
        <w:tabs>
          <w:tab w:leader="none" w:pos="800" w:val="left"/>
        </w:tabs>
        <w:numPr>
          <w:ilvl w:val="0"/>
          <w:numId w:val="58"/>
        </w:numPr>
        <w:rPr>
          <w:rFonts w:ascii="Arial" w:cs="Arial" w:eastAsia="Arial" w:hAnsi="Arial"/>
          <w:sz w:val="11"/>
          <w:szCs w:val="11"/>
          <w:color w:val="auto"/>
        </w:rPr>
      </w:pPr>
      <w:r>
        <w:rPr>
          <w:rFonts w:ascii="Arial" w:cs="Arial" w:eastAsia="Arial" w:hAnsi="Arial"/>
          <w:sz w:val="11"/>
          <w:szCs w:val="11"/>
          <w:color w:val="auto"/>
        </w:rPr>
        <w:t>Mainly includes other accounts payable.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558"/>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22" w:right="31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5840" w:type="dxa"/>
            <w:vAlign w:val="bottom"/>
            <w:tcBorders>
              <w:left w:val="single" w:sz="8" w:color="auto"/>
            </w:tcBorders>
            <w:gridSpan w:val="3"/>
            <w:shd w:val="clear" w:color="auto" w:fill="000000"/>
          </w:tcPr>
          <w:p>
            <w:pPr>
              <w:ind w:left="27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940" w:type="dxa"/>
            <w:vAlign w:val="bottom"/>
            <w:tcBorders>
              <w:right w:val="single" w:sz="8" w:color="auto"/>
            </w:tcBorders>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480" w:type="dxa"/>
            <w:vAlign w:val="bottom"/>
            <w:shd w:val="clear" w:color="auto" w:fill="000000"/>
          </w:tcPr>
          <w:p>
            <w:pPr>
              <w:spacing w:after="0"/>
              <w:rPr>
                <w:sz w:val="24"/>
                <w:szCs w:val="24"/>
                <w:color w:val="auto"/>
              </w:rPr>
            </w:pPr>
          </w:p>
        </w:tc>
        <w:tc>
          <w:tcPr>
            <w:tcW w:w="3800" w:type="dxa"/>
            <w:vAlign w:val="bottom"/>
            <w:tcBorders>
              <w:right w:val="single" w:sz="8" w:color="auto"/>
            </w:tcBorders>
            <w:gridSpan w:val="4"/>
            <w:shd w:val="clear" w:color="auto" w:fill="000000"/>
          </w:tcPr>
          <w:p>
            <w:pPr>
              <w:ind w:left="60"/>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4060" w:type="dxa"/>
            <w:vAlign w:val="bottom"/>
            <w:tcBorders>
              <w:left w:val="single" w:sz="8" w:color="auto"/>
              <w:right w:val="single" w:sz="8" w:color="auto"/>
            </w:tcBorders>
            <w:shd w:val="clear" w:color="auto" w:fill="000000"/>
          </w:tcPr>
          <w:p>
            <w:pPr>
              <w:spacing w:after="0"/>
              <w:rPr>
                <w:sz w:val="17"/>
                <w:szCs w:val="17"/>
                <w:color w:val="auto"/>
              </w:rPr>
            </w:pPr>
          </w:p>
        </w:tc>
        <w:tc>
          <w:tcPr>
            <w:tcW w:w="740" w:type="dxa"/>
            <w:vAlign w:val="bottom"/>
            <w:shd w:val="clear" w:color="auto" w:fill="000000"/>
          </w:tcPr>
          <w:p>
            <w:pPr>
              <w:spacing w:after="0"/>
              <w:rPr>
                <w:sz w:val="17"/>
                <w:szCs w:val="17"/>
                <w:color w:val="auto"/>
              </w:rPr>
            </w:pPr>
          </w:p>
        </w:tc>
        <w:tc>
          <w:tcPr>
            <w:tcW w:w="1040" w:type="dxa"/>
            <w:vAlign w:val="bottom"/>
            <w:shd w:val="clear" w:color="auto" w:fill="000000"/>
          </w:tcPr>
          <w:p>
            <w:pPr>
              <w:spacing w:after="0"/>
              <w:rPr>
                <w:sz w:val="17"/>
                <w:szCs w:val="17"/>
                <w:color w:val="auto"/>
              </w:rPr>
            </w:pPr>
          </w:p>
        </w:tc>
        <w:tc>
          <w:tcPr>
            <w:tcW w:w="940" w:type="dxa"/>
            <w:vAlign w:val="bottom"/>
            <w:tcBorders>
              <w:right w:val="single" w:sz="8" w:color="auto"/>
            </w:tcBorders>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120" w:type="dxa"/>
            <w:vAlign w:val="bottom"/>
            <w:tcBorders>
              <w:right w:val="single" w:sz="8" w:color="auto"/>
            </w:tcBorders>
            <w:shd w:val="clear" w:color="auto" w:fill="000000"/>
          </w:tcPr>
          <w:p>
            <w:pPr>
              <w:spacing w:after="0"/>
              <w:rPr>
                <w:sz w:val="17"/>
                <w:szCs w:val="17"/>
                <w:color w:val="auto"/>
              </w:rPr>
            </w:pPr>
          </w:p>
        </w:tc>
        <w:tc>
          <w:tcPr>
            <w:tcW w:w="1020" w:type="dxa"/>
            <w:vAlign w:val="bottom"/>
            <w:shd w:val="clear" w:color="auto" w:fill="000000"/>
          </w:tcPr>
          <w:p>
            <w:pPr>
              <w:spacing w:after="0"/>
              <w:rPr>
                <w:sz w:val="17"/>
                <w:szCs w:val="17"/>
                <w:color w:val="auto"/>
              </w:rPr>
            </w:pPr>
          </w:p>
        </w:tc>
        <w:tc>
          <w:tcPr>
            <w:tcW w:w="760" w:type="dxa"/>
            <w:vAlign w:val="bottom"/>
            <w:tcBorders>
              <w:right w:val="single" w:sz="8" w:color="auto"/>
            </w:tcBorders>
            <w:shd w:val="clear" w:color="auto" w:fill="000000"/>
          </w:tcPr>
          <w:p>
            <w:pPr>
              <w:spacing w:after="0"/>
              <w:rPr>
                <w:sz w:val="17"/>
                <w:szCs w:val="17"/>
                <w:color w:val="auto"/>
              </w:rPr>
            </w:pPr>
          </w:p>
        </w:tc>
        <w:tc>
          <w:tcPr>
            <w:tcW w:w="90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060" w:type="dxa"/>
            <w:vAlign w:val="bottom"/>
            <w:tcBorders>
              <w:left w:val="single" w:sz="8" w:color="E93CAC"/>
              <w:right w:val="single" w:sz="8" w:color="E93CAC"/>
            </w:tcBorders>
            <w:shd w:val="clear" w:color="auto" w:fill="E93CAC"/>
          </w:tcPr>
          <w:p>
            <w:pPr>
              <w:ind w:left="40"/>
              <w:spacing w:after="0"/>
              <w:rPr>
                <w:sz w:val="20"/>
                <w:szCs w:val="20"/>
                <w:color w:val="auto"/>
              </w:rPr>
            </w:pPr>
            <w:r>
              <w:rPr>
                <w:rFonts w:ascii="Arial" w:cs="Arial" w:eastAsia="Arial" w:hAnsi="Arial"/>
                <w:sz w:val="18"/>
                <w:szCs w:val="18"/>
                <w:b w:val="1"/>
                <w:bCs w:val="1"/>
                <w:color w:val="FFFFFF"/>
              </w:rPr>
              <w:t>12. Appendix</w:t>
            </w:r>
          </w:p>
        </w:tc>
        <w:tc>
          <w:tcPr>
            <w:tcW w:w="740" w:type="dxa"/>
            <w:vAlign w:val="bottom"/>
            <w:shd w:val="clear" w:color="auto" w:fill="E93CAC"/>
          </w:tcPr>
          <w:p>
            <w:pPr>
              <w:spacing w:after="0"/>
              <w:rPr>
                <w:sz w:val="24"/>
                <w:szCs w:val="24"/>
                <w:color w:val="auto"/>
              </w:rPr>
            </w:pPr>
          </w:p>
        </w:tc>
        <w:tc>
          <w:tcPr>
            <w:tcW w:w="1040" w:type="dxa"/>
            <w:vAlign w:val="bottom"/>
            <w:shd w:val="clear" w:color="auto" w:fill="E93CAC"/>
          </w:tcPr>
          <w:p>
            <w:pPr>
              <w:spacing w:after="0"/>
              <w:rPr>
                <w:sz w:val="24"/>
                <w:szCs w:val="24"/>
                <w:color w:val="auto"/>
              </w:rPr>
            </w:pPr>
          </w:p>
        </w:tc>
        <w:tc>
          <w:tcPr>
            <w:tcW w:w="940" w:type="dxa"/>
            <w:vAlign w:val="bottom"/>
            <w:tcBorders>
              <w:right w:val="single" w:sz="8" w:color="E93CAC"/>
            </w:tcBorders>
            <w:shd w:val="clear" w:color="auto" w:fill="E93CAC"/>
          </w:tcPr>
          <w:p>
            <w:pPr>
              <w:spacing w:after="0"/>
              <w:rPr>
                <w:sz w:val="24"/>
                <w:szCs w:val="24"/>
                <w:color w:val="auto"/>
              </w:rPr>
            </w:pPr>
          </w:p>
        </w:tc>
        <w:tc>
          <w:tcPr>
            <w:tcW w:w="200" w:type="dxa"/>
            <w:vAlign w:val="bottom"/>
            <w:shd w:val="clear" w:color="auto" w:fill="E93CAC"/>
          </w:tcPr>
          <w:p>
            <w:pPr>
              <w:spacing w:after="0"/>
              <w:rPr>
                <w:sz w:val="24"/>
                <w:szCs w:val="24"/>
                <w:color w:val="auto"/>
              </w:rPr>
            </w:pPr>
          </w:p>
        </w:tc>
        <w:tc>
          <w:tcPr>
            <w:tcW w:w="480" w:type="dxa"/>
            <w:vAlign w:val="bottom"/>
            <w:shd w:val="clear" w:color="auto" w:fill="E93CAC"/>
          </w:tcPr>
          <w:p>
            <w:pPr>
              <w:spacing w:after="0"/>
              <w:rPr>
                <w:sz w:val="24"/>
                <w:szCs w:val="24"/>
                <w:color w:val="auto"/>
              </w:rPr>
            </w:pPr>
          </w:p>
        </w:tc>
        <w:tc>
          <w:tcPr>
            <w:tcW w:w="1120" w:type="dxa"/>
            <w:vAlign w:val="bottom"/>
            <w:tcBorders>
              <w:right w:val="single" w:sz="8" w:color="E93CAC"/>
            </w:tcBorders>
            <w:shd w:val="clear" w:color="auto" w:fill="E93CAC"/>
          </w:tcPr>
          <w:p>
            <w:pPr>
              <w:spacing w:after="0"/>
              <w:rPr>
                <w:sz w:val="24"/>
                <w:szCs w:val="24"/>
                <w:color w:val="auto"/>
              </w:rPr>
            </w:pPr>
          </w:p>
        </w:tc>
        <w:tc>
          <w:tcPr>
            <w:tcW w:w="1020" w:type="dxa"/>
            <w:vAlign w:val="bottom"/>
            <w:shd w:val="clear" w:color="auto" w:fill="E93CAC"/>
          </w:tcPr>
          <w:p>
            <w:pPr>
              <w:spacing w:after="0"/>
              <w:rPr>
                <w:sz w:val="24"/>
                <w:szCs w:val="24"/>
                <w:color w:val="auto"/>
              </w:rPr>
            </w:pPr>
          </w:p>
        </w:tc>
        <w:tc>
          <w:tcPr>
            <w:tcW w:w="760" w:type="dxa"/>
            <w:vAlign w:val="bottom"/>
            <w:tcBorders>
              <w:right w:val="single" w:sz="8" w:color="E93CAC"/>
            </w:tcBorders>
            <w:shd w:val="clear" w:color="auto" w:fill="E93CAC"/>
          </w:tcPr>
          <w:p>
            <w:pPr>
              <w:spacing w:after="0"/>
              <w:rPr>
                <w:sz w:val="24"/>
                <w:szCs w:val="24"/>
                <w:color w:val="auto"/>
              </w:rPr>
            </w:pPr>
          </w:p>
        </w:tc>
        <w:tc>
          <w:tcPr>
            <w:tcW w:w="900" w:type="dxa"/>
            <w:vAlign w:val="bottom"/>
            <w:tcBorders>
              <w:right w:val="single" w:sz="8" w:color="E93CAC"/>
            </w:tcBorders>
            <w:shd w:val="clear" w:color="auto" w:fill="E93CAC"/>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60" w:type="dxa"/>
            <w:vAlign w:val="bottom"/>
            <w:tcBorders>
              <w:left w:val="single" w:sz="8" w:color="E93CAC"/>
              <w:right w:val="single" w:sz="8" w:color="E93CAC"/>
            </w:tcBorders>
            <w:shd w:val="clear" w:color="auto" w:fill="E93CAC"/>
          </w:tcPr>
          <w:p>
            <w:pPr>
              <w:spacing w:after="0"/>
              <w:rPr>
                <w:sz w:val="5"/>
                <w:szCs w:val="5"/>
                <w:color w:val="auto"/>
              </w:rPr>
            </w:pPr>
          </w:p>
        </w:tc>
        <w:tc>
          <w:tcPr>
            <w:tcW w:w="2720" w:type="dxa"/>
            <w:vAlign w:val="bottom"/>
            <w:tcBorders>
              <w:right w:val="single" w:sz="8" w:color="E93CAC"/>
            </w:tcBorders>
            <w:gridSpan w:val="3"/>
            <w:shd w:val="clear" w:color="auto" w:fill="E93CAC"/>
          </w:tcPr>
          <w:p>
            <w:pPr>
              <w:spacing w:after="0"/>
              <w:rPr>
                <w:sz w:val="5"/>
                <w:szCs w:val="5"/>
                <w:color w:val="auto"/>
              </w:rPr>
            </w:pPr>
          </w:p>
        </w:tc>
        <w:tc>
          <w:tcPr>
            <w:tcW w:w="200" w:type="dxa"/>
            <w:vAlign w:val="bottom"/>
            <w:shd w:val="clear" w:color="auto" w:fill="E93CAC"/>
          </w:tcPr>
          <w:p>
            <w:pPr>
              <w:spacing w:after="0"/>
              <w:rPr>
                <w:sz w:val="5"/>
                <w:szCs w:val="5"/>
                <w:color w:val="auto"/>
              </w:rPr>
            </w:pPr>
          </w:p>
        </w:tc>
        <w:tc>
          <w:tcPr>
            <w:tcW w:w="480" w:type="dxa"/>
            <w:vAlign w:val="bottom"/>
            <w:shd w:val="clear" w:color="auto" w:fill="E93CAC"/>
          </w:tcPr>
          <w:p>
            <w:pPr>
              <w:spacing w:after="0"/>
              <w:rPr>
                <w:sz w:val="5"/>
                <w:szCs w:val="5"/>
                <w:color w:val="auto"/>
              </w:rPr>
            </w:pPr>
          </w:p>
        </w:tc>
        <w:tc>
          <w:tcPr>
            <w:tcW w:w="1120" w:type="dxa"/>
            <w:vAlign w:val="bottom"/>
            <w:tcBorders>
              <w:right w:val="single" w:sz="8" w:color="E93CAC"/>
            </w:tcBorders>
            <w:shd w:val="clear" w:color="auto" w:fill="E93CAC"/>
          </w:tcPr>
          <w:p>
            <w:pPr>
              <w:spacing w:after="0"/>
              <w:rPr>
                <w:sz w:val="5"/>
                <w:szCs w:val="5"/>
                <w:color w:val="auto"/>
              </w:rPr>
            </w:pPr>
          </w:p>
        </w:tc>
        <w:tc>
          <w:tcPr>
            <w:tcW w:w="1020" w:type="dxa"/>
            <w:vAlign w:val="bottom"/>
            <w:shd w:val="clear" w:color="auto" w:fill="E93CAC"/>
          </w:tcPr>
          <w:p>
            <w:pPr>
              <w:spacing w:after="0"/>
              <w:rPr>
                <w:sz w:val="5"/>
                <w:szCs w:val="5"/>
                <w:color w:val="auto"/>
              </w:rPr>
            </w:pPr>
          </w:p>
        </w:tc>
        <w:tc>
          <w:tcPr>
            <w:tcW w:w="760" w:type="dxa"/>
            <w:vAlign w:val="bottom"/>
            <w:tcBorders>
              <w:right w:val="single" w:sz="8" w:color="E93CAC"/>
            </w:tcBorders>
            <w:shd w:val="clear" w:color="auto" w:fill="E93CAC"/>
          </w:tcPr>
          <w:p>
            <w:pPr>
              <w:spacing w:after="0"/>
              <w:rPr>
                <w:sz w:val="5"/>
                <w:szCs w:val="5"/>
                <w:color w:val="auto"/>
              </w:rPr>
            </w:pPr>
          </w:p>
        </w:tc>
        <w:tc>
          <w:tcPr>
            <w:tcW w:w="900" w:type="dxa"/>
            <w:vAlign w:val="bottom"/>
            <w:tcBorders>
              <w:right w:val="single" w:sz="8" w:color="E93CAC"/>
            </w:tcBorders>
            <w:shd w:val="clear" w:color="auto" w:fill="E93CAC"/>
          </w:tcPr>
          <w:p>
            <w:pPr>
              <w:spacing w:after="0"/>
              <w:rPr>
                <w:sz w:val="5"/>
                <w:szCs w:val="5"/>
                <w:color w:val="auto"/>
              </w:rPr>
            </w:pPr>
          </w:p>
        </w:tc>
        <w:tc>
          <w:tcPr>
            <w:tcW w:w="0" w:type="dxa"/>
            <w:vAlign w:val="bottom"/>
          </w:tcPr>
          <w:p>
            <w:pPr>
              <w:spacing w:after="0"/>
              <w:rPr>
                <w:sz w:val="1"/>
                <w:szCs w:val="1"/>
                <w:color w:val="auto"/>
              </w:rPr>
            </w:pPr>
          </w:p>
        </w:tc>
      </w:tr>
      <w:tr>
        <w:trPr>
          <w:trHeight w:val="349"/>
        </w:trPr>
        <w:tc>
          <w:tcPr>
            <w:tcW w:w="4060" w:type="dxa"/>
            <w:vAlign w:val="bottom"/>
          </w:tcPr>
          <w:p>
            <w:pPr>
              <w:spacing w:after="0"/>
              <w:rPr>
                <w:sz w:val="24"/>
                <w:szCs w:val="24"/>
                <w:color w:val="auto"/>
              </w:rPr>
            </w:pPr>
          </w:p>
        </w:tc>
        <w:tc>
          <w:tcPr>
            <w:tcW w:w="2920" w:type="dxa"/>
            <w:vAlign w:val="bottom"/>
            <w:gridSpan w:val="4"/>
          </w:tcPr>
          <w:p>
            <w:pPr>
              <w:jc w:val="center"/>
              <w:ind w:left="142"/>
              <w:spacing w:after="0"/>
              <w:rPr>
                <w:sz w:val="20"/>
                <w:szCs w:val="20"/>
                <w:color w:val="auto"/>
              </w:rPr>
            </w:pPr>
            <w:r>
              <w:rPr>
                <w:rFonts w:ascii="Arial" w:cs="Arial" w:eastAsia="Arial" w:hAnsi="Arial"/>
                <w:sz w:val="16"/>
                <w:szCs w:val="16"/>
                <w:b w:val="1"/>
                <w:bCs w:val="1"/>
                <w:color w:val="auto"/>
              </w:rPr>
              <w:t>Consolidated Statement of Income</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8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rPr>
              <w:t>(S/ Thousands, IFRS)</w:t>
            </w: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40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60" w:type="dxa"/>
            <w:vAlign w:val="bottom"/>
            <w:tcBorders>
              <w:left w:val="single" w:sz="8" w:color="auto"/>
              <w:right w:val="single" w:sz="8" w:color="auto"/>
            </w:tcBorders>
            <w:shd w:val="clear" w:color="auto" w:fill="2AD2C9"/>
          </w:tcPr>
          <w:p>
            <w:pPr>
              <w:spacing w:after="0"/>
              <w:rPr>
                <w:sz w:val="8"/>
                <w:szCs w:val="8"/>
                <w:color w:val="auto"/>
              </w:rPr>
            </w:pPr>
          </w:p>
        </w:tc>
        <w:tc>
          <w:tcPr>
            <w:tcW w:w="740" w:type="dxa"/>
            <w:vAlign w:val="bottom"/>
            <w:shd w:val="clear" w:color="auto" w:fill="2AD2C9"/>
          </w:tcPr>
          <w:p>
            <w:pPr>
              <w:spacing w:after="0"/>
              <w:rPr>
                <w:sz w:val="8"/>
                <w:szCs w:val="8"/>
                <w:color w:val="auto"/>
              </w:rPr>
            </w:pPr>
          </w:p>
        </w:tc>
        <w:tc>
          <w:tcPr>
            <w:tcW w:w="1040" w:type="dxa"/>
            <w:vAlign w:val="bottom"/>
            <w:shd w:val="clear" w:color="auto" w:fill="2AD2C9"/>
          </w:tcPr>
          <w:p>
            <w:pPr>
              <w:ind w:left="400"/>
              <w:spacing w:after="0" w:line="99" w:lineRule="exact"/>
              <w:rPr>
                <w:sz w:val="20"/>
                <w:szCs w:val="20"/>
                <w:color w:val="auto"/>
              </w:rPr>
            </w:pPr>
            <w:r>
              <w:rPr>
                <w:rFonts w:ascii="Arial" w:cs="Arial" w:eastAsia="Arial" w:hAnsi="Arial"/>
                <w:sz w:val="11"/>
                <w:szCs w:val="11"/>
                <w:b w:val="1"/>
                <w:bCs w:val="1"/>
                <w:color w:val="FFFFFF"/>
              </w:rPr>
              <w:t>Quarter</w:t>
            </w:r>
          </w:p>
        </w:tc>
        <w:tc>
          <w:tcPr>
            <w:tcW w:w="940" w:type="dxa"/>
            <w:vAlign w:val="bottom"/>
            <w:tcBorders>
              <w:right w:val="single" w:sz="8" w:color="auto"/>
            </w:tcBorders>
            <w:shd w:val="clear" w:color="auto" w:fill="2AD2C9"/>
          </w:tcPr>
          <w:p>
            <w:pPr>
              <w:spacing w:after="0"/>
              <w:rPr>
                <w:sz w:val="8"/>
                <w:szCs w:val="8"/>
                <w:color w:val="auto"/>
              </w:rPr>
            </w:pPr>
          </w:p>
        </w:tc>
        <w:tc>
          <w:tcPr>
            <w:tcW w:w="200" w:type="dxa"/>
            <w:vAlign w:val="bottom"/>
            <w:shd w:val="clear" w:color="auto" w:fill="2AD2C9"/>
          </w:tcPr>
          <w:p>
            <w:pPr>
              <w:spacing w:after="0"/>
              <w:rPr>
                <w:sz w:val="8"/>
                <w:szCs w:val="8"/>
                <w:color w:val="auto"/>
              </w:rPr>
            </w:pPr>
          </w:p>
        </w:tc>
        <w:tc>
          <w:tcPr>
            <w:tcW w:w="1600" w:type="dxa"/>
            <w:vAlign w:val="bottom"/>
            <w:tcBorders>
              <w:right w:val="single" w:sz="8" w:color="auto"/>
            </w:tcBorders>
            <w:gridSpan w:val="2"/>
            <w:shd w:val="clear" w:color="auto" w:fill="2AD2C9"/>
          </w:tcPr>
          <w:p>
            <w:pPr>
              <w:ind w:left="420"/>
              <w:spacing w:after="0" w:line="99" w:lineRule="exact"/>
              <w:rPr>
                <w:sz w:val="20"/>
                <w:szCs w:val="20"/>
                <w:color w:val="auto"/>
              </w:rPr>
            </w:pPr>
            <w:r>
              <w:rPr>
                <w:rFonts w:ascii="Arial" w:cs="Arial" w:eastAsia="Arial" w:hAnsi="Arial"/>
                <w:sz w:val="11"/>
                <w:szCs w:val="11"/>
                <w:b w:val="1"/>
                <w:bCs w:val="1"/>
                <w:color w:val="FFFFFF"/>
              </w:rPr>
              <w:t>% change</w:t>
            </w:r>
          </w:p>
        </w:tc>
        <w:tc>
          <w:tcPr>
            <w:tcW w:w="1020" w:type="dxa"/>
            <w:vAlign w:val="bottom"/>
            <w:shd w:val="clear" w:color="auto" w:fill="2AD2C9"/>
          </w:tcPr>
          <w:p>
            <w:pPr>
              <w:ind w:left="740"/>
              <w:spacing w:after="0" w:line="99" w:lineRule="exact"/>
              <w:rPr>
                <w:sz w:val="20"/>
                <w:szCs w:val="20"/>
                <w:color w:val="auto"/>
              </w:rPr>
            </w:pPr>
            <w:r>
              <w:rPr>
                <w:rFonts w:ascii="Arial" w:cs="Arial" w:eastAsia="Arial" w:hAnsi="Arial"/>
                <w:sz w:val="11"/>
                <w:szCs w:val="11"/>
                <w:b w:val="1"/>
                <w:bCs w:val="1"/>
                <w:color w:val="FFFFFF"/>
                <w:w w:val="94"/>
              </w:rPr>
              <w:t>As of</w:t>
            </w:r>
          </w:p>
        </w:tc>
        <w:tc>
          <w:tcPr>
            <w:tcW w:w="760" w:type="dxa"/>
            <w:vAlign w:val="bottom"/>
            <w:tcBorders>
              <w:right w:val="single" w:sz="8" w:color="auto"/>
            </w:tcBorders>
            <w:shd w:val="clear" w:color="auto" w:fill="2AD2C9"/>
          </w:tcPr>
          <w:p>
            <w:pPr>
              <w:spacing w:after="0"/>
              <w:rPr>
                <w:sz w:val="8"/>
                <w:szCs w:val="8"/>
                <w:color w:val="auto"/>
              </w:rPr>
            </w:pPr>
          </w:p>
        </w:tc>
        <w:tc>
          <w:tcPr>
            <w:tcW w:w="900" w:type="dxa"/>
            <w:vAlign w:val="bottom"/>
            <w:tcBorders>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 Change</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shd w:val="clear" w:color="auto" w:fill="2AD2C9"/>
          </w:tcPr>
          <w:p>
            <w:pPr>
              <w:spacing w:after="0"/>
              <w:rPr>
                <w:sz w:val="10"/>
                <w:szCs w:val="10"/>
                <w:color w:val="auto"/>
              </w:rPr>
            </w:pPr>
          </w:p>
        </w:tc>
        <w:tc>
          <w:tcPr>
            <w:tcW w:w="740" w:type="dxa"/>
            <w:vAlign w:val="bottom"/>
            <w:vMerge w:val="restart"/>
            <w:shd w:val="clear" w:color="auto" w:fill="2AD2C9"/>
          </w:tcPr>
          <w:p>
            <w:pPr>
              <w:jc w:val="center"/>
              <w:ind w:left="82"/>
              <w:spacing w:after="0"/>
              <w:rPr>
                <w:sz w:val="20"/>
                <w:szCs w:val="20"/>
                <w:color w:val="auto"/>
              </w:rPr>
            </w:pPr>
            <w:r>
              <w:rPr>
                <w:rFonts w:ascii="Arial" w:cs="Arial" w:eastAsia="Arial" w:hAnsi="Arial"/>
                <w:sz w:val="11"/>
                <w:szCs w:val="11"/>
                <w:b w:val="1"/>
                <w:bCs w:val="1"/>
                <w:color w:val="FFFFFF"/>
              </w:rPr>
              <w:t>4Q22</w:t>
            </w:r>
          </w:p>
        </w:tc>
        <w:tc>
          <w:tcPr>
            <w:tcW w:w="1040" w:type="dxa"/>
            <w:vAlign w:val="bottom"/>
            <w:vMerge w:val="restart"/>
            <w:shd w:val="clear" w:color="auto" w:fill="2AD2C9"/>
          </w:tcPr>
          <w:p>
            <w:pPr>
              <w:jc w:val="center"/>
              <w:ind w:left="102"/>
              <w:spacing w:after="0"/>
              <w:rPr>
                <w:sz w:val="20"/>
                <w:szCs w:val="20"/>
                <w:color w:val="auto"/>
              </w:rPr>
            </w:pPr>
            <w:r>
              <w:rPr>
                <w:rFonts w:ascii="Arial" w:cs="Arial" w:eastAsia="Arial" w:hAnsi="Arial"/>
                <w:sz w:val="11"/>
                <w:szCs w:val="11"/>
                <w:b w:val="1"/>
                <w:bCs w:val="1"/>
                <w:color w:val="FFFFFF"/>
              </w:rPr>
              <w:t>3Q23</w:t>
            </w:r>
          </w:p>
        </w:tc>
        <w:tc>
          <w:tcPr>
            <w:tcW w:w="94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200" w:type="dxa"/>
            <w:vAlign w:val="bottom"/>
            <w:shd w:val="clear" w:color="auto" w:fill="2AD2C9"/>
          </w:tcPr>
          <w:p>
            <w:pPr>
              <w:spacing w:after="0"/>
              <w:rPr>
                <w:sz w:val="10"/>
                <w:szCs w:val="10"/>
                <w:color w:val="auto"/>
              </w:rPr>
            </w:pPr>
          </w:p>
        </w:tc>
        <w:tc>
          <w:tcPr>
            <w:tcW w:w="480" w:type="dxa"/>
            <w:vAlign w:val="bottom"/>
            <w:vMerge w:val="restart"/>
            <w:shd w:val="clear" w:color="auto" w:fill="2AD2C9"/>
          </w:tcPr>
          <w:p>
            <w:pPr>
              <w:ind w:left="100"/>
              <w:spacing w:after="0"/>
              <w:rPr>
                <w:sz w:val="20"/>
                <w:szCs w:val="20"/>
                <w:color w:val="auto"/>
              </w:rPr>
            </w:pPr>
            <w:r>
              <w:rPr>
                <w:rFonts w:ascii="Arial" w:cs="Arial" w:eastAsia="Arial" w:hAnsi="Arial"/>
                <w:sz w:val="11"/>
                <w:szCs w:val="11"/>
                <w:b w:val="1"/>
                <w:bCs w:val="1"/>
                <w:color w:val="FFFFFF"/>
              </w:rPr>
              <w:t>QoQ</w:t>
            </w:r>
          </w:p>
        </w:tc>
        <w:tc>
          <w:tcPr>
            <w:tcW w:w="1120" w:type="dxa"/>
            <w:vAlign w:val="bottom"/>
            <w:tcBorders>
              <w:right w:val="single" w:sz="8" w:color="auto"/>
            </w:tcBorders>
            <w:vMerge w:val="restart"/>
            <w:shd w:val="clear" w:color="auto" w:fill="2AD2C9"/>
          </w:tcPr>
          <w:p>
            <w:pPr>
              <w:jc w:val="center"/>
              <w:ind w:left="122"/>
              <w:spacing w:after="0"/>
              <w:rPr>
                <w:sz w:val="20"/>
                <w:szCs w:val="20"/>
                <w:color w:val="auto"/>
              </w:rPr>
            </w:pPr>
            <w:r>
              <w:rPr>
                <w:rFonts w:ascii="Arial" w:cs="Arial" w:eastAsia="Arial" w:hAnsi="Arial"/>
                <w:sz w:val="11"/>
                <w:szCs w:val="11"/>
                <w:b w:val="1"/>
                <w:bCs w:val="1"/>
                <w:color w:val="FFFFFF"/>
              </w:rPr>
              <w:t>YoY</w:t>
            </w:r>
          </w:p>
        </w:tc>
        <w:tc>
          <w:tcPr>
            <w:tcW w:w="1020" w:type="dxa"/>
            <w:vAlign w:val="bottom"/>
            <w:vMerge w:val="restart"/>
            <w:shd w:val="clear" w:color="auto" w:fill="2AD2C9"/>
          </w:tcPr>
          <w:p>
            <w:pPr>
              <w:ind w:left="240"/>
              <w:spacing w:after="0"/>
              <w:rPr>
                <w:sz w:val="20"/>
                <w:szCs w:val="20"/>
                <w:color w:val="auto"/>
              </w:rPr>
            </w:pPr>
            <w:r>
              <w:rPr>
                <w:rFonts w:ascii="Arial" w:cs="Arial" w:eastAsia="Arial" w:hAnsi="Arial"/>
                <w:sz w:val="11"/>
                <w:szCs w:val="11"/>
                <w:b w:val="1"/>
                <w:bCs w:val="1"/>
                <w:color w:val="FFFFFF"/>
              </w:rPr>
              <w:t>Dec 22</w:t>
            </w:r>
          </w:p>
        </w:tc>
        <w:tc>
          <w:tcPr>
            <w:tcW w:w="760" w:type="dxa"/>
            <w:vAlign w:val="bottom"/>
            <w:tcBorders>
              <w:right w:val="single" w:sz="8" w:color="auto"/>
            </w:tcBorders>
            <w:vMerge w:val="restart"/>
            <w:shd w:val="clear" w:color="auto" w:fill="2AD2C9"/>
          </w:tcPr>
          <w:p>
            <w:pPr>
              <w:ind w:left="120"/>
              <w:spacing w:after="0"/>
              <w:rPr>
                <w:sz w:val="20"/>
                <w:szCs w:val="20"/>
                <w:color w:val="auto"/>
              </w:rPr>
            </w:pPr>
            <w:r>
              <w:rPr>
                <w:rFonts w:ascii="Arial" w:cs="Arial" w:eastAsia="Arial" w:hAnsi="Arial"/>
                <w:sz w:val="11"/>
                <w:szCs w:val="11"/>
                <w:b w:val="1"/>
                <w:bCs w:val="1"/>
                <w:color w:val="FFFFFF"/>
              </w:rPr>
              <w:t>Dec 23</w:t>
            </w:r>
          </w:p>
        </w:tc>
        <w:tc>
          <w:tcPr>
            <w:tcW w:w="900" w:type="dxa"/>
            <w:vAlign w:val="bottom"/>
            <w:tcBorders>
              <w:right w:val="single" w:sz="8" w:color="auto"/>
            </w:tcBorders>
            <w:shd w:val="clear" w:color="auto" w:fill="2AD2C9"/>
          </w:tcPr>
          <w:p>
            <w:pPr>
              <w:jc w:val="center"/>
              <w:spacing w:after="0" w:line="122" w:lineRule="exact"/>
              <w:rPr>
                <w:sz w:val="20"/>
                <w:szCs w:val="20"/>
                <w:color w:val="auto"/>
              </w:rPr>
            </w:pPr>
            <w:r>
              <w:rPr>
                <w:rFonts w:ascii="Arial" w:cs="Arial" w:eastAsia="Arial" w:hAnsi="Arial"/>
                <w:sz w:val="11"/>
                <w:szCs w:val="11"/>
                <w:b w:val="1"/>
                <w:bCs w:val="1"/>
                <w:color w:val="FFFFFF"/>
              </w:rPr>
              <w:t>Dec 22 / Dec</w:t>
            </w:r>
          </w:p>
        </w:tc>
        <w:tc>
          <w:tcPr>
            <w:tcW w:w="0" w:type="dxa"/>
            <w:vAlign w:val="bottom"/>
          </w:tcPr>
          <w:p>
            <w:pPr>
              <w:spacing w:after="0"/>
              <w:rPr>
                <w:sz w:val="1"/>
                <w:szCs w:val="1"/>
                <w:color w:val="auto"/>
              </w:rPr>
            </w:pPr>
          </w:p>
        </w:tc>
      </w:tr>
      <w:tr>
        <w:trPr>
          <w:trHeight w:val="137"/>
        </w:trPr>
        <w:tc>
          <w:tcPr>
            <w:tcW w:w="4060" w:type="dxa"/>
            <w:vAlign w:val="bottom"/>
            <w:tcBorders>
              <w:left w:val="single" w:sz="8" w:color="auto"/>
              <w:bottom w:val="single" w:sz="8" w:color="2AD2C9"/>
              <w:right w:val="single" w:sz="8" w:color="auto"/>
            </w:tcBorders>
            <w:shd w:val="clear" w:color="auto" w:fill="2AD2C9"/>
          </w:tcPr>
          <w:p>
            <w:pPr>
              <w:spacing w:after="0"/>
              <w:rPr>
                <w:sz w:val="11"/>
                <w:szCs w:val="11"/>
                <w:color w:val="auto"/>
              </w:rPr>
            </w:pPr>
          </w:p>
        </w:tc>
        <w:tc>
          <w:tcPr>
            <w:tcW w:w="740" w:type="dxa"/>
            <w:vAlign w:val="bottom"/>
            <w:tcBorders>
              <w:bottom w:val="single" w:sz="8" w:color="2AD2C9"/>
            </w:tcBorders>
            <w:vMerge w:val="continue"/>
            <w:shd w:val="clear" w:color="auto" w:fill="2AD2C9"/>
          </w:tcPr>
          <w:p>
            <w:pPr>
              <w:spacing w:after="0"/>
              <w:rPr>
                <w:sz w:val="11"/>
                <w:szCs w:val="11"/>
                <w:color w:val="auto"/>
              </w:rPr>
            </w:pPr>
          </w:p>
        </w:tc>
        <w:tc>
          <w:tcPr>
            <w:tcW w:w="1040" w:type="dxa"/>
            <w:vAlign w:val="bottom"/>
            <w:tcBorders>
              <w:bottom w:val="single" w:sz="8" w:color="2AD2C9"/>
            </w:tcBorders>
            <w:vMerge w:val="continue"/>
            <w:shd w:val="clear" w:color="auto" w:fill="2AD2C9"/>
          </w:tcPr>
          <w:p>
            <w:pPr>
              <w:spacing w:after="0"/>
              <w:rPr>
                <w:sz w:val="11"/>
                <w:szCs w:val="11"/>
                <w:color w:val="auto"/>
              </w:rPr>
            </w:pPr>
          </w:p>
        </w:tc>
        <w:tc>
          <w:tcPr>
            <w:tcW w:w="940" w:type="dxa"/>
            <w:vAlign w:val="bottom"/>
            <w:tcBorders>
              <w:bottom w:val="single" w:sz="8" w:color="2AD2C9"/>
              <w:right w:val="single" w:sz="8" w:color="auto"/>
            </w:tcBorders>
            <w:vMerge w:val="continue"/>
            <w:shd w:val="clear" w:color="auto" w:fill="2AD2C9"/>
          </w:tcPr>
          <w:p>
            <w:pPr>
              <w:spacing w:after="0"/>
              <w:rPr>
                <w:sz w:val="11"/>
                <w:szCs w:val="11"/>
                <w:color w:val="auto"/>
              </w:rPr>
            </w:pPr>
          </w:p>
        </w:tc>
        <w:tc>
          <w:tcPr>
            <w:tcW w:w="200" w:type="dxa"/>
            <w:vAlign w:val="bottom"/>
            <w:tcBorders>
              <w:bottom w:val="single" w:sz="8" w:color="2AD2C9"/>
            </w:tcBorders>
            <w:shd w:val="clear" w:color="auto" w:fill="2AD2C9"/>
          </w:tcPr>
          <w:p>
            <w:pPr>
              <w:spacing w:after="0"/>
              <w:rPr>
                <w:sz w:val="11"/>
                <w:szCs w:val="11"/>
                <w:color w:val="auto"/>
              </w:rPr>
            </w:pPr>
          </w:p>
        </w:tc>
        <w:tc>
          <w:tcPr>
            <w:tcW w:w="480" w:type="dxa"/>
            <w:vAlign w:val="bottom"/>
            <w:tcBorders>
              <w:bottom w:val="single" w:sz="8" w:color="2AD2C9"/>
            </w:tcBorders>
            <w:vMerge w:val="continue"/>
            <w:shd w:val="clear" w:color="auto" w:fill="2AD2C9"/>
          </w:tcPr>
          <w:p>
            <w:pPr>
              <w:spacing w:after="0"/>
              <w:rPr>
                <w:sz w:val="11"/>
                <w:szCs w:val="11"/>
                <w:color w:val="auto"/>
              </w:rPr>
            </w:pPr>
          </w:p>
        </w:tc>
        <w:tc>
          <w:tcPr>
            <w:tcW w:w="1120" w:type="dxa"/>
            <w:vAlign w:val="bottom"/>
            <w:tcBorders>
              <w:bottom w:val="single" w:sz="8" w:color="2AD2C9"/>
              <w:right w:val="single" w:sz="8" w:color="auto"/>
            </w:tcBorders>
            <w:vMerge w:val="continue"/>
            <w:shd w:val="clear" w:color="auto" w:fill="2AD2C9"/>
          </w:tcPr>
          <w:p>
            <w:pPr>
              <w:spacing w:after="0"/>
              <w:rPr>
                <w:sz w:val="11"/>
                <w:szCs w:val="11"/>
                <w:color w:val="auto"/>
              </w:rPr>
            </w:pPr>
          </w:p>
        </w:tc>
        <w:tc>
          <w:tcPr>
            <w:tcW w:w="1020" w:type="dxa"/>
            <w:vAlign w:val="bottom"/>
            <w:tcBorders>
              <w:bottom w:val="single" w:sz="8" w:color="2AD2C9"/>
            </w:tcBorders>
            <w:vMerge w:val="continue"/>
            <w:shd w:val="clear" w:color="auto" w:fill="2AD2C9"/>
          </w:tcPr>
          <w:p>
            <w:pPr>
              <w:spacing w:after="0"/>
              <w:rPr>
                <w:sz w:val="11"/>
                <w:szCs w:val="11"/>
                <w:color w:val="auto"/>
              </w:rPr>
            </w:pPr>
          </w:p>
        </w:tc>
        <w:tc>
          <w:tcPr>
            <w:tcW w:w="760" w:type="dxa"/>
            <w:vAlign w:val="bottom"/>
            <w:tcBorders>
              <w:bottom w:val="single" w:sz="8" w:color="2AD2C9"/>
              <w:right w:val="single" w:sz="8" w:color="auto"/>
            </w:tcBorders>
            <w:vMerge w:val="continue"/>
            <w:shd w:val="clear" w:color="auto" w:fill="2AD2C9"/>
          </w:tcPr>
          <w:p>
            <w:pPr>
              <w:spacing w:after="0"/>
              <w:rPr>
                <w:sz w:val="11"/>
                <w:szCs w:val="11"/>
                <w:color w:val="auto"/>
              </w:rPr>
            </w:pPr>
          </w:p>
        </w:tc>
        <w:tc>
          <w:tcPr>
            <w:tcW w:w="90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23</w:t>
            </w:r>
          </w:p>
        </w:tc>
        <w:tc>
          <w:tcPr>
            <w:tcW w:w="0" w:type="dxa"/>
            <w:vAlign w:val="bottom"/>
          </w:tcPr>
          <w:p>
            <w:pPr>
              <w:spacing w:after="0"/>
              <w:rPr>
                <w:sz w:val="1"/>
                <w:szCs w:val="1"/>
                <w:color w:val="auto"/>
              </w:rPr>
            </w:pPr>
          </w:p>
        </w:tc>
      </w:tr>
      <w:tr>
        <w:trPr>
          <w:trHeight w:val="99"/>
        </w:trPr>
        <w:tc>
          <w:tcPr>
            <w:tcW w:w="4060" w:type="dxa"/>
            <w:vAlign w:val="bottom"/>
            <w:tcBorders>
              <w:top w:val="single" w:sz="8" w:color="auto"/>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Interest income and expense</w:t>
            </w:r>
          </w:p>
        </w:tc>
        <w:tc>
          <w:tcPr>
            <w:tcW w:w="7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940" w:type="dxa"/>
            <w:vAlign w:val="bottom"/>
            <w:tcBorders>
              <w:top w:val="single" w:sz="8" w:color="auto"/>
              <w:right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120" w:type="dxa"/>
            <w:vAlign w:val="bottom"/>
            <w:tcBorders>
              <w:top w:val="single" w:sz="8" w:color="auto"/>
              <w:right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760" w:type="dxa"/>
            <w:vAlign w:val="bottom"/>
            <w:tcBorders>
              <w:top w:val="single" w:sz="8" w:color="auto"/>
              <w:right w:val="single" w:sz="8" w:color="auto"/>
            </w:tcBorders>
          </w:tcPr>
          <w:p>
            <w:pPr>
              <w:spacing w:after="0"/>
              <w:rPr>
                <w:sz w:val="8"/>
                <w:szCs w:val="8"/>
                <w:color w:val="auto"/>
              </w:rPr>
            </w:pPr>
          </w:p>
        </w:tc>
        <w:tc>
          <w:tcPr>
            <w:tcW w:w="900" w:type="dxa"/>
            <w:vAlign w:val="bottom"/>
            <w:tcBorders>
              <w:top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Interest and dividend income</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3,821,770</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4,227,671</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4,265,959</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0.9%</w:t>
            </w:r>
          </w:p>
        </w:tc>
        <w:tc>
          <w:tcPr>
            <w:tcW w:w="112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11.6%</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12,985,696</w:t>
            </w:r>
          </w:p>
        </w:tc>
        <w:tc>
          <w:tcPr>
            <w:tcW w:w="7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16,463,174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26.8%</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Interest expense</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(913,761)</w:t>
            </w:r>
          </w:p>
        </w:tc>
        <w:tc>
          <w:tcPr>
            <w:tcW w:w="10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(1,216,744)</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(1,153,770)</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-5.2%</w:t>
            </w:r>
          </w:p>
        </w:tc>
        <w:tc>
          <w:tcPr>
            <w:tcW w:w="112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26.3%</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(2,798,234)</w:t>
            </w:r>
          </w:p>
        </w:tc>
        <w:tc>
          <w:tcPr>
            <w:tcW w:w="760" w:type="dxa"/>
            <w:vAlign w:val="bottom"/>
            <w:tcBorders>
              <w:right w:val="single" w:sz="8" w:color="auto"/>
            </w:tcBorders>
          </w:tcPr>
          <w:p>
            <w:pPr>
              <w:jc w:val="center"/>
              <w:ind w:right="83"/>
              <w:spacing w:after="0" w:line="122" w:lineRule="exact"/>
              <w:rPr>
                <w:sz w:val="20"/>
                <w:szCs w:val="20"/>
                <w:color w:val="auto"/>
              </w:rPr>
            </w:pPr>
            <w:r>
              <w:rPr>
                <w:rFonts w:ascii="Arial" w:cs="Arial" w:eastAsia="Arial" w:hAnsi="Arial"/>
                <w:sz w:val="11"/>
                <w:szCs w:val="11"/>
                <w:color w:val="auto"/>
              </w:rPr>
              <w:t>(4,477,974)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60.0%</w:t>
            </w:r>
          </w:p>
        </w:tc>
        <w:tc>
          <w:tcPr>
            <w:tcW w:w="0" w:type="dxa"/>
            <w:vAlign w:val="bottom"/>
          </w:tcPr>
          <w:p>
            <w:pPr>
              <w:spacing w:after="0"/>
              <w:rPr>
                <w:sz w:val="1"/>
                <w:szCs w:val="1"/>
                <w:color w:val="auto"/>
              </w:rPr>
            </w:pPr>
          </w:p>
        </w:tc>
      </w:tr>
      <w:tr>
        <w:trPr>
          <w:trHeight w:val="155"/>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interest income</w:t>
            </w:r>
          </w:p>
        </w:tc>
        <w:tc>
          <w:tcPr>
            <w:tcW w:w="740" w:type="dxa"/>
            <w:vAlign w:val="bottom"/>
          </w:tcPr>
          <w:p>
            <w:pPr>
              <w:jc w:val="center"/>
              <w:ind w:left="82"/>
              <w:spacing w:after="0"/>
              <w:rPr>
                <w:sz w:val="20"/>
                <w:szCs w:val="20"/>
                <w:color w:val="auto"/>
              </w:rPr>
            </w:pPr>
            <w:r>
              <w:rPr>
                <w:rFonts w:ascii="Arial" w:cs="Arial" w:eastAsia="Arial" w:hAnsi="Arial"/>
                <w:sz w:val="11"/>
                <w:szCs w:val="11"/>
                <w:color w:val="auto"/>
              </w:rPr>
              <w:t>2,908,009</w:t>
            </w:r>
          </w:p>
        </w:tc>
        <w:tc>
          <w:tcPr>
            <w:tcW w:w="1040" w:type="dxa"/>
            <w:vAlign w:val="bottom"/>
          </w:tcPr>
          <w:p>
            <w:pPr>
              <w:jc w:val="center"/>
              <w:ind w:left="102"/>
              <w:spacing w:after="0"/>
              <w:rPr>
                <w:sz w:val="20"/>
                <w:szCs w:val="20"/>
                <w:color w:val="auto"/>
              </w:rPr>
            </w:pPr>
            <w:r>
              <w:rPr>
                <w:rFonts w:ascii="Arial" w:cs="Arial" w:eastAsia="Arial" w:hAnsi="Arial"/>
                <w:sz w:val="11"/>
                <w:szCs w:val="11"/>
                <w:color w:val="auto"/>
              </w:rPr>
              <w:t>3,010,927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3,112,189</w:t>
            </w:r>
          </w:p>
        </w:tc>
        <w:tc>
          <w:tcPr>
            <w:tcW w:w="2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rPr>
              <w:t>3.4%</w:t>
            </w:r>
          </w:p>
        </w:tc>
        <w:tc>
          <w:tcPr>
            <w:tcW w:w="1120" w:type="dxa"/>
            <w:vAlign w:val="bottom"/>
            <w:tcBorders>
              <w:right w:val="single" w:sz="8" w:color="auto"/>
            </w:tcBorders>
          </w:tcPr>
          <w:p>
            <w:pPr>
              <w:jc w:val="center"/>
              <w:ind w:left="122"/>
              <w:spacing w:after="0"/>
              <w:rPr>
                <w:sz w:val="20"/>
                <w:szCs w:val="20"/>
                <w:color w:val="auto"/>
              </w:rPr>
            </w:pPr>
            <w:r>
              <w:rPr>
                <w:rFonts w:ascii="Arial" w:cs="Arial" w:eastAsia="Arial" w:hAnsi="Arial"/>
                <w:sz w:val="11"/>
                <w:szCs w:val="11"/>
                <w:color w:val="auto"/>
              </w:rPr>
              <w:t>7.0%</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10,187,462</w:t>
            </w:r>
          </w:p>
        </w:tc>
        <w:tc>
          <w:tcPr>
            <w:tcW w:w="760" w:type="dxa"/>
            <w:vAlign w:val="bottom"/>
            <w:tcBorders>
              <w:right w:val="single" w:sz="8" w:color="auto"/>
            </w:tcBorders>
          </w:tcPr>
          <w:p>
            <w:pPr>
              <w:jc w:val="center"/>
              <w:ind w:right="103"/>
              <w:spacing w:after="0"/>
              <w:rPr>
                <w:sz w:val="20"/>
                <w:szCs w:val="20"/>
                <w:color w:val="auto"/>
              </w:rPr>
            </w:pPr>
            <w:r>
              <w:rPr>
                <w:rFonts w:ascii="Arial" w:cs="Arial" w:eastAsia="Arial" w:hAnsi="Arial"/>
                <w:sz w:val="11"/>
                <w:szCs w:val="11"/>
                <w:color w:val="auto"/>
              </w:rPr>
              <w:t>11,985,200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17.6%</w:t>
            </w:r>
          </w:p>
        </w:tc>
        <w:tc>
          <w:tcPr>
            <w:tcW w:w="0" w:type="dxa"/>
            <w:vAlign w:val="bottom"/>
          </w:tcPr>
          <w:p>
            <w:pPr>
              <w:spacing w:after="0"/>
              <w:rPr>
                <w:sz w:val="1"/>
                <w:szCs w:val="1"/>
                <w:color w:val="auto"/>
              </w:rPr>
            </w:pPr>
          </w:p>
        </w:tc>
      </w:tr>
      <w:tr>
        <w:trPr>
          <w:trHeight w:val="211"/>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Provision for credit losses on loan portfolio</w:t>
            </w:r>
          </w:p>
        </w:tc>
        <w:tc>
          <w:tcPr>
            <w:tcW w:w="740" w:type="dxa"/>
            <w:vAlign w:val="bottom"/>
          </w:tcPr>
          <w:p>
            <w:pPr>
              <w:jc w:val="center"/>
              <w:ind w:left="82"/>
              <w:spacing w:after="0"/>
              <w:rPr>
                <w:sz w:val="20"/>
                <w:szCs w:val="20"/>
                <w:color w:val="auto"/>
              </w:rPr>
            </w:pPr>
            <w:r>
              <w:rPr>
                <w:rFonts w:ascii="Arial" w:cs="Arial" w:eastAsia="Arial" w:hAnsi="Arial"/>
                <w:sz w:val="11"/>
                <w:szCs w:val="11"/>
                <w:color w:val="auto"/>
              </w:rPr>
              <w:t>(783,402)</w:t>
            </w:r>
          </w:p>
        </w:tc>
        <w:tc>
          <w:tcPr>
            <w:tcW w:w="1040" w:type="dxa"/>
            <w:vAlign w:val="bottom"/>
          </w:tcPr>
          <w:p>
            <w:pPr>
              <w:jc w:val="center"/>
              <w:ind w:left="102"/>
              <w:spacing w:after="0"/>
              <w:rPr>
                <w:sz w:val="20"/>
                <w:szCs w:val="20"/>
                <w:color w:val="auto"/>
              </w:rPr>
            </w:pPr>
            <w:r>
              <w:rPr>
                <w:rFonts w:ascii="Arial" w:cs="Arial" w:eastAsia="Arial" w:hAnsi="Arial"/>
                <w:sz w:val="11"/>
                <w:szCs w:val="11"/>
                <w:color w:val="auto"/>
              </w:rPr>
              <w:t>(961,880)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(1,160,527)</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rPr>
              <w:t>20.7%</w:t>
            </w:r>
          </w:p>
        </w:tc>
        <w:tc>
          <w:tcPr>
            <w:tcW w:w="112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color w:val="auto"/>
              </w:rPr>
              <w:t>48.1%</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(2,045,832)</w:t>
            </w:r>
          </w:p>
        </w:tc>
        <w:tc>
          <w:tcPr>
            <w:tcW w:w="76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(3,768,729)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84.2%</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Recoveries of written-off loans</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79,076</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85,160</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81,398</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-4.4%</w:t>
            </w:r>
          </w:p>
        </w:tc>
        <w:tc>
          <w:tcPr>
            <w:tcW w:w="1120" w:type="dxa"/>
            <w:vAlign w:val="bottom"/>
            <w:tcBorders>
              <w:right w:val="single" w:sz="8" w:color="auto"/>
            </w:tcBorders>
          </w:tcPr>
          <w:p>
            <w:pPr>
              <w:jc w:val="center"/>
              <w:ind w:left="122"/>
              <w:spacing w:after="0" w:line="122" w:lineRule="exact"/>
              <w:rPr>
                <w:sz w:val="20"/>
                <w:szCs w:val="20"/>
                <w:color w:val="auto"/>
              </w:rPr>
            </w:pPr>
            <w:r>
              <w:rPr>
                <w:rFonts w:ascii="Arial" w:cs="Arial" w:eastAsia="Arial" w:hAnsi="Arial"/>
                <w:sz w:val="11"/>
                <w:szCs w:val="11"/>
                <w:color w:val="auto"/>
              </w:rPr>
              <w:t>2.9%</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321,151</w:t>
            </w:r>
          </w:p>
        </w:tc>
        <w:tc>
          <w:tcPr>
            <w:tcW w:w="7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313,405</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-2.4%</w:t>
            </w:r>
          </w:p>
        </w:tc>
        <w:tc>
          <w:tcPr>
            <w:tcW w:w="0" w:type="dxa"/>
            <w:vAlign w:val="bottom"/>
          </w:tcPr>
          <w:p>
            <w:pPr>
              <w:spacing w:after="0"/>
              <w:rPr>
                <w:sz w:val="1"/>
                <w:szCs w:val="1"/>
                <w:color w:val="auto"/>
              </w:rPr>
            </w:pPr>
          </w:p>
        </w:tc>
      </w:tr>
      <w:tr>
        <w:trPr>
          <w:trHeight w:val="155"/>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740" w:type="dxa"/>
            <w:vAlign w:val="bottom"/>
          </w:tcPr>
          <w:p>
            <w:pPr>
              <w:jc w:val="center"/>
              <w:ind w:left="82"/>
              <w:spacing w:after="0"/>
              <w:rPr>
                <w:sz w:val="20"/>
                <w:szCs w:val="20"/>
                <w:color w:val="auto"/>
              </w:rPr>
            </w:pPr>
            <w:r>
              <w:rPr>
                <w:rFonts w:ascii="Arial" w:cs="Arial" w:eastAsia="Arial" w:hAnsi="Arial"/>
                <w:sz w:val="11"/>
                <w:szCs w:val="11"/>
                <w:color w:val="auto"/>
              </w:rPr>
              <w:t>(704,326)</w:t>
            </w:r>
          </w:p>
        </w:tc>
        <w:tc>
          <w:tcPr>
            <w:tcW w:w="1040" w:type="dxa"/>
            <w:vAlign w:val="bottom"/>
          </w:tcPr>
          <w:p>
            <w:pPr>
              <w:jc w:val="center"/>
              <w:ind w:left="102"/>
              <w:spacing w:after="0"/>
              <w:rPr>
                <w:sz w:val="20"/>
                <w:szCs w:val="20"/>
                <w:color w:val="auto"/>
              </w:rPr>
            </w:pPr>
            <w:r>
              <w:rPr>
                <w:rFonts w:ascii="Arial" w:cs="Arial" w:eastAsia="Arial" w:hAnsi="Arial"/>
                <w:sz w:val="11"/>
                <w:szCs w:val="11"/>
                <w:color w:val="auto"/>
              </w:rPr>
              <w:t>(876,720)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(1,079,129)</w:t>
            </w:r>
          </w:p>
        </w:tc>
        <w:tc>
          <w:tcPr>
            <w:tcW w:w="2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rPr>
              <w:t>23.1%</w:t>
            </w:r>
          </w:p>
        </w:tc>
        <w:tc>
          <w:tcPr>
            <w:tcW w:w="112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color w:val="auto"/>
              </w:rPr>
              <w:t>53.2%</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(1,724,681)</w:t>
            </w:r>
          </w:p>
        </w:tc>
        <w:tc>
          <w:tcPr>
            <w:tcW w:w="76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(3,455,324)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100.3%</w:t>
            </w:r>
          </w:p>
        </w:tc>
        <w:tc>
          <w:tcPr>
            <w:tcW w:w="0" w:type="dxa"/>
            <w:vAlign w:val="bottom"/>
          </w:tcPr>
          <w:p>
            <w:pPr>
              <w:spacing w:after="0"/>
              <w:rPr>
                <w:sz w:val="1"/>
                <w:szCs w:val="1"/>
                <w:color w:val="auto"/>
              </w:rPr>
            </w:pPr>
          </w:p>
        </w:tc>
      </w:tr>
      <w:tr>
        <w:trPr>
          <w:trHeight w:val="244"/>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Risk-adjusted net interest income</w:t>
            </w:r>
          </w:p>
        </w:tc>
        <w:tc>
          <w:tcPr>
            <w:tcW w:w="740" w:type="dxa"/>
            <w:vAlign w:val="bottom"/>
          </w:tcPr>
          <w:p>
            <w:pPr>
              <w:jc w:val="center"/>
              <w:ind w:left="82"/>
              <w:spacing w:after="0"/>
              <w:rPr>
                <w:sz w:val="20"/>
                <w:szCs w:val="20"/>
                <w:color w:val="auto"/>
              </w:rPr>
            </w:pPr>
            <w:r>
              <w:rPr>
                <w:rFonts w:ascii="Arial" w:cs="Arial" w:eastAsia="Arial" w:hAnsi="Arial"/>
                <w:sz w:val="11"/>
                <w:szCs w:val="11"/>
                <w:color w:val="auto"/>
              </w:rPr>
              <w:t>2,203,683</w:t>
            </w:r>
          </w:p>
        </w:tc>
        <w:tc>
          <w:tcPr>
            <w:tcW w:w="1040" w:type="dxa"/>
            <w:vAlign w:val="bottom"/>
          </w:tcPr>
          <w:p>
            <w:pPr>
              <w:jc w:val="center"/>
              <w:ind w:left="102"/>
              <w:spacing w:after="0"/>
              <w:rPr>
                <w:sz w:val="20"/>
                <w:szCs w:val="20"/>
                <w:color w:val="auto"/>
              </w:rPr>
            </w:pPr>
            <w:r>
              <w:rPr>
                <w:rFonts w:ascii="Arial" w:cs="Arial" w:eastAsia="Arial" w:hAnsi="Arial"/>
                <w:sz w:val="11"/>
                <w:szCs w:val="11"/>
                <w:color w:val="auto"/>
              </w:rPr>
              <w:t>2,134,207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2,033,060</w:t>
            </w:r>
          </w:p>
        </w:tc>
        <w:tc>
          <w:tcPr>
            <w:tcW w:w="20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rPr>
              <w:t>-4.7%</w:t>
            </w:r>
          </w:p>
        </w:tc>
        <w:tc>
          <w:tcPr>
            <w:tcW w:w="1120" w:type="dxa"/>
            <w:vAlign w:val="bottom"/>
            <w:tcBorders>
              <w:right w:val="single" w:sz="8" w:color="auto"/>
            </w:tcBorders>
          </w:tcPr>
          <w:p>
            <w:pPr>
              <w:jc w:val="center"/>
              <w:ind w:left="122"/>
              <w:spacing w:after="0"/>
              <w:rPr>
                <w:sz w:val="20"/>
                <w:szCs w:val="20"/>
                <w:color w:val="auto"/>
              </w:rPr>
            </w:pPr>
            <w:r>
              <w:rPr>
                <w:rFonts w:ascii="Arial" w:cs="Arial" w:eastAsia="Arial" w:hAnsi="Arial"/>
                <w:sz w:val="11"/>
                <w:szCs w:val="11"/>
                <w:color w:val="auto"/>
              </w:rPr>
              <w:t>-7.7%</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8,462,781</w:t>
            </w:r>
          </w:p>
        </w:tc>
        <w:tc>
          <w:tcPr>
            <w:tcW w:w="76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8,529,876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211"/>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Non-financial income</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Fee income</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766,960</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784,742</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773,261</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-1.5%</w:t>
            </w:r>
          </w:p>
        </w:tc>
        <w:tc>
          <w:tcPr>
            <w:tcW w:w="1120" w:type="dxa"/>
            <w:vAlign w:val="bottom"/>
            <w:tcBorders>
              <w:right w:val="single" w:sz="8" w:color="auto"/>
            </w:tcBorders>
          </w:tcPr>
          <w:p>
            <w:pPr>
              <w:jc w:val="center"/>
              <w:ind w:left="122"/>
              <w:spacing w:after="0" w:line="122" w:lineRule="exact"/>
              <w:rPr>
                <w:sz w:val="20"/>
                <w:szCs w:val="20"/>
                <w:color w:val="auto"/>
              </w:rPr>
            </w:pPr>
            <w:r>
              <w:rPr>
                <w:rFonts w:ascii="Arial" w:cs="Arial" w:eastAsia="Arial" w:hAnsi="Arial"/>
                <w:sz w:val="11"/>
                <w:szCs w:val="11"/>
                <w:color w:val="auto"/>
              </w:rPr>
              <w:t>0.8%</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3,036,631</w:t>
            </w:r>
          </w:p>
        </w:tc>
        <w:tc>
          <w:tcPr>
            <w:tcW w:w="760" w:type="dxa"/>
            <w:vAlign w:val="bottom"/>
            <w:tcBorders>
              <w:right w:val="single" w:sz="8" w:color="auto"/>
            </w:tcBorders>
          </w:tcPr>
          <w:p>
            <w:pPr>
              <w:jc w:val="center"/>
              <w:ind w:right="83"/>
              <w:spacing w:after="0" w:line="122" w:lineRule="exact"/>
              <w:rPr>
                <w:sz w:val="20"/>
                <w:szCs w:val="20"/>
                <w:color w:val="auto"/>
              </w:rPr>
            </w:pPr>
            <w:r>
              <w:rPr>
                <w:rFonts w:ascii="Arial" w:cs="Arial" w:eastAsia="Arial" w:hAnsi="Arial"/>
                <w:sz w:val="11"/>
                <w:szCs w:val="11"/>
                <w:color w:val="auto"/>
              </w:rPr>
              <w:t>3,039,965</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Net gain on foreign exchange transactions</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271,267</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240,236</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268,615</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w w:val="96"/>
              </w:rPr>
              <w:t>11.8%</w:t>
            </w:r>
          </w:p>
        </w:tc>
        <w:tc>
          <w:tcPr>
            <w:tcW w:w="1120" w:type="dxa"/>
            <w:vAlign w:val="bottom"/>
            <w:tcBorders>
              <w:right w:val="single" w:sz="8" w:color="auto"/>
            </w:tcBorders>
          </w:tcPr>
          <w:p>
            <w:pPr>
              <w:jc w:val="center"/>
              <w:ind w:left="122"/>
              <w:spacing w:after="0" w:line="122" w:lineRule="exact"/>
              <w:rPr>
                <w:sz w:val="20"/>
                <w:szCs w:val="20"/>
                <w:color w:val="auto"/>
              </w:rPr>
            </w:pPr>
            <w:r>
              <w:rPr>
                <w:rFonts w:ascii="Arial" w:cs="Arial" w:eastAsia="Arial" w:hAnsi="Arial"/>
                <w:sz w:val="11"/>
                <w:szCs w:val="11"/>
                <w:color w:val="auto"/>
              </w:rPr>
              <w:t>-1.0%</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1,003,855</w:t>
            </w:r>
          </w:p>
        </w:tc>
        <w:tc>
          <w:tcPr>
            <w:tcW w:w="7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997,648</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-0.6%</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Net gain (loss) on securities</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(9,162)</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(2,166)</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10,759</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-596.7%</w:t>
            </w:r>
          </w:p>
        </w:tc>
        <w:tc>
          <w:tcPr>
            <w:tcW w:w="1120" w:type="dxa"/>
            <w:vAlign w:val="bottom"/>
            <w:tcBorders>
              <w:right w:val="single" w:sz="8" w:color="auto"/>
            </w:tcBorders>
          </w:tcPr>
          <w:p>
            <w:pPr>
              <w:jc w:val="center"/>
              <w:ind w:left="122"/>
              <w:spacing w:after="0" w:line="122" w:lineRule="exact"/>
              <w:rPr>
                <w:sz w:val="20"/>
                <w:szCs w:val="20"/>
                <w:color w:val="auto"/>
              </w:rPr>
            </w:pPr>
            <w:r>
              <w:rPr>
                <w:rFonts w:ascii="Arial" w:cs="Arial" w:eastAsia="Arial" w:hAnsi="Arial"/>
                <w:sz w:val="11"/>
                <w:szCs w:val="11"/>
                <w:color w:val="auto"/>
              </w:rPr>
              <w:t>-217.4%</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(19,258)</w:t>
            </w:r>
          </w:p>
        </w:tc>
        <w:tc>
          <w:tcPr>
            <w:tcW w:w="760" w:type="dxa"/>
            <w:vAlign w:val="bottom"/>
            <w:tcBorders>
              <w:right w:val="single" w:sz="8" w:color="auto"/>
            </w:tcBorders>
          </w:tcPr>
          <w:p>
            <w:pPr>
              <w:jc w:val="center"/>
              <w:ind w:right="83"/>
              <w:spacing w:after="0" w:line="122" w:lineRule="exact"/>
              <w:rPr>
                <w:sz w:val="20"/>
                <w:szCs w:val="20"/>
                <w:color w:val="auto"/>
              </w:rPr>
            </w:pPr>
            <w:r>
              <w:rPr>
                <w:rFonts w:ascii="Arial" w:cs="Arial" w:eastAsia="Arial" w:hAnsi="Arial"/>
                <w:sz w:val="11"/>
                <w:szCs w:val="11"/>
                <w:color w:val="auto"/>
              </w:rPr>
              <w:t>(23,102)</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Net gain (loss) on derivatives held for trading</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17,756</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16,774</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21,750</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29.7%</w:t>
            </w:r>
          </w:p>
        </w:tc>
        <w:tc>
          <w:tcPr>
            <w:tcW w:w="112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22.5%</w:t>
            </w:r>
          </w:p>
        </w:tc>
        <w:tc>
          <w:tcPr>
            <w:tcW w:w="1020" w:type="dxa"/>
            <w:vAlign w:val="bottom"/>
          </w:tcPr>
          <w:p>
            <w:pPr>
              <w:jc w:val="center"/>
              <w:ind w:right="83"/>
              <w:spacing w:after="0" w:line="122" w:lineRule="exact"/>
              <w:rPr>
                <w:sz w:val="20"/>
                <w:szCs w:val="20"/>
                <w:color w:val="auto"/>
              </w:rPr>
            </w:pPr>
            <w:r>
              <w:rPr>
                <w:rFonts w:ascii="Arial" w:cs="Arial" w:eastAsia="Arial" w:hAnsi="Arial"/>
                <w:sz w:val="11"/>
                <w:szCs w:val="11"/>
                <w:color w:val="auto"/>
              </w:rPr>
              <w:t>4,778</w:t>
            </w:r>
          </w:p>
        </w:tc>
        <w:tc>
          <w:tcPr>
            <w:tcW w:w="7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99,156</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Net gain (loss) from exchange differences</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3,265</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(9,335)</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8,795</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-194.2%</w:t>
            </w:r>
          </w:p>
        </w:tc>
        <w:tc>
          <w:tcPr>
            <w:tcW w:w="1120" w:type="dxa"/>
            <w:vAlign w:val="bottom"/>
            <w:tcBorders>
              <w:right w:val="single" w:sz="8" w:color="auto"/>
            </w:tcBorders>
          </w:tcPr>
          <w:p>
            <w:pPr>
              <w:jc w:val="center"/>
              <w:ind w:left="122"/>
              <w:spacing w:after="0" w:line="122" w:lineRule="exact"/>
              <w:rPr>
                <w:sz w:val="20"/>
                <w:szCs w:val="20"/>
                <w:color w:val="auto"/>
              </w:rPr>
            </w:pPr>
            <w:r>
              <w:rPr>
                <w:rFonts w:ascii="Arial" w:cs="Arial" w:eastAsia="Arial" w:hAnsi="Arial"/>
                <w:sz w:val="11"/>
                <w:szCs w:val="11"/>
                <w:color w:val="auto"/>
              </w:rPr>
              <w:t>169.4%</w:t>
            </w:r>
          </w:p>
        </w:tc>
        <w:tc>
          <w:tcPr>
            <w:tcW w:w="1020" w:type="dxa"/>
            <w:vAlign w:val="bottom"/>
          </w:tcPr>
          <w:p>
            <w:pPr>
              <w:jc w:val="center"/>
              <w:ind w:right="83"/>
              <w:spacing w:after="0" w:line="122" w:lineRule="exact"/>
              <w:rPr>
                <w:sz w:val="20"/>
                <w:szCs w:val="20"/>
                <w:color w:val="auto"/>
              </w:rPr>
            </w:pPr>
            <w:r>
              <w:rPr>
                <w:rFonts w:ascii="Arial" w:cs="Arial" w:eastAsia="Arial" w:hAnsi="Arial"/>
                <w:sz w:val="11"/>
                <w:szCs w:val="11"/>
                <w:color w:val="auto"/>
              </w:rPr>
              <w:t>6,219</w:t>
            </w:r>
          </w:p>
        </w:tc>
        <w:tc>
          <w:tcPr>
            <w:tcW w:w="7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9,431</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51.6%</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Others</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8,862</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54,370</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101,244</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86.2%</w:t>
            </w:r>
          </w:p>
        </w:tc>
        <w:tc>
          <w:tcPr>
            <w:tcW w:w="112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n.a</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212,490</w:t>
            </w:r>
          </w:p>
        </w:tc>
        <w:tc>
          <w:tcPr>
            <w:tcW w:w="7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345,103</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62.4%</w:t>
            </w:r>
          </w:p>
        </w:tc>
        <w:tc>
          <w:tcPr>
            <w:tcW w:w="0" w:type="dxa"/>
            <w:vAlign w:val="bottom"/>
          </w:tcPr>
          <w:p>
            <w:pPr>
              <w:spacing w:after="0"/>
              <w:rPr>
                <w:sz w:val="1"/>
                <w:szCs w:val="1"/>
                <w:color w:val="auto"/>
              </w:rPr>
            </w:pPr>
          </w:p>
        </w:tc>
      </w:tr>
      <w:tr>
        <w:trPr>
          <w:trHeight w:val="149"/>
        </w:trPr>
        <w:tc>
          <w:tcPr>
            <w:tcW w:w="40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1"/>
                <w:szCs w:val="11"/>
                <w:color w:val="auto"/>
              </w:rPr>
              <w:t>Total other income</w:t>
            </w:r>
          </w:p>
        </w:tc>
        <w:tc>
          <w:tcPr>
            <w:tcW w:w="740" w:type="dxa"/>
            <w:vAlign w:val="bottom"/>
          </w:tcPr>
          <w:p>
            <w:pPr>
              <w:jc w:val="center"/>
              <w:ind w:left="82"/>
              <w:spacing w:after="0"/>
              <w:rPr>
                <w:sz w:val="20"/>
                <w:szCs w:val="20"/>
                <w:color w:val="auto"/>
              </w:rPr>
            </w:pPr>
            <w:r>
              <w:rPr>
                <w:rFonts w:ascii="Arial" w:cs="Arial" w:eastAsia="Arial" w:hAnsi="Arial"/>
                <w:sz w:val="11"/>
                <w:szCs w:val="11"/>
                <w:color w:val="auto"/>
              </w:rPr>
              <w:t>1,058,948</w:t>
            </w:r>
          </w:p>
        </w:tc>
        <w:tc>
          <w:tcPr>
            <w:tcW w:w="1040" w:type="dxa"/>
            <w:vAlign w:val="bottom"/>
          </w:tcPr>
          <w:p>
            <w:pPr>
              <w:jc w:val="center"/>
              <w:ind w:left="102"/>
              <w:spacing w:after="0"/>
              <w:rPr>
                <w:sz w:val="20"/>
                <w:szCs w:val="20"/>
                <w:color w:val="auto"/>
              </w:rPr>
            </w:pPr>
            <w:r>
              <w:rPr>
                <w:rFonts w:ascii="Arial" w:cs="Arial" w:eastAsia="Arial" w:hAnsi="Arial"/>
                <w:sz w:val="11"/>
                <w:szCs w:val="11"/>
                <w:color w:val="auto"/>
              </w:rPr>
              <w:t>1,084,621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1,184,424</w:t>
            </w:r>
          </w:p>
        </w:tc>
        <w:tc>
          <w:tcPr>
            <w:tcW w:w="2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rPr>
              <w:t>9.2%</w:t>
            </w:r>
          </w:p>
        </w:tc>
        <w:tc>
          <w:tcPr>
            <w:tcW w:w="112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color w:val="auto"/>
              </w:rPr>
              <w:t>11.8%</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4,244,715</w:t>
            </w:r>
          </w:p>
        </w:tc>
        <w:tc>
          <w:tcPr>
            <w:tcW w:w="76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4,468,201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217"/>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Total expenses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Salaries and employee benefits</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(768,578)</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(757,403)</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(788,885)</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4.2%</w:t>
            </w:r>
          </w:p>
        </w:tc>
        <w:tc>
          <w:tcPr>
            <w:tcW w:w="1120" w:type="dxa"/>
            <w:vAlign w:val="bottom"/>
            <w:tcBorders>
              <w:right w:val="single" w:sz="8" w:color="auto"/>
            </w:tcBorders>
          </w:tcPr>
          <w:p>
            <w:pPr>
              <w:jc w:val="center"/>
              <w:ind w:left="122"/>
              <w:spacing w:after="0" w:line="122" w:lineRule="exact"/>
              <w:rPr>
                <w:sz w:val="20"/>
                <w:szCs w:val="20"/>
                <w:color w:val="auto"/>
              </w:rPr>
            </w:pPr>
            <w:r>
              <w:rPr>
                <w:rFonts w:ascii="Arial" w:cs="Arial" w:eastAsia="Arial" w:hAnsi="Arial"/>
                <w:sz w:val="11"/>
                <w:szCs w:val="11"/>
                <w:color w:val="auto"/>
              </w:rPr>
              <w:t>2.6%</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(2,883,985)</w:t>
            </w:r>
          </w:p>
        </w:tc>
        <w:tc>
          <w:tcPr>
            <w:tcW w:w="760" w:type="dxa"/>
            <w:vAlign w:val="bottom"/>
            <w:tcBorders>
              <w:right w:val="single" w:sz="8" w:color="auto"/>
            </w:tcBorders>
          </w:tcPr>
          <w:p>
            <w:pPr>
              <w:jc w:val="center"/>
              <w:ind w:right="83"/>
              <w:spacing w:after="0" w:line="122" w:lineRule="exact"/>
              <w:rPr>
                <w:sz w:val="20"/>
                <w:szCs w:val="20"/>
                <w:color w:val="auto"/>
              </w:rPr>
            </w:pPr>
            <w:r>
              <w:rPr>
                <w:rFonts w:ascii="Arial" w:cs="Arial" w:eastAsia="Arial" w:hAnsi="Arial"/>
                <w:sz w:val="11"/>
                <w:szCs w:val="11"/>
                <w:color w:val="auto"/>
              </w:rPr>
              <w:t>(3,071,184)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Administrative expenses</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(810,501)</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(767,623)</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(874,101)</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13.9%</w:t>
            </w:r>
          </w:p>
        </w:tc>
        <w:tc>
          <w:tcPr>
            <w:tcW w:w="1120" w:type="dxa"/>
            <w:vAlign w:val="bottom"/>
            <w:tcBorders>
              <w:right w:val="single" w:sz="8" w:color="auto"/>
            </w:tcBorders>
          </w:tcPr>
          <w:p>
            <w:pPr>
              <w:jc w:val="center"/>
              <w:ind w:left="122"/>
              <w:spacing w:after="0" w:line="122" w:lineRule="exact"/>
              <w:rPr>
                <w:sz w:val="20"/>
                <w:szCs w:val="20"/>
                <w:color w:val="auto"/>
              </w:rPr>
            </w:pPr>
            <w:r>
              <w:rPr>
                <w:rFonts w:ascii="Arial" w:cs="Arial" w:eastAsia="Arial" w:hAnsi="Arial"/>
                <w:sz w:val="11"/>
                <w:szCs w:val="11"/>
                <w:color w:val="auto"/>
              </w:rPr>
              <w:t>7.8%</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(2,622,756)</w:t>
            </w:r>
          </w:p>
        </w:tc>
        <w:tc>
          <w:tcPr>
            <w:tcW w:w="760" w:type="dxa"/>
            <w:vAlign w:val="bottom"/>
            <w:tcBorders>
              <w:right w:val="single" w:sz="8" w:color="auto"/>
            </w:tcBorders>
          </w:tcPr>
          <w:p>
            <w:pPr>
              <w:jc w:val="center"/>
              <w:ind w:right="83"/>
              <w:spacing w:after="0" w:line="122" w:lineRule="exact"/>
              <w:rPr>
                <w:sz w:val="20"/>
                <w:szCs w:val="20"/>
                <w:color w:val="auto"/>
              </w:rPr>
            </w:pPr>
            <w:r>
              <w:rPr>
                <w:rFonts w:ascii="Arial" w:cs="Arial" w:eastAsia="Arial" w:hAnsi="Arial"/>
                <w:sz w:val="11"/>
                <w:szCs w:val="11"/>
                <w:color w:val="auto"/>
              </w:rPr>
              <w:t>(2,954,789)</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Depreciation and amortization</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(139,688)</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(132,205)</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(146,657)</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10.9%</w:t>
            </w:r>
          </w:p>
        </w:tc>
        <w:tc>
          <w:tcPr>
            <w:tcW w:w="1120" w:type="dxa"/>
            <w:vAlign w:val="bottom"/>
            <w:tcBorders>
              <w:right w:val="single" w:sz="8" w:color="auto"/>
            </w:tcBorders>
          </w:tcPr>
          <w:p>
            <w:pPr>
              <w:jc w:val="center"/>
              <w:ind w:left="122"/>
              <w:spacing w:after="0" w:line="122" w:lineRule="exact"/>
              <w:rPr>
                <w:sz w:val="20"/>
                <w:szCs w:val="20"/>
                <w:color w:val="auto"/>
              </w:rPr>
            </w:pPr>
            <w:r>
              <w:rPr>
                <w:rFonts w:ascii="Arial" w:cs="Arial" w:eastAsia="Arial" w:hAnsi="Arial"/>
                <w:sz w:val="11"/>
                <w:szCs w:val="11"/>
                <w:color w:val="auto"/>
              </w:rPr>
              <w:t>5.0%</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(530,005)</w:t>
            </w:r>
          </w:p>
        </w:tc>
        <w:tc>
          <w:tcPr>
            <w:tcW w:w="7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(547,006)</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Other expenses</w:t>
            </w:r>
          </w:p>
        </w:tc>
        <w:tc>
          <w:tcPr>
            <w:tcW w:w="7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(76,515)</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(78,749)</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(124,472)</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58.1%</w:t>
            </w:r>
          </w:p>
        </w:tc>
        <w:tc>
          <w:tcPr>
            <w:tcW w:w="112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62.7%</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(226,318)</w:t>
            </w:r>
          </w:p>
        </w:tc>
        <w:tc>
          <w:tcPr>
            <w:tcW w:w="760" w:type="dxa"/>
            <w:vAlign w:val="bottom"/>
            <w:tcBorders>
              <w:right w:val="single" w:sz="8" w:color="auto"/>
            </w:tcBorders>
          </w:tcPr>
          <w:p>
            <w:pPr>
              <w:jc w:val="center"/>
              <w:ind w:right="103"/>
              <w:spacing w:after="0" w:line="122" w:lineRule="exact"/>
              <w:rPr>
                <w:sz w:val="20"/>
                <w:szCs w:val="20"/>
                <w:color w:val="auto"/>
              </w:rPr>
            </w:pPr>
            <w:r>
              <w:rPr>
                <w:rFonts w:ascii="Arial" w:cs="Arial" w:eastAsia="Arial" w:hAnsi="Arial"/>
                <w:sz w:val="11"/>
                <w:szCs w:val="11"/>
                <w:color w:val="auto"/>
              </w:rPr>
              <w:t>(296,430)</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49"/>
        </w:trPr>
        <w:tc>
          <w:tcPr>
            <w:tcW w:w="40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1"/>
                <w:szCs w:val="11"/>
                <w:color w:val="auto"/>
              </w:rPr>
              <w:t>Total expenses</w:t>
            </w:r>
          </w:p>
        </w:tc>
        <w:tc>
          <w:tcPr>
            <w:tcW w:w="740" w:type="dxa"/>
            <w:vAlign w:val="bottom"/>
          </w:tcPr>
          <w:p>
            <w:pPr>
              <w:jc w:val="center"/>
              <w:ind w:left="102"/>
              <w:spacing w:after="0"/>
              <w:rPr>
                <w:sz w:val="20"/>
                <w:szCs w:val="20"/>
                <w:color w:val="auto"/>
              </w:rPr>
            </w:pPr>
            <w:r>
              <w:rPr>
                <w:rFonts w:ascii="Arial" w:cs="Arial" w:eastAsia="Arial" w:hAnsi="Arial"/>
                <w:sz w:val="11"/>
                <w:szCs w:val="11"/>
                <w:color w:val="auto"/>
              </w:rPr>
              <w:t>(1,795,282)</w:t>
            </w:r>
          </w:p>
        </w:tc>
        <w:tc>
          <w:tcPr>
            <w:tcW w:w="1040" w:type="dxa"/>
            <w:vAlign w:val="bottom"/>
          </w:tcPr>
          <w:p>
            <w:pPr>
              <w:jc w:val="center"/>
              <w:ind w:left="82"/>
              <w:spacing w:after="0"/>
              <w:rPr>
                <w:sz w:val="20"/>
                <w:szCs w:val="20"/>
                <w:color w:val="auto"/>
              </w:rPr>
            </w:pPr>
            <w:r>
              <w:rPr>
                <w:rFonts w:ascii="Arial" w:cs="Arial" w:eastAsia="Arial" w:hAnsi="Arial"/>
                <w:sz w:val="11"/>
                <w:szCs w:val="11"/>
                <w:color w:val="auto"/>
              </w:rPr>
              <w:t>(1,735,980)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(1,934,115)</w:t>
            </w:r>
          </w:p>
        </w:tc>
        <w:tc>
          <w:tcPr>
            <w:tcW w:w="2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w w:val="96"/>
              </w:rPr>
              <w:t>11.4%</w:t>
            </w:r>
          </w:p>
        </w:tc>
        <w:tc>
          <w:tcPr>
            <w:tcW w:w="1120" w:type="dxa"/>
            <w:vAlign w:val="bottom"/>
            <w:tcBorders>
              <w:right w:val="single" w:sz="8" w:color="auto"/>
            </w:tcBorders>
          </w:tcPr>
          <w:p>
            <w:pPr>
              <w:jc w:val="center"/>
              <w:ind w:left="122"/>
              <w:spacing w:after="0"/>
              <w:rPr>
                <w:sz w:val="20"/>
                <w:szCs w:val="20"/>
                <w:color w:val="auto"/>
              </w:rPr>
            </w:pPr>
            <w:r>
              <w:rPr>
                <w:rFonts w:ascii="Arial" w:cs="Arial" w:eastAsia="Arial" w:hAnsi="Arial"/>
                <w:sz w:val="11"/>
                <w:szCs w:val="11"/>
                <w:color w:val="auto"/>
              </w:rPr>
              <w:t>7.7%</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(6,263,064)</w:t>
            </w:r>
          </w:p>
        </w:tc>
        <w:tc>
          <w:tcPr>
            <w:tcW w:w="76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(6,869,409)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244"/>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Profit before income tax</w:t>
            </w:r>
          </w:p>
        </w:tc>
        <w:tc>
          <w:tcPr>
            <w:tcW w:w="740" w:type="dxa"/>
            <w:vAlign w:val="bottom"/>
          </w:tcPr>
          <w:p>
            <w:pPr>
              <w:jc w:val="center"/>
              <w:ind w:left="82"/>
              <w:spacing w:after="0"/>
              <w:rPr>
                <w:sz w:val="20"/>
                <w:szCs w:val="20"/>
                <w:color w:val="auto"/>
              </w:rPr>
            </w:pPr>
            <w:r>
              <w:rPr>
                <w:rFonts w:ascii="Arial" w:cs="Arial" w:eastAsia="Arial" w:hAnsi="Arial"/>
                <w:sz w:val="11"/>
                <w:szCs w:val="11"/>
                <w:color w:val="auto"/>
              </w:rPr>
              <w:t>1,467,349</w:t>
            </w:r>
          </w:p>
        </w:tc>
        <w:tc>
          <w:tcPr>
            <w:tcW w:w="1040" w:type="dxa"/>
            <w:vAlign w:val="bottom"/>
          </w:tcPr>
          <w:p>
            <w:pPr>
              <w:jc w:val="center"/>
              <w:ind w:left="102"/>
              <w:spacing w:after="0"/>
              <w:rPr>
                <w:sz w:val="20"/>
                <w:szCs w:val="20"/>
                <w:color w:val="auto"/>
              </w:rPr>
            </w:pPr>
            <w:r>
              <w:rPr>
                <w:rFonts w:ascii="Arial" w:cs="Arial" w:eastAsia="Arial" w:hAnsi="Arial"/>
                <w:sz w:val="11"/>
                <w:szCs w:val="11"/>
                <w:color w:val="auto"/>
              </w:rPr>
              <w:t>1,482,848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1,283,369</w:t>
            </w:r>
          </w:p>
        </w:tc>
        <w:tc>
          <w:tcPr>
            <w:tcW w:w="20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rPr>
              <w:t>-13.5%</w:t>
            </w:r>
          </w:p>
        </w:tc>
        <w:tc>
          <w:tcPr>
            <w:tcW w:w="112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color w:val="auto"/>
              </w:rPr>
              <w:t>-12.5%</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6,444,432</w:t>
            </w:r>
          </w:p>
        </w:tc>
        <w:tc>
          <w:tcPr>
            <w:tcW w:w="76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6,128,668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-4.9%</w:t>
            </w:r>
          </w:p>
        </w:tc>
        <w:tc>
          <w:tcPr>
            <w:tcW w:w="0" w:type="dxa"/>
            <w:vAlign w:val="bottom"/>
          </w:tcPr>
          <w:p>
            <w:pPr>
              <w:spacing w:after="0"/>
              <w:rPr>
                <w:sz w:val="1"/>
                <w:szCs w:val="1"/>
                <w:color w:val="auto"/>
              </w:rPr>
            </w:pPr>
          </w:p>
        </w:tc>
      </w:tr>
      <w:tr>
        <w:trPr>
          <w:trHeight w:val="244"/>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Income tax</w:t>
            </w:r>
          </w:p>
        </w:tc>
        <w:tc>
          <w:tcPr>
            <w:tcW w:w="740" w:type="dxa"/>
            <w:vAlign w:val="bottom"/>
          </w:tcPr>
          <w:p>
            <w:pPr>
              <w:jc w:val="center"/>
              <w:ind w:left="82"/>
              <w:spacing w:after="0"/>
              <w:rPr>
                <w:sz w:val="20"/>
                <w:szCs w:val="20"/>
                <w:color w:val="auto"/>
              </w:rPr>
            </w:pPr>
            <w:r>
              <w:rPr>
                <w:rFonts w:ascii="Arial" w:cs="Arial" w:eastAsia="Arial" w:hAnsi="Arial"/>
                <w:sz w:val="11"/>
                <w:szCs w:val="11"/>
                <w:color w:val="auto"/>
              </w:rPr>
              <w:t>(403,338)</w:t>
            </w:r>
          </w:p>
        </w:tc>
        <w:tc>
          <w:tcPr>
            <w:tcW w:w="1040" w:type="dxa"/>
            <w:vAlign w:val="bottom"/>
          </w:tcPr>
          <w:p>
            <w:pPr>
              <w:jc w:val="center"/>
              <w:ind w:left="102"/>
              <w:spacing w:after="0"/>
              <w:rPr>
                <w:sz w:val="20"/>
                <w:szCs w:val="20"/>
                <w:color w:val="auto"/>
              </w:rPr>
            </w:pPr>
            <w:r>
              <w:rPr>
                <w:rFonts w:ascii="Arial" w:cs="Arial" w:eastAsia="Arial" w:hAnsi="Arial"/>
                <w:sz w:val="11"/>
                <w:szCs w:val="11"/>
                <w:color w:val="auto"/>
              </w:rPr>
              <w:t>(378,054)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(327,708)</w:t>
            </w:r>
          </w:p>
        </w:tc>
        <w:tc>
          <w:tcPr>
            <w:tcW w:w="20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rPr>
              <w:t>-13.3%</w:t>
            </w:r>
          </w:p>
        </w:tc>
        <w:tc>
          <w:tcPr>
            <w:tcW w:w="112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color w:val="auto"/>
              </w:rPr>
              <w:t>-18.8%</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(1,760,657)</w:t>
            </w:r>
          </w:p>
        </w:tc>
        <w:tc>
          <w:tcPr>
            <w:tcW w:w="76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(1,545,006)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217"/>
        </w:trPr>
        <w:tc>
          <w:tcPr>
            <w:tcW w:w="4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Net profit</w:t>
            </w:r>
          </w:p>
        </w:tc>
        <w:tc>
          <w:tcPr>
            <w:tcW w:w="740" w:type="dxa"/>
            <w:vAlign w:val="bottom"/>
          </w:tcPr>
          <w:p>
            <w:pPr>
              <w:jc w:val="center"/>
              <w:ind w:left="102"/>
              <w:spacing w:after="0"/>
              <w:rPr>
                <w:sz w:val="20"/>
                <w:szCs w:val="20"/>
                <w:color w:val="auto"/>
              </w:rPr>
            </w:pPr>
            <w:r>
              <w:rPr>
                <w:rFonts w:ascii="Arial" w:cs="Arial" w:eastAsia="Arial" w:hAnsi="Arial"/>
                <w:sz w:val="11"/>
                <w:szCs w:val="11"/>
                <w:color w:val="auto"/>
              </w:rPr>
              <w:t>1,064,011</w:t>
            </w:r>
          </w:p>
        </w:tc>
        <w:tc>
          <w:tcPr>
            <w:tcW w:w="1040" w:type="dxa"/>
            <w:vAlign w:val="bottom"/>
          </w:tcPr>
          <w:p>
            <w:pPr>
              <w:jc w:val="center"/>
              <w:ind w:left="102"/>
              <w:spacing w:after="0"/>
              <w:rPr>
                <w:sz w:val="20"/>
                <w:szCs w:val="20"/>
                <w:color w:val="auto"/>
              </w:rPr>
            </w:pPr>
            <w:r>
              <w:rPr>
                <w:rFonts w:ascii="Arial" w:cs="Arial" w:eastAsia="Arial" w:hAnsi="Arial"/>
                <w:sz w:val="11"/>
                <w:szCs w:val="11"/>
                <w:color w:val="auto"/>
              </w:rPr>
              <w:t>1,104,794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955,661</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rPr>
              <w:t>-13.5%</w:t>
            </w:r>
          </w:p>
        </w:tc>
        <w:tc>
          <w:tcPr>
            <w:tcW w:w="112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color w:val="auto"/>
              </w:rPr>
              <w:t>-10.2%</w:t>
            </w:r>
          </w:p>
        </w:tc>
        <w:tc>
          <w:tcPr>
            <w:tcW w:w="1020" w:type="dxa"/>
            <w:vAlign w:val="bottom"/>
          </w:tcPr>
          <w:p>
            <w:pPr>
              <w:jc w:val="center"/>
              <w:ind w:right="103"/>
              <w:spacing w:after="0"/>
              <w:rPr>
                <w:sz w:val="20"/>
                <w:szCs w:val="20"/>
                <w:color w:val="auto"/>
              </w:rPr>
            </w:pPr>
            <w:r>
              <w:rPr>
                <w:rFonts w:ascii="Arial" w:cs="Arial" w:eastAsia="Arial" w:hAnsi="Arial"/>
                <w:sz w:val="11"/>
                <w:szCs w:val="11"/>
                <w:color w:val="auto"/>
              </w:rPr>
              <w:t>4,683,775</w:t>
            </w:r>
          </w:p>
        </w:tc>
        <w:tc>
          <w:tcPr>
            <w:tcW w:w="76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4,583,662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-2.1%</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Non-controlling interest</w:t>
            </w:r>
          </w:p>
        </w:tc>
        <w:tc>
          <w:tcPr>
            <w:tcW w:w="740" w:type="dxa"/>
            <w:vAlign w:val="bottom"/>
          </w:tcPr>
          <w:p>
            <w:pPr>
              <w:jc w:val="center"/>
              <w:ind w:left="82"/>
              <w:spacing w:after="0" w:line="122" w:lineRule="exact"/>
              <w:rPr>
                <w:sz w:val="20"/>
                <w:szCs w:val="20"/>
                <w:color w:val="auto"/>
              </w:rPr>
            </w:pPr>
            <w:r>
              <w:rPr>
                <w:rFonts w:ascii="Arial" w:cs="Arial" w:eastAsia="Arial" w:hAnsi="Arial"/>
                <w:sz w:val="11"/>
                <w:szCs w:val="11"/>
                <w:color w:val="auto"/>
              </w:rPr>
              <w:t>(2,318)</w:t>
            </w:r>
          </w:p>
        </w:tc>
        <w:tc>
          <w:tcPr>
            <w:tcW w:w="1040" w:type="dxa"/>
            <w:vAlign w:val="bottom"/>
          </w:tcPr>
          <w:p>
            <w:pPr>
              <w:jc w:val="center"/>
              <w:ind w:left="102"/>
              <w:spacing w:after="0" w:line="122" w:lineRule="exact"/>
              <w:rPr>
                <w:sz w:val="20"/>
                <w:szCs w:val="20"/>
                <w:color w:val="auto"/>
              </w:rPr>
            </w:pPr>
            <w:r>
              <w:rPr>
                <w:rFonts w:ascii="Arial" w:cs="Arial" w:eastAsia="Arial" w:hAnsi="Arial"/>
                <w:sz w:val="11"/>
                <w:szCs w:val="11"/>
                <w:color w:val="auto"/>
              </w:rPr>
              <w:t>(2,998)</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(2,670)</w:t>
            </w: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rPr>
              <w:t>-10.9%</w:t>
            </w:r>
          </w:p>
        </w:tc>
        <w:tc>
          <w:tcPr>
            <w:tcW w:w="112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15.2%</w:t>
            </w:r>
          </w:p>
        </w:tc>
        <w:tc>
          <w:tcPr>
            <w:tcW w:w="1020" w:type="dxa"/>
            <w:vAlign w:val="bottom"/>
          </w:tcPr>
          <w:p>
            <w:pPr>
              <w:jc w:val="center"/>
              <w:ind w:right="103"/>
              <w:spacing w:after="0" w:line="122" w:lineRule="exact"/>
              <w:rPr>
                <w:sz w:val="20"/>
                <w:szCs w:val="20"/>
                <w:color w:val="auto"/>
              </w:rPr>
            </w:pPr>
            <w:r>
              <w:rPr>
                <w:rFonts w:ascii="Arial" w:cs="Arial" w:eastAsia="Arial" w:hAnsi="Arial"/>
                <w:sz w:val="11"/>
                <w:szCs w:val="11"/>
                <w:color w:val="auto"/>
              </w:rPr>
              <w:t>(21,286)</w:t>
            </w:r>
          </w:p>
        </w:tc>
        <w:tc>
          <w:tcPr>
            <w:tcW w:w="760" w:type="dxa"/>
            <w:vAlign w:val="bottom"/>
            <w:tcBorders>
              <w:right w:val="single" w:sz="8" w:color="auto"/>
            </w:tcBorders>
          </w:tcPr>
          <w:p>
            <w:pPr>
              <w:jc w:val="center"/>
              <w:ind w:right="83"/>
              <w:spacing w:after="0" w:line="122" w:lineRule="exact"/>
              <w:rPr>
                <w:sz w:val="20"/>
                <w:szCs w:val="20"/>
                <w:color w:val="auto"/>
              </w:rPr>
            </w:pPr>
            <w:r>
              <w:rPr>
                <w:rFonts w:ascii="Arial" w:cs="Arial" w:eastAsia="Arial" w:hAnsi="Arial"/>
                <w:sz w:val="11"/>
                <w:szCs w:val="11"/>
                <w:color w:val="auto"/>
              </w:rPr>
              <w:t>(10,081)</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-52.6%</w:t>
            </w:r>
          </w:p>
        </w:tc>
        <w:tc>
          <w:tcPr>
            <w:tcW w:w="0" w:type="dxa"/>
            <w:vAlign w:val="bottom"/>
          </w:tcPr>
          <w:p>
            <w:pPr>
              <w:spacing w:after="0"/>
              <w:rPr>
                <w:sz w:val="1"/>
                <w:szCs w:val="1"/>
                <w:color w:val="auto"/>
              </w:rPr>
            </w:pPr>
          </w:p>
        </w:tc>
      </w:tr>
      <w:tr>
        <w:trPr>
          <w:trHeight w:val="137"/>
        </w:trPr>
        <w:tc>
          <w:tcPr>
            <w:tcW w:w="40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Net profit attributable to BCP Consolidated</w:t>
            </w:r>
          </w:p>
        </w:tc>
        <w:tc>
          <w:tcPr>
            <w:tcW w:w="740" w:type="dxa"/>
            <w:vAlign w:val="bottom"/>
            <w:tcBorders>
              <w:bottom w:val="single" w:sz="8" w:color="auto"/>
            </w:tcBorders>
          </w:tcPr>
          <w:p>
            <w:pPr>
              <w:jc w:val="center"/>
              <w:ind w:left="82"/>
              <w:spacing w:after="0"/>
              <w:rPr>
                <w:sz w:val="20"/>
                <w:szCs w:val="20"/>
                <w:color w:val="auto"/>
              </w:rPr>
            </w:pPr>
            <w:r>
              <w:rPr>
                <w:rFonts w:ascii="Arial" w:cs="Arial" w:eastAsia="Arial" w:hAnsi="Arial"/>
                <w:sz w:val="11"/>
                <w:szCs w:val="11"/>
                <w:color w:val="auto"/>
              </w:rPr>
              <w:t>1,061,693</w:t>
            </w:r>
          </w:p>
        </w:tc>
        <w:tc>
          <w:tcPr>
            <w:tcW w:w="1040" w:type="dxa"/>
            <w:vAlign w:val="bottom"/>
            <w:tcBorders>
              <w:bottom w:val="single" w:sz="8" w:color="auto"/>
            </w:tcBorders>
          </w:tcPr>
          <w:p>
            <w:pPr>
              <w:jc w:val="center"/>
              <w:ind w:left="102"/>
              <w:spacing w:after="0"/>
              <w:rPr>
                <w:sz w:val="20"/>
                <w:szCs w:val="20"/>
                <w:color w:val="auto"/>
              </w:rPr>
            </w:pPr>
            <w:r>
              <w:rPr>
                <w:rFonts w:ascii="Arial" w:cs="Arial" w:eastAsia="Arial" w:hAnsi="Arial"/>
                <w:sz w:val="11"/>
                <w:szCs w:val="11"/>
                <w:color w:val="auto"/>
              </w:rPr>
              <w:t>1,101,796</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952,991</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-13.5%</w:t>
            </w:r>
          </w:p>
        </w:tc>
        <w:tc>
          <w:tcPr>
            <w:tcW w:w="112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1"/>
                <w:szCs w:val="11"/>
                <w:color w:val="auto"/>
              </w:rPr>
              <w:t>-10.2%</w:t>
            </w:r>
          </w:p>
        </w:tc>
        <w:tc>
          <w:tcPr>
            <w:tcW w:w="102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color w:val="auto"/>
              </w:rPr>
              <w:t>4,662,489</w:t>
            </w:r>
          </w:p>
        </w:tc>
        <w:tc>
          <w:tcPr>
            <w:tcW w:w="760" w:type="dxa"/>
            <w:vAlign w:val="bottom"/>
            <w:tcBorders>
              <w:bottom w:val="single" w:sz="8" w:color="auto"/>
              <w:right w:val="single" w:sz="8" w:color="auto"/>
            </w:tcBorders>
          </w:tcPr>
          <w:p>
            <w:pPr>
              <w:jc w:val="center"/>
              <w:ind w:right="83"/>
              <w:spacing w:after="0"/>
              <w:rPr>
                <w:sz w:val="20"/>
                <w:szCs w:val="20"/>
                <w:color w:val="auto"/>
              </w:rPr>
            </w:pPr>
            <w:r>
              <w:rPr>
                <w:rFonts w:ascii="Arial" w:cs="Arial" w:eastAsia="Arial" w:hAnsi="Arial"/>
                <w:sz w:val="11"/>
                <w:szCs w:val="11"/>
                <w:color w:val="auto"/>
              </w:rPr>
              <w:t>4,573,581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-3885565</wp:posOffset>
            </wp:positionV>
            <wp:extent cx="1161415" cy="139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Financial Indicators</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99"/>
        </w:trPr>
        <w:tc>
          <w:tcPr>
            <w:tcW w:w="396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760" w:type="dxa"/>
            <w:vAlign w:val="bottom"/>
            <w:tcBorders>
              <w:top w:val="single" w:sz="8" w:color="auto"/>
            </w:tcBorders>
            <w:shd w:val="clear" w:color="auto" w:fill="2AD2C9"/>
          </w:tcPr>
          <w:p>
            <w:pPr>
              <w:spacing w:after="0"/>
              <w:rPr>
                <w:sz w:val="8"/>
                <w:szCs w:val="8"/>
                <w:color w:val="auto"/>
              </w:rPr>
            </w:pPr>
          </w:p>
        </w:tc>
        <w:tc>
          <w:tcPr>
            <w:tcW w:w="800" w:type="dxa"/>
            <w:vAlign w:val="bottom"/>
            <w:tcBorders>
              <w:top w:val="single" w:sz="8" w:color="auto"/>
            </w:tcBorders>
            <w:shd w:val="clear" w:color="auto" w:fill="2AD2C9"/>
          </w:tcPr>
          <w:p>
            <w:pPr>
              <w:ind w:left="200"/>
              <w:spacing w:after="0" w:line="99" w:lineRule="exact"/>
              <w:rPr>
                <w:sz w:val="20"/>
                <w:szCs w:val="20"/>
                <w:color w:val="auto"/>
              </w:rPr>
            </w:pPr>
            <w:r>
              <w:rPr>
                <w:rFonts w:ascii="Arial" w:cs="Arial" w:eastAsia="Arial" w:hAnsi="Arial"/>
                <w:sz w:val="11"/>
                <w:szCs w:val="11"/>
                <w:b w:val="1"/>
                <w:bCs w:val="1"/>
                <w:color w:val="FFFFFF"/>
              </w:rPr>
              <w:t>Quarter</w:t>
            </w:r>
          </w:p>
        </w:tc>
        <w:tc>
          <w:tcPr>
            <w:tcW w:w="800" w:type="dxa"/>
            <w:vAlign w:val="bottom"/>
            <w:tcBorders>
              <w:top w:val="single" w:sz="8" w:color="auto"/>
              <w:right w:val="single" w:sz="8" w:color="auto"/>
            </w:tcBorders>
            <w:shd w:val="clear" w:color="auto" w:fill="2AD2C9"/>
          </w:tcPr>
          <w:p>
            <w:pPr>
              <w:spacing w:after="0"/>
              <w:rPr>
                <w:sz w:val="8"/>
                <w:szCs w:val="8"/>
                <w:color w:val="auto"/>
              </w:rPr>
            </w:pPr>
          </w:p>
        </w:tc>
        <w:tc>
          <w:tcPr>
            <w:tcW w:w="600" w:type="dxa"/>
            <w:vAlign w:val="bottom"/>
            <w:tcBorders>
              <w:top w:val="single" w:sz="8" w:color="auto"/>
            </w:tcBorders>
            <w:shd w:val="clear" w:color="auto" w:fill="2AD2C9"/>
          </w:tcPr>
          <w:p>
            <w:pPr>
              <w:spacing w:after="0"/>
              <w:rPr>
                <w:sz w:val="8"/>
                <w:szCs w:val="8"/>
                <w:color w:val="auto"/>
              </w:rPr>
            </w:pPr>
          </w:p>
        </w:tc>
        <w:tc>
          <w:tcPr>
            <w:tcW w:w="96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1"/>
                <w:szCs w:val="11"/>
                <w:b w:val="1"/>
                <w:bCs w:val="1"/>
                <w:color w:val="FFFFFF"/>
              </w:rPr>
              <w:t>As of</w:t>
            </w:r>
          </w:p>
        </w:tc>
        <w:tc>
          <w:tcPr>
            <w:tcW w:w="3380" w:type="dxa"/>
            <w:vAlign w:val="bottom"/>
          </w:tcPr>
          <w:p>
            <w:pPr>
              <w:spacing w:after="0"/>
              <w:rPr>
                <w:sz w:val="8"/>
                <w:szCs w:val="8"/>
                <w:color w:val="auto"/>
              </w:rPr>
            </w:pPr>
          </w:p>
        </w:tc>
      </w:tr>
      <w:tr>
        <w:trPr>
          <w:trHeight w:val="137"/>
        </w:trPr>
        <w:tc>
          <w:tcPr>
            <w:tcW w:w="396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4Q22</w:t>
            </w:r>
          </w:p>
        </w:tc>
        <w:tc>
          <w:tcPr>
            <w:tcW w:w="8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3Q23</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4Q23</w:t>
            </w:r>
          </w:p>
        </w:tc>
        <w:tc>
          <w:tcPr>
            <w:tcW w:w="60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1"/>
                <w:szCs w:val="11"/>
                <w:b w:val="1"/>
                <w:bCs w:val="1"/>
                <w:color w:val="FFFFFF"/>
              </w:rPr>
              <w:t>Dec 22</w:t>
            </w:r>
          </w:p>
        </w:tc>
        <w:tc>
          <w:tcPr>
            <w:tcW w:w="96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1"/>
                <w:szCs w:val="11"/>
                <w:b w:val="1"/>
                <w:bCs w:val="1"/>
                <w:color w:val="FFFFFF"/>
              </w:rPr>
              <w:t>Dec 23</w:t>
            </w:r>
          </w:p>
        </w:tc>
        <w:tc>
          <w:tcPr>
            <w:tcW w:w="3380" w:type="dxa"/>
            <w:vAlign w:val="bottom"/>
          </w:tcPr>
          <w:p>
            <w:pPr>
              <w:spacing w:after="0"/>
              <w:rPr>
                <w:sz w:val="11"/>
                <w:szCs w:val="11"/>
                <w:color w:val="auto"/>
              </w:rPr>
            </w:pPr>
          </w:p>
        </w:tc>
      </w:tr>
      <w:tr>
        <w:trPr>
          <w:trHeight w:val="99"/>
        </w:trPr>
        <w:tc>
          <w:tcPr>
            <w:tcW w:w="396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Profitability</w:t>
            </w: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3380" w:type="dxa"/>
            <w:vAlign w:val="bottom"/>
          </w:tcPr>
          <w:p>
            <w:pPr>
              <w:spacing w:after="0"/>
              <w:rPr>
                <w:sz w:val="8"/>
                <w:szCs w:val="8"/>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ROAA (1)(2)</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2.2%</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2.3%</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2.0%</w:t>
            </w:r>
          </w:p>
        </w:tc>
        <w:tc>
          <w:tcPr>
            <w:tcW w:w="6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2.4%</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2.4%</w:t>
            </w:r>
          </w:p>
        </w:tc>
        <w:tc>
          <w:tcPr>
            <w:tcW w:w="3380" w:type="dxa"/>
            <w:vAlign w:val="bottom"/>
          </w:tcPr>
          <w:p>
            <w:pPr>
              <w:spacing w:after="0"/>
              <w:rPr>
                <w:sz w:val="10"/>
                <w:szCs w:val="10"/>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ROAE (1)(2)</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18.8%</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18.6%</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15.5%</w:t>
            </w:r>
          </w:p>
        </w:tc>
        <w:tc>
          <w:tcPr>
            <w:tcW w:w="6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21.3%</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18.6%</w:t>
            </w:r>
          </w:p>
        </w:tc>
        <w:tc>
          <w:tcPr>
            <w:tcW w:w="3380" w:type="dxa"/>
            <w:vAlign w:val="bottom"/>
          </w:tcPr>
          <w:p>
            <w:pPr>
              <w:spacing w:after="0"/>
              <w:rPr>
                <w:sz w:val="10"/>
                <w:szCs w:val="10"/>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Net interest margin (1)(2)</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6.1%</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6.5%</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6.7%</w:t>
            </w:r>
          </w:p>
        </w:tc>
        <w:tc>
          <w:tcPr>
            <w:tcW w:w="6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5.3%</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6.4%</w:t>
            </w:r>
          </w:p>
        </w:tc>
        <w:tc>
          <w:tcPr>
            <w:tcW w:w="3380" w:type="dxa"/>
            <w:vAlign w:val="bottom"/>
          </w:tcPr>
          <w:p>
            <w:pPr>
              <w:spacing w:after="0"/>
              <w:rPr>
                <w:sz w:val="10"/>
                <w:szCs w:val="10"/>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Risk adjusted NIM (1)(2)</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4.6%</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4.6%</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4.4%</w:t>
            </w:r>
          </w:p>
        </w:tc>
        <w:tc>
          <w:tcPr>
            <w:tcW w:w="6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4.4%</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4.6%</w:t>
            </w:r>
          </w:p>
        </w:tc>
        <w:tc>
          <w:tcPr>
            <w:tcW w:w="3380" w:type="dxa"/>
            <w:vAlign w:val="bottom"/>
          </w:tcPr>
          <w:p>
            <w:pPr>
              <w:spacing w:after="0"/>
              <w:rPr>
                <w:sz w:val="10"/>
                <w:szCs w:val="10"/>
                <w:color w:val="auto"/>
              </w:rPr>
            </w:pPr>
          </w:p>
        </w:tc>
      </w:tr>
      <w:tr>
        <w:trPr>
          <w:trHeight w:val="149"/>
        </w:trPr>
        <w:tc>
          <w:tcPr>
            <w:tcW w:w="39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1"/>
                <w:szCs w:val="11"/>
                <w:color w:val="auto"/>
              </w:rPr>
              <w:t>Funding Cost (1)(2)(3)</w:t>
            </w:r>
          </w:p>
        </w:tc>
        <w:tc>
          <w:tcPr>
            <w:tcW w:w="760" w:type="dxa"/>
            <w:vAlign w:val="bottom"/>
          </w:tcPr>
          <w:p>
            <w:pPr>
              <w:jc w:val="center"/>
              <w:spacing w:after="0"/>
              <w:rPr>
                <w:sz w:val="20"/>
                <w:szCs w:val="20"/>
                <w:color w:val="auto"/>
              </w:rPr>
            </w:pPr>
            <w:r>
              <w:rPr>
                <w:rFonts w:ascii="Arial" w:cs="Arial" w:eastAsia="Arial" w:hAnsi="Arial"/>
                <w:sz w:val="11"/>
                <w:szCs w:val="11"/>
                <w:color w:val="auto"/>
              </w:rPr>
              <w:t>2.2%</w:t>
            </w:r>
          </w:p>
        </w:tc>
        <w:tc>
          <w:tcPr>
            <w:tcW w:w="800" w:type="dxa"/>
            <w:vAlign w:val="bottom"/>
          </w:tcPr>
          <w:p>
            <w:pPr>
              <w:jc w:val="center"/>
              <w:spacing w:after="0"/>
              <w:rPr>
                <w:sz w:val="20"/>
                <w:szCs w:val="20"/>
                <w:color w:val="auto"/>
              </w:rPr>
            </w:pPr>
            <w:r>
              <w:rPr>
                <w:rFonts w:ascii="Arial" w:cs="Arial" w:eastAsia="Arial" w:hAnsi="Arial"/>
                <w:sz w:val="11"/>
                <w:szCs w:val="11"/>
                <w:color w:val="auto"/>
              </w:rPr>
              <w:t>3.0%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2.8%</w:t>
            </w:r>
          </w:p>
        </w:tc>
        <w:tc>
          <w:tcPr>
            <w:tcW w:w="600" w:type="dxa"/>
            <w:vAlign w:val="bottom"/>
          </w:tcPr>
          <w:p>
            <w:pPr>
              <w:jc w:val="center"/>
              <w:ind w:left="83"/>
              <w:spacing w:after="0"/>
              <w:rPr>
                <w:sz w:val="20"/>
                <w:szCs w:val="20"/>
                <w:color w:val="auto"/>
              </w:rPr>
            </w:pPr>
            <w:r>
              <w:rPr>
                <w:rFonts w:ascii="Arial" w:cs="Arial" w:eastAsia="Arial" w:hAnsi="Arial"/>
                <w:sz w:val="11"/>
                <w:szCs w:val="11"/>
                <w:color w:val="auto"/>
              </w:rPr>
              <w:t>1.7%</w:t>
            </w:r>
          </w:p>
        </w:tc>
        <w:tc>
          <w:tcPr>
            <w:tcW w:w="960" w:type="dxa"/>
            <w:vAlign w:val="bottom"/>
            <w:tcBorders>
              <w:right w:val="single" w:sz="8" w:color="auto"/>
            </w:tcBorders>
          </w:tcPr>
          <w:p>
            <w:pPr>
              <w:jc w:val="center"/>
              <w:ind w:left="81"/>
              <w:spacing w:after="0"/>
              <w:rPr>
                <w:sz w:val="20"/>
                <w:szCs w:val="20"/>
                <w:color w:val="auto"/>
              </w:rPr>
            </w:pPr>
            <w:r>
              <w:rPr>
                <w:rFonts w:ascii="Arial" w:cs="Arial" w:eastAsia="Arial" w:hAnsi="Arial"/>
                <w:sz w:val="11"/>
                <w:szCs w:val="11"/>
                <w:color w:val="auto"/>
              </w:rPr>
              <w:t>2.7%</w:t>
            </w:r>
          </w:p>
        </w:tc>
        <w:tc>
          <w:tcPr>
            <w:tcW w:w="3380" w:type="dxa"/>
            <w:vAlign w:val="bottom"/>
          </w:tcPr>
          <w:p>
            <w:pPr>
              <w:spacing w:after="0"/>
              <w:rPr>
                <w:sz w:val="12"/>
                <w:szCs w:val="12"/>
                <w:color w:val="auto"/>
              </w:rPr>
            </w:pPr>
          </w:p>
        </w:tc>
      </w:tr>
      <w:tr>
        <w:trPr>
          <w:trHeight w:val="217"/>
        </w:trPr>
        <w:tc>
          <w:tcPr>
            <w:tcW w:w="3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Quality of loan portfolio</w:t>
            </w: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380" w:type="dxa"/>
            <w:vAlign w:val="bottom"/>
          </w:tcPr>
          <w:p>
            <w:pPr>
              <w:spacing w:after="0"/>
              <w:rPr>
                <w:sz w:val="18"/>
                <w:szCs w:val="18"/>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IOL ratio</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4.2%</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4.6%</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4.4%</w:t>
            </w:r>
          </w:p>
        </w:tc>
        <w:tc>
          <w:tcPr>
            <w:tcW w:w="6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4.2%</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4.4%</w:t>
            </w:r>
          </w:p>
        </w:tc>
        <w:tc>
          <w:tcPr>
            <w:tcW w:w="3380" w:type="dxa"/>
            <w:vAlign w:val="bottom"/>
          </w:tcPr>
          <w:p>
            <w:pPr>
              <w:spacing w:after="0"/>
              <w:rPr>
                <w:sz w:val="10"/>
                <w:szCs w:val="10"/>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NPL ratio</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5.7%</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6.3%</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6.2%</w:t>
            </w:r>
          </w:p>
        </w:tc>
        <w:tc>
          <w:tcPr>
            <w:tcW w:w="6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5.7%</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6.2%</w:t>
            </w:r>
          </w:p>
        </w:tc>
        <w:tc>
          <w:tcPr>
            <w:tcW w:w="3380" w:type="dxa"/>
            <w:vAlign w:val="bottom"/>
          </w:tcPr>
          <w:p>
            <w:pPr>
              <w:spacing w:after="0"/>
              <w:rPr>
                <w:sz w:val="10"/>
                <w:szCs w:val="10"/>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Coverage of IOLs</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131.1%</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124.5%</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133.6%</w:t>
            </w:r>
          </w:p>
        </w:tc>
        <w:tc>
          <w:tcPr>
            <w:tcW w:w="600" w:type="dxa"/>
            <w:vAlign w:val="bottom"/>
          </w:tcPr>
          <w:p>
            <w:pPr>
              <w:jc w:val="center"/>
              <w:ind w:left="83"/>
              <w:spacing w:after="0" w:line="122" w:lineRule="exact"/>
              <w:rPr>
                <w:sz w:val="20"/>
                <w:szCs w:val="20"/>
                <w:color w:val="auto"/>
              </w:rPr>
            </w:pPr>
            <w:r>
              <w:rPr>
                <w:rFonts w:ascii="Arial" w:cs="Arial" w:eastAsia="Arial" w:hAnsi="Arial"/>
                <w:sz w:val="11"/>
                <w:szCs w:val="11"/>
                <w:color w:val="auto"/>
              </w:rPr>
              <w:t>131.1%</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133.6%</w:t>
            </w:r>
          </w:p>
        </w:tc>
        <w:tc>
          <w:tcPr>
            <w:tcW w:w="3380" w:type="dxa"/>
            <w:vAlign w:val="bottom"/>
          </w:tcPr>
          <w:p>
            <w:pPr>
              <w:spacing w:after="0"/>
              <w:rPr>
                <w:sz w:val="10"/>
                <w:szCs w:val="10"/>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Coverage of NPLs</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96.0%</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91.6%</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95.3%</w:t>
            </w:r>
          </w:p>
        </w:tc>
        <w:tc>
          <w:tcPr>
            <w:tcW w:w="6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96.0%</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95.3%</w:t>
            </w:r>
          </w:p>
        </w:tc>
        <w:tc>
          <w:tcPr>
            <w:tcW w:w="3380" w:type="dxa"/>
            <w:vAlign w:val="bottom"/>
          </w:tcPr>
          <w:p>
            <w:pPr>
              <w:spacing w:after="0"/>
              <w:rPr>
                <w:sz w:val="10"/>
                <w:szCs w:val="10"/>
                <w:color w:val="auto"/>
              </w:rPr>
            </w:pPr>
          </w:p>
        </w:tc>
      </w:tr>
      <w:tr>
        <w:trPr>
          <w:trHeight w:val="149"/>
        </w:trPr>
        <w:tc>
          <w:tcPr>
            <w:tcW w:w="39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1"/>
                <w:szCs w:val="11"/>
                <w:color w:val="auto"/>
              </w:rPr>
              <w:t>Cost of risk (4)</w:t>
            </w:r>
          </w:p>
        </w:tc>
        <w:tc>
          <w:tcPr>
            <w:tcW w:w="760" w:type="dxa"/>
            <w:vAlign w:val="bottom"/>
          </w:tcPr>
          <w:p>
            <w:pPr>
              <w:jc w:val="center"/>
              <w:spacing w:after="0"/>
              <w:rPr>
                <w:sz w:val="20"/>
                <w:szCs w:val="20"/>
                <w:color w:val="auto"/>
              </w:rPr>
            </w:pPr>
            <w:r>
              <w:rPr>
                <w:rFonts w:ascii="Arial" w:cs="Arial" w:eastAsia="Arial" w:hAnsi="Arial"/>
                <w:sz w:val="11"/>
                <w:szCs w:val="11"/>
                <w:color w:val="auto"/>
              </w:rPr>
              <w:t>2.1%</w:t>
            </w:r>
          </w:p>
        </w:tc>
        <w:tc>
          <w:tcPr>
            <w:tcW w:w="800" w:type="dxa"/>
            <w:vAlign w:val="bottom"/>
          </w:tcPr>
          <w:p>
            <w:pPr>
              <w:jc w:val="center"/>
              <w:spacing w:after="0"/>
              <w:rPr>
                <w:sz w:val="20"/>
                <w:szCs w:val="20"/>
                <w:color w:val="auto"/>
              </w:rPr>
            </w:pPr>
            <w:r>
              <w:rPr>
                <w:rFonts w:ascii="Arial" w:cs="Arial" w:eastAsia="Arial" w:hAnsi="Arial"/>
                <w:sz w:val="11"/>
                <w:szCs w:val="11"/>
                <w:color w:val="auto"/>
              </w:rPr>
              <w:t>2.7%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3.3%</w:t>
            </w:r>
          </w:p>
        </w:tc>
        <w:tc>
          <w:tcPr>
            <w:tcW w:w="600" w:type="dxa"/>
            <w:vAlign w:val="bottom"/>
          </w:tcPr>
          <w:p>
            <w:pPr>
              <w:jc w:val="center"/>
              <w:ind w:left="83"/>
              <w:spacing w:after="0"/>
              <w:rPr>
                <w:sz w:val="20"/>
                <w:szCs w:val="20"/>
                <w:color w:val="auto"/>
              </w:rPr>
            </w:pPr>
            <w:r>
              <w:rPr>
                <w:rFonts w:ascii="Arial" w:cs="Arial" w:eastAsia="Arial" w:hAnsi="Arial"/>
                <w:sz w:val="11"/>
                <w:szCs w:val="11"/>
                <w:color w:val="auto"/>
              </w:rPr>
              <w:t>1.3%</w:t>
            </w:r>
          </w:p>
        </w:tc>
        <w:tc>
          <w:tcPr>
            <w:tcW w:w="960" w:type="dxa"/>
            <w:vAlign w:val="bottom"/>
            <w:tcBorders>
              <w:right w:val="single" w:sz="8" w:color="auto"/>
            </w:tcBorders>
          </w:tcPr>
          <w:p>
            <w:pPr>
              <w:jc w:val="center"/>
              <w:ind w:left="81"/>
              <w:spacing w:after="0"/>
              <w:rPr>
                <w:sz w:val="20"/>
                <w:szCs w:val="20"/>
                <w:color w:val="auto"/>
              </w:rPr>
            </w:pPr>
            <w:r>
              <w:rPr>
                <w:rFonts w:ascii="Arial" w:cs="Arial" w:eastAsia="Arial" w:hAnsi="Arial"/>
                <w:sz w:val="11"/>
                <w:szCs w:val="11"/>
                <w:color w:val="auto"/>
              </w:rPr>
              <w:t>2.6%</w:t>
            </w:r>
          </w:p>
        </w:tc>
        <w:tc>
          <w:tcPr>
            <w:tcW w:w="3380" w:type="dxa"/>
            <w:vAlign w:val="bottom"/>
          </w:tcPr>
          <w:p>
            <w:pPr>
              <w:spacing w:after="0"/>
              <w:rPr>
                <w:sz w:val="12"/>
                <w:szCs w:val="12"/>
                <w:color w:val="auto"/>
              </w:rPr>
            </w:pPr>
          </w:p>
        </w:tc>
      </w:tr>
      <w:tr>
        <w:trPr>
          <w:trHeight w:val="217"/>
        </w:trPr>
        <w:tc>
          <w:tcPr>
            <w:tcW w:w="3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Operating efficiency</w:t>
            </w: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380" w:type="dxa"/>
            <w:vAlign w:val="bottom"/>
          </w:tcPr>
          <w:p>
            <w:pPr>
              <w:spacing w:after="0"/>
              <w:rPr>
                <w:sz w:val="18"/>
                <w:szCs w:val="18"/>
                <w:color w:val="auto"/>
              </w:rPr>
            </w:pPr>
          </w:p>
        </w:tc>
      </w:tr>
      <w:tr>
        <w:trPr>
          <w:trHeight w:val="122"/>
        </w:trPr>
        <w:tc>
          <w:tcPr>
            <w:tcW w:w="3960" w:type="dxa"/>
            <w:vAlign w:val="bottom"/>
            <w:tcBorders>
              <w:left w:val="single" w:sz="8" w:color="auto"/>
              <w:right w:val="single" w:sz="8" w:color="auto"/>
            </w:tcBorders>
          </w:tcPr>
          <w:p>
            <w:pPr>
              <w:ind w:left="260"/>
              <w:spacing w:after="0" w:line="122" w:lineRule="exact"/>
              <w:rPr>
                <w:sz w:val="20"/>
                <w:szCs w:val="20"/>
                <w:color w:val="auto"/>
              </w:rPr>
            </w:pPr>
            <w:r>
              <w:rPr>
                <w:rFonts w:ascii="Arial" w:cs="Arial" w:eastAsia="Arial" w:hAnsi="Arial"/>
                <w:sz w:val="11"/>
                <w:szCs w:val="11"/>
                <w:color w:val="auto"/>
              </w:rPr>
              <w:t>Oper. expenses as a percent. of total income - reported (5)</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43.3%</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rPr>
              <w:t>41.0%</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43.2%</w:t>
            </w:r>
          </w:p>
        </w:tc>
        <w:tc>
          <w:tcPr>
            <w:tcW w:w="6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42.4%</w:t>
            </w:r>
          </w:p>
        </w:tc>
        <w:tc>
          <w:tcPr>
            <w:tcW w:w="960" w:type="dxa"/>
            <w:vAlign w:val="bottom"/>
            <w:tcBorders>
              <w:right w:val="single" w:sz="8" w:color="auto"/>
            </w:tcBorders>
          </w:tcPr>
          <w:p>
            <w:pPr>
              <w:jc w:val="center"/>
              <w:ind w:left="81"/>
              <w:spacing w:after="0" w:line="122" w:lineRule="exact"/>
              <w:rPr>
                <w:sz w:val="20"/>
                <w:szCs w:val="20"/>
                <w:color w:val="auto"/>
              </w:rPr>
            </w:pPr>
            <w:r>
              <w:rPr>
                <w:rFonts w:ascii="Arial" w:cs="Arial" w:eastAsia="Arial" w:hAnsi="Arial"/>
                <w:sz w:val="11"/>
                <w:szCs w:val="11"/>
                <w:color w:val="auto"/>
              </w:rPr>
              <w:t>40.7%</w:t>
            </w:r>
          </w:p>
        </w:tc>
        <w:tc>
          <w:tcPr>
            <w:tcW w:w="3380" w:type="dxa"/>
            <w:vAlign w:val="bottom"/>
          </w:tcPr>
          <w:p>
            <w:pPr>
              <w:spacing w:after="0"/>
              <w:rPr>
                <w:sz w:val="10"/>
                <w:szCs w:val="10"/>
                <w:color w:val="auto"/>
              </w:rPr>
            </w:pPr>
          </w:p>
        </w:tc>
      </w:tr>
      <w:tr>
        <w:trPr>
          <w:trHeight w:val="137"/>
        </w:trPr>
        <w:tc>
          <w:tcPr>
            <w:tcW w:w="39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1"/>
                <w:szCs w:val="11"/>
                <w:color w:val="auto"/>
              </w:rPr>
              <w:t>Oper. expenses as a percent. of av. tot. assets (1)(2)(5)</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3.5%</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3.7%</w:t>
            </w:r>
          </w:p>
        </w:tc>
        <w:tc>
          <w:tcPr>
            <w:tcW w:w="60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color w:val="auto"/>
              </w:rPr>
              <w:t>3.1%</w:t>
            </w:r>
          </w:p>
        </w:tc>
        <w:tc>
          <w:tcPr>
            <w:tcW w:w="96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1"/>
                <w:szCs w:val="11"/>
                <w:color w:val="auto"/>
              </w:rPr>
              <w:t>3.4%</w:t>
            </w:r>
          </w:p>
        </w:tc>
        <w:tc>
          <w:tcPr>
            <w:tcW w:w="3380" w:type="dxa"/>
            <w:vAlign w:val="bottom"/>
          </w:tcPr>
          <w:p>
            <w:pPr>
              <w:spacing w:after="0"/>
              <w:rPr>
                <w:sz w:val="11"/>
                <w:szCs w:val="11"/>
                <w:color w:val="auto"/>
              </w:rPr>
            </w:pPr>
          </w:p>
        </w:tc>
      </w:tr>
      <w:tr>
        <w:trPr>
          <w:trHeight w:val="390"/>
        </w:trPr>
        <w:tc>
          <w:tcPr>
            <w:tcW w:w="3960" w:type="dxa"/>
            <w:vAlign w:val="bottom"/>
          </w:tcPr>
          <w:p>
            <w:pPr>
              <w:spacing w:after="0"/>
              <w:rPr>
                <w:sz w:val="24"/>
                <w:szCs w:val="24"/>
                <w:color w:val="auto"/>
              </w:rPr>
            </w:pPr>
          </w:p>
        </w:tc>
        <w:tc>
          <w:tcPr>
            <w:tcW w:w="2960" w:type="dxa"/>
            <w:vAlign w:val="bottom"/>
            <w:gridSpan w:val="4"/>
          </w:tcPr>
          <w:p>
            <w:pPr>
              <w:ind w:left="400"/>
              <w:spacing w:after="0"/>
              <w:rPr>
                <w:sz w:val="20"/>
                <w:szCs w:val="20"/>
                <w:color w:val="auto"/>
              </w:rPr>
            </w:pPr>
            <w:r>
              <w:rPr>
                <w:rFonts w:ascii="Arial" w:cs="Arial" w:eastAsia="Arial" w:hAnsi="Arial"/>
                <w:sz w:val="13"/>
                <w:szCs w:val="13"/>
                <w:color w:val="0000FF"/>
              </w:rPr>
              <w:t>Datos elaborados por BCP para uso Interno</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558"/>
        </w:trPr>
        <w:tc>
          <w:tcPr>
            <w:tcW w:w="3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22" w:right="319" w:bottom="1440" w:gutter="0" w:footer="0" w:header="0"/>
        </w:sectPr>
      </w:pPr>
    </w:p>
    <w:bookmarkStart w:id="72" w:name="page73"/>
    <w:bookmarkEnd w:id="72"/>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444"/>
        </w:trPr>
        <w:tc>
          <w:tcPr>
            <w:tcW w:w="7380" w:type="dxa"/>
            <w:vAlign w:val="bottom"/>
            <w:gridSpan w:val="2"/>
            <w:shd w:val="clear" w:color="auto" w:fill="000000"/>
          </w:tcPr>
          <w:p>
            <w:pPr>
              <w:ind w:left="27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3880" w:type="dxa"/>
            <w:vAlign w:val="bottom"/>
            <w:gridSpan w:val="5"/>
            <w:shd w:val="clear" w:color="auto" w:fill="000000"/>
          </w:tcPr>
          <w:p>
            <w:pPr>
              <w:ind w:left="140"/>
              <w:spacing w:after="0"/>
              <w:rPr>
                <w:sz w:val="20"/>
                <w:szCs w:val="20"/>
                <w:color w:val="auto"/>
              </w:rPr>
            </w:pPr>
            <w:r>
              <w:rPr>
                <w:rFonts w:ascii="Arial" w:cs="Arial" w:eastAsia="Arial" w:hAnsi="Arial"/>
                <w:sz w:val="18"/>
                <w:szCs w:val="18"/>
                <w:b w:val="1"/>
                <w:bCs w:val="1"/>
                <w:color w:val="E93BAC"/>
              </w:rPr>
              <w:t>Analysis of 4Q23 Consolidated Results</w:t>
            </w:r>
          </w:p>
        </w:tc>
      </w:tr>
      <w:tr>
        <w:trPr>
          <w:trHeight w:val="202"/>
        </w:trPr>
        <w:tc>
          <w:tcPr>
            <w:tcW w:w="4240" w:type="dxa"/>
            <w:vAlign w:val="bottom"/>
            <w:shd w:val="clear" w:color="auto" w:fill="000000"/>
          </w:tcPr>
          <w:p>
            <w:pPr>
              <w:spacing w:after="0"/>
              <w:rPr>
                <w:sz w:val="17"/>
                <w:szCs w:val="17"/>
                <w:color w:val="auto"/>
              </w:rPr>
            </w:pPr>
          </w:p>
        </w:tc>
        <w:tc>
          <w:tcPr>
            <w:tcW w:w="3140" w:type="dxa"/>
            <w:vAlign w:val="bottom"/>
            <w:shd w:val="clear" w:color="auto" w:fill="000000"/>
          </w:tcPr>
          <w:p>
            <w:pPr>
              <w:spacing w:after="0"/>
              <w:rPr>
                <w:sz w:val="17"/>
                <w:szCs w:val="17"/>
                <w:color w:val="auto"/>
              </w:rPr>
            </w:pPr>
          </w:p>
        </w:tc>
        <w:tc>
          <w:tcPr>
            <w:tcW w:w="1060" w:type="dxa"/>
            <w:vAlign w:val="bottom"/>
            <w:shd w:val="clear" w:color="auto" w:fill="000000"/>
          </w:tcPr>
          <w:p>
            <w:pPr>
              <w:spacing w:after="0"/>
              <w:rPr>
                <w:sz w:val="17"/>
                <w:szCs w:val="17"/>
                <w:color w:val="auto"/>
              </w:rPr>
            </w:pPr>
          </w:p>
        </w:tc>
        <w:tc>
          <w:tcPr>
            <w:tcW w:w="1040" w:type="dxa"/>
            <w:vAlign w:val="bottom"/>
            <w:shd w:val="clear" w:color="auto" w:fill="000000"/>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322"/>
        </w:trPr>
        <w:tc>
          <w:tcPr>
            <w:tcW w:w="4240" w:type="dxa"/>
            <w:vAlign w:val="bottom"/>
            <w:shd w:val="clear" w:color="auto" w:fill="E93CAC"/>
          </w:tcPr>
          <w:p>
            <w:pPr>
              <w:ind w:left="40"/>
              <w:spacing w:after="0"/>
              <w:rPr>
                <w:sz w:val="20"/>
                <w:szCs w:val="20"/>
                <w:color w:val="auto"/>
              </w:rPr>
            </w:pPr>
            <w:r>
              <w:rPr>
                <w:rFonts w:ascii="Arial" w:cs="Arial" w:eastAsia="Arial" w:hAnsi="Arial"/>
                <w:sz w:val="18"/>
                <w:szCs w:val="18"/>
                <w:b w:val="1"/>
                <w:bCs w:val="1"/>
                <w:color w:val="FFFFFF"/>
              </w:rPr>
              <w:t>12. Appendix</w:t>
            </w:r>
          </w:p>
        </w:tc>
        <w:tc>
          <w:tcPr>
            <w:tcW w:w="3140" w:type="dxa"/>
            <w:vAlign w:val="bottom"/>
            <w:shd w:val="clear" w:color="auto" w:fill="E93CAC"/>
          </w:tcPr>
          <w:p>
            <w:pPr>
              <w:spacing w:after="0"/>
              <w:rPr>
                <w:sz w:val="24"/>
                <w:szCs w:val="24"/>
                <w:color w:val="auto"/>
              </w:rPr>
            </w:pPr>
          </w:p>
        </w:tc>
        <w:tc>
          <w:tcPr>
            <w:tcW w:w="1060" w:type="dxa"/>
            <w:vAlign w:val="bottom"/>
            <w:shd w:val="clear" w:color="auto" w:fill="E93CAC"/>
          </w:tcPr>
          <w:p>
            <w:pPr>
              <w:spacing w:after="0"/>
              <w:rPr>
                <w:sz w:val="24"/>
                <w:szCs w:val="24"/>
                <w:color w:val="auto"/>
              </w:rPr>
            </w:pPr>
          </w:p>
        </w:tc>
        <w:tc>
          <w:tcPr>
            <w:tcW w:w="1040" w:type="dxa"/>
            <w:vAlign w:val="bottom"/>
            <w:shd w:val="clear" w:color="auto" w:fill="E93CAC"/>
          </w:tcPr>
          <w:p>
            <w:pPr>
              <w:spacing w:after="0"/>
              <w:rPr>
                <w:sz w:val="24"/>
                <w:szCs w:val="24"/>
                <w:color w:val="auto"/>
              </w:rPr>
            </w:pPr>
          </w:p>
        </w:tc>
        <w:tc>
          <w:tcPr>
            <w:tcW w:w="1140" w:type="dxa"/>
            <w:vAlign w:val="bottom"/>
            <w:shd w:val="clear" w:color="auto" w:fill="E93CAC"/>
          </w:tcPr>
          <w:p>
            <w:pPr>
              <w:spacing w:after="0"/>
              <w:rPr>
                <w:sz w:val="24"/>
                <w:szCs w:val="24"/>
                <w:color w:val="auto"/>
              </w:rPr>
            </w:pPr>
          </w:p>
        </w:tc>
        <w:tc>
          <w:tcPr>
            <w:tcW w:w="620" w:type="dxa"/>
            <w:vAlign w:val="bottom"/>
            <w:shd w:val="clear" w:color="auto" w:fill="E93CAC"/>
          </w:tcPr>
          <w:p>
            <w:pPr>
              <w:spacing w:after="0"/>
              <w:rPr>
                <w:sz w:val="24"/>
                <w:szCs w:val="24"/>
                <w:color w:val="auto"/>
              </w:rPr>
            </w:pPr>
          </w:p>
        </w:tc>
        <w:tc>
          <w:tcPr>
            <w:tcW w:w="20" w:type="dxa"/>
            <w:vAlign w:val="bottom"/>
            <w:shd w:val="clear" w:color="auto" w:fill="E93CAC"/>
          </w:tcPr>
          <w:p>
            <w:pPr>
              <w:spacing w:after="0"/>
              <w:rPr>
                <w:sz w:val="24"/>
                <w:szCs w:val="24"/>
                <w:color w:val="auto"/>
              </w:rPr>
            </w:pPr>
          </w:p>
        </w:tc>
      </w:tr>
      <w:tr>
        <w:trPr>
          <w:trHeight w:val="68"/>
        </w:trPr>
        <w:tc>
          <w:tcPr>
            <w:tcW w:w="4240" w:type="dxa"/>
            <w:vAlign w:val="bottom"/>
            <w:shd w:val="clear" w:color="auto" w:fill="E93CAC"/>
          </w:tcPr>
          <w:p>
            <w:pPr>
              <w:spacing w:after="0"/>
              <w:rPr>
                <w:sz w:val="5"/>
                <w:szCs w:val="5"/>
                <w:color w:val="auto"/>
              </w:rPr>
            </w:pPr>
          </w:p>
        </w:tc>
        <w:tc>
          <w:tcPr>
            <w:tcW w:w="3140" w:type="dxa"/>
            <w:vAlign w:val="bottom"/>
            <w:shd w:val="clear" w:color="auto" w:fill="E93CAC"/>
          </w:tcPr>
          <w:p>
            <w:pPr>
              <w:spacing w:after="0"/>
              <w:rPr>
                <w:sz w:val="5"/>
                <w:szCs w:val="5"/>
                <w:color w:val="auto"/>
              </w:rPr>
            </w:pPr>
          </w:p>
        </w:tc>
        <w:tc>
          <w:tcPr>
            <w:tcW w:w="1060" w:type="dxa"/>
            <w:vAlign w:val="bottom"/>
            <w:shd w:val="clear" w:color="auto" w:fill="E93CAC"/>
          </w:tcPr>
          <w:p>
            <w:pPr>
              <w:spacing w:after="0"/>
              <w:rPr>
                <w:sz w:val="5"/>
                <w:szCs w:val="5"/>
                <w:color w:val="auto"/>
              </w:rPr>
            </w:pPr>
          </w:p>
        </w:tc>
        <w:tc>
          <w:tcPr>
            <w:tcW w:w="1040" w:type="dxa"/>
            <w:vAlign w:val="bottom"/>
            <w:shd w:val="clear" w:color="auto" w:fill="E93CAC"/>
          </w:tcPr>
          <w:p>
            <w:pPr>
              <w:spacing w:after="0"/>
              <w:rPr>
                <w:sz w:val="5"/>
                <w:szCs w:val="5"/>
                <w:color w:val="auto"/>
              </w:rPr>
            </w:pPr>
          </w:p>
        </w:tc>
        <w:tc>
          <w:tcPr>
            <w:tcW w:w="1140" w:type="dxa"/>
            <w:vAlign w:val="bottom"/>
            <w:shd w:val="clear" w:color="auto" w:fill="E93CAC"/>
          </w:tcPr>
          <w:p>
            <w:pPr>
              <w:spacing w:after="0"/>
              <w:rPr>
                <w:sz w:val="5"/>
                <w:szCs w:val="5"/>
                <w:color w:val="auto"/>
              </w:rPr>
            </w:pPr>
          </w:p>
        </w:tc>
        <w:tc>
          <w:tcPr>
            <w:tcW w:w="620" w:type="dxa"/>
            <w:vAlign w:val="bottom"/>
            <w:shd w:val="clear" w:color="auto" w:fill="E93CAC"/>
          </w:tcPr>
          <w:p>
            <w:pPr>
              <w:spacing w:after="0"/>
              <w:rPr>
                <w:sz w:val="5"/>
                <w:szCs w:val="5"/>
                <w:color w:val="auto"/>
              </w:rPr>
            </w:pPr>
          </w:p>
        </w:tc>
        <w:tc>
          <w:tcPr>
            <w:tcW w:w="20" w:type="dxa"/>
            <w:vAlign w:val="bottom"/>
            <w:shd w:val="clear" w:color="auto" w:fill="E93CAC"/>
          </w:tcPr>
          <w:p>
            <w:pPr>
              <w:spacing w:after="0"/>
              <w:rPr>
                <w:sz w:val="5"/>
                <w:szCs w:val="5"/>
                <w:color w:val="auto"/>
              </w:rPr>
            </w:pPr>
          </w:p>
        </w:tc>
      </w:tr>
      <w:tr>
        <w:trPr>
          <w:trHeight w:val="389"/>
        </w:trPr>
        <w:tc>
          <w:tcPr>
            <w:tcW w:w="4240" w:type="dxa"/>
            <w:vAlign w:val="bottom"/>
          </w:tcPr>
          <w:p>
            <w:pPr>
              <w:spacing w:after="0"/>
              <w:rPr>
                <w:sz w:val="20"/>
                <w:szCs w:val="20"/>
                <w:color w:val="auto"/>
              </w:rPr>
            </w:pPr>
            <w:r>
              <w:rPr>
                <w:rFonts w:ascii="Arial" w:cs="Arial" w:eastAsia="Arial" w:hAnsi="Arial"/>
                <w:sz w:val="16"/>
                <w:szCs w:val="16"/>
                <w:b w:val="1"/>
                <w:bCs w:val="1"/>
                <w:color w:val="auto"/>
              </w:rPr>
              <w:t>12.6.4. BCP Stand-alone</w:t>
            </w:r>
          </w:p>
        </w:tc>
        <w:tc>
          <w:tcPr>
            <w:tcW w:w="3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4240" w:type="dxa"/>
            <w:vAlign w:val="bottom"/>
          </w:tcPr>
          <w:p>
            <w:pPr>
              <w:spacing w:after="0"/>
              <w:rPr>
                <w:sz w:val="24"/>
                <w:szCs w:val="24"/>
                <w:color w:val="auto"/>
              </w:rPr>
            </w:pPr>
          </w:p>
        </w:tc>
        <w:tc>
          <w:tcPr>
            <w:tcW w:w="3140" w:type="dxa"/>
            <w:vAlign w:val="bottom"/>
          </w:tcPr>
          <w:p>
            <w:pPr>
              <w:jc w:val="center"/>
              <w:ind w:right="302"/>
              <w:spacing w:after="0"/>
              <w:rPr>
                <w:sz w:val="20"/>
                <w:szCs w:val="20"/>
                <w:color w:val="auto"/>
              </w:rPr>
            </w:pPr>
            <w:r>
              <w:rPr>
                <w:rFonts w:ascii="Arial" w:cs="Arial" w:eastAsia="Arial" w:hAnsi="Arial"/>
                <w:sz w:val="16"/>
                <w:szCs w:val="16"/>
                <w:b w:val="1"/>
                <w:bCs w:val="1"/>
                <w:color w:val="auto"/>
              </w:rPr>
              <w:t>Statement of Financial Position</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4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jc w:val="center"/>
              <w:ind w:right="322"/>
              <w:spacing w:after="0"/>
              <w:rPr>
                <w:sz w:val="20"/>
                <w:szCs w:val="20"/>
                <w:color w:val="auto"/>
              </w:rPr>
            </w:pPr>
            <w:r>
              <w:rPr>
                <w:rFonts w:ascii="Arial" w:cs="Arial" w:eastAsia="Arial" w:hAnsi="Arial"/>
                <w:sz w:val="16"/>
                <w:szCs w:val="16"/>
                <w:b w:val="1"/>
                <w:bCs w:val="1"/>
                <w:color w:val="auto"/>
              </w:rPr>
              <w:t>(S/ Thousands, IFRS)</w:t>
            </w: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99"/>
        </w:trPr>
        <w:tc>
          <w:tcPr>
            <w:tcW w:w="4240" w:type="dxa"/>
            <w:vAlign w:val="bottom"/>
            <w:shd w:val="clear" w:color="auto" w:fill="2AD2C9"/>
          </w:tcPr>
          <w:p>
            <w:pPr>
              <w:spacing w:after="0"/>
              <w:rPr>
                <w:sz w:val="8"/>
                <w:szCs w:val="8"/>
                <w:color w:val="auto"/>
              </w:rPr>
            </w:pPr>
          </w:p>
        </w:tc>
        <w:tc>
          <w:tcPr>
            <w:tcW w:w="3140" w:type="dxa"/>
            <w:vAlign w:val="bottom"/>
            <w:shd w:val="clear" w:color="auto" w:fill="2AD2C9"/>
          </w:tcPr>
          <w:p>
            <w:pPr>
              <w:spacing w:after="0"/>
              <w:rPr>
                <w:sz w:val="8"/>
                <w:szCs w:val="8"/>
                <w:color w:val="auto"/>
              </w:rPr>
            </w:pPr>
          </w:p>
        </w:tc>
        <w:tc>
          <w:tcPr>
            <w:tcW w:w="1060" w:type="dxa"/>
            <w:vAlign w:val="bottom"/>
            <w:shd w:val="clear" w:color="auto" w:fill="2AD2C9"/>
          </w:tcPr>
          <w:p>
            <w:pPr>
              <w:jc w:val="center"/>
              <w:ind w:left="2"/>
              <w:spacing w:after="0" w:line="99" w:lineRule="exact"/>
              <w:rPr>
                <w:sz w:val="20"/>
                <w:szCs w:val="20"/>
                <w:color w:val="auto"/>
              </w:rPr>
            </w:pPr>
            <w:r>
              <w:rPr>
                <w:rFonts w:ascii="Arial" w:cs="Arial" w:eastAsia="Arial" w:hAnsi="Arial"/>
                <w:sz w:val="11"/>
                <w:szCs w:val="11"/>
                <w:b w:val="1"/>
                <w:bCs w:val="1"/>
                <w:color w:val="FFFFFF"/>
              </w:rPr>
              <w:t>As of</w:t>
            </w:r>
          </w:p>
        </w:tc>
        <w:tc>
          <w:tcPr>
            <w:tcW w:w="1040" w:type="dxa"/>
            <w:vAlign w:val="bottom"/>
            <w:shd w:val="clear" w:color="auto" w:fill="2AD2C9"/>
          </w:tcPr>
          <w:p>
            <w:pPr>
              <w:spacing w:after="0"/>
              <w:rPr>
                <w:sz w:val="8"/>
                <w:szCs w:val="8"/>
                <w:color w:val="auto"/>
              </w:rPr>
            </w:pPr>
          </w:p>
        </w:tc>
        <w:tc>
          <w:tcPr>
            <w:tcW w:w="1140" w:type="dxa"/>
            <w:vAlign w:val="bottom"/>
            <w:shd w:val="clear" w:color="auto" w:fill="2AD2C9"/>
          </w:tcPr>
          <w:p>
            <w:pPr>
              <w:ind w:left="600"/>
              <w:spacing w:after="0" w:line="99" w:lineRule="exact"/>
              <w:rPr>
                <w:sz w:val="20"/>
                <w:szCs w:val="20"/>
                <w:color w:val="auto"/>
              </w:rPr>
            </w:pPr>
            <w:r>
              <w:rPr>
                <w:rFonts w:ascii="Arial" w:cs="Arial" w:eastAsia="Arial" w:hAnsi="Arial"/>
                <w:sz w:val="11"/>
                <w:szCs w:val="11"/>
                <w:b w:val="1"/>
                <w:bCs w:val="1"/>
                <w:color w:val="FFFFFF"/>
              </w:rPr>
              <w:t>% change</w:t>
            </w:r>
          </w:p>
        </w:tc>
        <w:tc>
          <w:tcPr>
            <w:tcW w:w="620" w:type="dxa"/>
            <w:vAlign w:val="bottom"/>
            <w:shd w:val="clear" w:color="auto" w:fill="2AD2C9"/>
          </w:tcPr>
          <w:p>
            <w:pPr>
              <w:spacing w:after="0"/>
              <w:rPr>
                <w:sz w:val="8"/>
                <w:szCs w:val="8"/>
                <w:color w:val="auto"/>
              </w:rPr>
            </w:pPr>
          </w:p>
        </w:tc>
        <w:tc>
          <w:tcPr>
            <w:tcW w:w="20" w:type="dxa"/>
            <w:vAlign w:val="bottom"/>
          </w:tcPr>
          <w:p>
            <w:pPr>
              <w:spacing w:after="0"/>
              <w:rPr>
                <w:sz w:val="8"/>
                <w:szCs w:val="8"/>
                <w:color w:val="auto"/>
              </w:rPr>
            </w:pPr>
          </w:p>
        </w:tc>
      </w:tr>
      <w:tr>
        <w:trPr>
          <w:trHeight w:val="137"/>
        </w:trPr>
        <w:tc>
          <w:tcPr>
            <w:tcW w:w="4240" w:type="dxa"/>
            <w:vAlign w:val="bottom"/>
            <w:tcBorders>
              <w:bottom w:val="single" w:sz="8" w:color="auto"/>
            </w:tcBorders>
            <w:shd w:val="clear" w:color="auto" w:fill="2AD2C9"/>
          </w:tcPr>
          <w:p>
            <w:pPr>
              <w:spacing w:after="0"/>
              <w:rPr>
                <w:sz w:val="11"/>
                <w:szCs w:val="11"/>
                <w:color w:val="auto"/>
              </w:rPr>
            </w:pPr>
          </w:p>
        </w:tc>
        <w:tc>
          <w:tcPr>
            <w:tcW w:w="3140" w:type="dxa"/>
            <w:vAlign w:val="bottom"/>
            <w:tcBorders>
              <w:bottom w:val="single" w:sz="8" w:color="auto"/>
            </w:tcBorders>
            <w:shd w:val="clear" w:color="auto" w:fill="2AD2C9"/>
          </w:tcPr>
          <w:p>
            <w:pPr>
              <w:ind w:left="2500"/>
              <w:spacing w:after="0"/>
              <w:rPr>
                <w:sz w:val="20"/>
                <w:szCs w:val="20"/>
                <w:color w:val="auto"/>
              </w:rPr>
            </w:pPr>
            <w:r>
              <w:rPr>
                <w:rFonts w:ascii="Arial" w:cs="Arial" w:eastAsia="Arial" w:hAnsi="Arial"/>
                <w:sz w:val="11"/>
                <w:szCs w:val="11"/>
                <w:b w:val="1"/>
                <w:bCs w:val="1"/>
                <w:color w:val="FFFFFF"/>
              </w:rPr>
              <w:t>Dec 22</w:t>
            </w:r>
          </w:p>
        </w:tc>
        <w:tc>
          <w:tcPr>
            <w:tcW w:w="10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Sep 23</w:t>
            </w:r>
          </w:p>
        </w:tc>
        <w:tc>
          <w:tcPr>
            <w:tcW w:w="104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Dec 23</w:t>
            </w:r>
          </w:p>
        </w:tc>
        <w:tc>
          <w:tcPr>
            <w:tcW w:w="114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QoQ</w:t>
            </w:r>
          </w:p>
        </w:tc>
        <w:tc>
          <w:tcPr>
            <w:tcW w:w="620" w:type="dxa"/>
            <w:vAlign w:val="bottom"/>
            <w:tcBorders>
              <w:bottom w:val="single" w:sz="8" w:color="auto"/>
            </w:tcBorders>
            <w:shd w:val="clear" w:color="auto" w:fill="2AD2C9"/>
          </w:tcPr>
          <w:p>
            <w:pPr>
              <w:jc w:val="center"/>
              <w:ind w:right="223"/>
              <w:spacing w:after="0"/>
              <w:rPr>
                <w:sz w:val="20"/>
                <w:szCs w:val="20"/>
                <w:color w:val="auto"/>
              </w:rPr>
            </w:pPr>
            <w:r>
              <w:rPr>
                <w:rFonts w:ascii="Arial" w:cs="Arial" w:eastAsia="Arial" w:hAnsi="Arial"/>
                <w:sz w:val="11"/>
                <w:szCs w:val="11"/>
                <w:b w:val="1"/>
                <w:bCs w:val="1"/>
                <w:color w:val="FFFFFF"/>
              </w:rPr>
              <w:t>YoY</w:t>
            </w:r>
          </w:p>
        </w:tc>
        <w:tc>
          <w:tcPr>
            <w:tcW w:w="20" w:type="dxa"/>
            <w:vAlign w:val="bottom"/>
            <w:tcBorders>
              <w:bottom w:val="single" w:sz="8" w:color="auto"/>
            </w:tcBorders>
          </w:tcPr>
          <w:p>
            <w:pPr>
              <w:spacing w:after="0"/>
              <w:rPr>
                <w:sz w:val="11"/>
                <w:szCs w:val="11"/>
                <w:color w:val="auto"/>
              </w:rPr>
            </w:pPr>
          </w:p>
        </w:tc>
      </w:tr>
      <w:tr>
        <w:trPr>
          <w:trHeight w:val="99"/>
        </w:trPr>
        <w:tc>
          <w:tcPr>
            <w:tcW w:w="4240" w:type="dxa"/>
            <w:vAlign w:val="bottom"/>
          </w:tcPr>
          <w:p>
            <w:pPr>
              <w:ind w:left="100"/>
              <w:spacing w:after="0" w:line="99" w:lineRule="exact"/>
              <w:rPr>
                <w:sz w:val="20"/>
                <w:szCs w:val="20"/>
                <w:color w:val="auto"/>
              </w:rPr>
            </w:pPr>
            <w:r>
              <w:rPr>
                <w:rFonts w:ascii="Arial" w:cs="Arial" w:eastAsia="Arial" w:hAnsi="Arial"/>
                <w:sz w:val="11"/>
                <w:szCs w:val="11"/>
                <w:b w:val="1"/>
                <w:bCs w:val="1"/>
                <w:color w:val="auto"/>
              </w:rPr>
              <w:t>ASSETS</w:t>
            </w:r>
          </w:p>
        </w:tc>
        <w:tc>
          <w:tcPr>
            <w:tcW w:w="3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Cash and due from banks</w:t>
            </w:r>
          </w:p>
        </w:tc>
        <w:tc>
          <w:tcPr>
            <w:tcW w:w="3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Non-interest bearing</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5,070,067</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5,281,567</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5,236,016</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-0.9%</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3.3%</w:t>
            </w: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Interest bearing</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24,573,419</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23,133,255</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24,554,369</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6.1%</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-0.1%</w:t>
            </w:r>
          </w:p>
        </w:tc>
        <w:tc>
          <w:tcPr>
            <w:tcW w:w="20" w:type="dxa"/>
            <w:vAlign w:val="bottom"/>
          </w:tcPr>
          <w:p>
            <w:pPr>
              <w:spacing w:after="0"/>
              <w:rPr>
                <w:sz w:val="10"/>
                <w:szCs w:val="10"/>
                <w:color w:val="auto"/>
              </w:rPr>
            </w:pPr>
          </w:p>
        </w:tc>
      </w:tr>
      <w:tr>
        <w:trPr>
          <w:trHeight w:val="155"/>
        </w:trPr>
        <w:tc>
          <w:tcPr>
            <w:tcW w:w="4240" w:type="dxa"/>
            <w:vAlign w:val="bottom"/>
          </w:tcPr>
          <w:p>
            <w:pPr>
              <w:ind w:left="180"/>
              <w:spacing w:after="0"/>
              <w:rPr>
                <w:sz w:val="20"/>
                <w:szCs w:val="20"/>
                <w:color w:val="auto"/>
              </w:rPr>
            </w:pPr>
            <w:r>
              <w:rPr>
                <w:rFonts w:ascii="Arial" w:cs="Arial" w:eastAsia="Arial" w:hAnsi="Arial"/>
                <w:sz w:val="11"/>
                <w:szCs w:val="11"/>
                <w:b w:val="1"/>
                <w:bCs w:val="1"/>
                <w:color w:val="auto"/>
              </w:rPr>
              <w:t>Total cash and due from banks</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29,643,486</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28,414,822</w:t>
            </w:r>
          </w:p>
        </w:tc>
        <w:tc>
          <w:tcPr>
            <w:tcW w:w="1040" w:type="dxa"/>
            <w:vAlign w:val="bottom"/>
          </w:tcPr>
          <w:p>
            <w:pPr>
              <w:jc w:val="center"/>
              <w:spacing w:after="0"/>
              <w:rPr>
                <w:sz w:val="20"/>
                <w:szCs w:val="20"/>
                <w:color w:val="auto"/>
              </w:rPr>
            </w:pPr>
            <w:r>
              <w:rPr>
                <w:rFonts w:ascii="Arial" w:cs="Arial" w:eastAsia="Arial" w:hAnsi="Arial"/>
                <w:sz w:val="11"/>
                <w:szCs w:val="11"/>
                <w:color w:val="auto"/>
              </w:rPr>
              <w:t>29,790,385</w:t>
            </w:r>
          </w:p>
        </w:tc>
        <w:tc>
          <w:tcPr>
            <w:tcW w:w="1140" w:type="dxa"/>
            <w:vAlign w:val="bottom"/>
          </w:tcPr>
          <w:p>
            <w:pPr>
              <w:jc w:val="center"/>
              <w:ind w:right="223"/>
              <w:spacing w:after="0"/>
              <w:rPr>
                <w:sz w:val="20"/>
                <w:szCs w:val="20"/>
                <w:color w:val="auto"/>
              </w:rPr>
            </w:pPr>
            <w:r>
              <w:rPr>
                <w:rFonts w:ascii="Arial" w:cs="Arial" w:eastAsia="Arial" w:hAnsi="Arial"/>
                <w:sz w:val="11"/>
                <w:szCs w:val="11"/>
                <w:color w:val="auto"/>
              </w:rPr>
              <w:t>4.8%</w:t>
            </w:r>
          </w:p>
        </w:tc>
        <w:tc>
          <w:tcPr>
            <w:tcW w:w="620" w:type="dxa"/>
            <w:vAlign w:val="bottom"/>
          </w:tcPr>
          <w:p>
            <w:pPr>
              <w:jc w:val="center"/>
              <w:ind w:right="2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3"/>
                <w:szCs w:val="13"/>
                <w:color w:val="auto"/>
              </w:rPr>
            </w:pPr>
          </w:p>
        </w:tc>
      </w:tr>
      <w:tr>
        <w:trPr>
          <w:trHeight w:val="244"/>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Cash collateral, reverse repurchase agreements and securities borrowing</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244,017</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207,284</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100,211</w:t>
            </w:r>
          </w:p>
        </w:tc>
        <w:tc>
          <w:tcPr>
            <w:tcW w:w="1140" w:type="dxa"/>
            <w:vAlign w:val="bottom"/>
          </w:tcPr>
          <w:p>
            <w:pPr>
              <w:jc w:val="center"/>
              <w:ind w:right="243"/>
              <w:spacing w:after="0"/>
              <w:rPr>
                <w:sz w:val="20"/>
                <w:szCs w:val="20"/>
                <w:color w:val="auto"/>
              </w:rPr>
            </w:pPr>
            <w:r>
              <w:rPr>
                <w:rFonts w:ascii="Arial" w:cs="Arial" w:eastAsia="Arial" w:hAnsi="Arial"/>
                <w:sz w:val="11"/>
                <w:szCs w:val="11"/>
                <w:b w:val="1"/>
                <w:bCs w:val="1"/>
                <w:color w:val="auto"/>
              </w:rPr>
              <w:t>-51.7%</w:t>
            </w:r>
          </w:p>
        </w:tc>
        <w:tc>
          <w:tcPr>
            <w:tcW w:w="620" w:type="dxa"/>
            <w:vAlign w:val="bottom"/>
          </w:tcPr>
          <w:p>
            <w:pPr>
              <w:jc w:val="center"/>
              <w:ind w:right="203"/>
              <w:spacing w:after="0"/>
              <w:rPr>
                <w:sz w:val="20"/>
                <w:szCs w:val="20"/>
                <w:color w:val="auto"/>
              </w:rPr>
            </w:pPr>
            <w:r>
              <w:rPr>
                <w:rFonts w:ascii="Arial" w:cs="Arial" w:eastAsia="Arial" w:hAnsi="Arial"/>
                <w:sz w:val="11"/>
                <w:szCs w:val="11"/>
                <w:b w:val="1"/>
                <w:bCs w:val="1"/>
                <w:color w:val="auto"/>
              </w:rPr>
              <w:t>-58.9%</w:t>
            </w:r>
          </w:p>
        </w:tc>
        <w:tc>
          <w:tcPr>
            <w:tcW w:w="20" w:type="dxa"/>
            <w:vAlign w:val="bottom"/>
          </w:tcPr>
          <w:p>
            <w:pPr>
              <w:spacing w:after="0"/>
              <w:rPr>
                <w:sz w:val="21"/>
                <w:szCs w:val="21"/>
                <w:color w:val="auto"/>
              </w:rPr>
            </w:pPr>
          </w:p>
        </w:tc>
      </w:tr>
      <w:tr>
        <w:trPr>
          <w:trHeight w:val="211"/>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Fair value through profit or loss investments</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1,011</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1,229,265</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362,360</w:t>
            </w:r>
          </w:p>
        </w:tc>
        <w:tc>
          <w:tcPr>
            <w:tcW w:w="1140" w:type="dxa"/>
            <w:vAlign w:val="bottom"/>
          </w:tcPr>
          <w:p>
            <w:pPr>
              <w:jc w:val="center"/>
              <w:ind w:right="243"/>
              <w:spacing w:after="0"/>
              <w:rPr>
                <w:sz w:val="20"/>
                <w:szCs w:val="20"/>
                <w:color w:val="auto"/>
              </w:rPr>
            </w:pPr>
            <w:r>
              <w:rPr>
                <w:rFonts w:ascii="Arial" w:cs="Arial" w:eastAsia="Arial" w:hAnsi="Arial"/>
                <w:sz w:val="11"/>
                <w:szCs w:val="11"/>
                <w:b w:val="1"/>
                <w:bCs w:val="1"/>
                <w:color w:val="auto"/>
              </w:rPr>
              <w:t>-70.5%</w:t>
            </w:r>
          </w:p>
        </w:tc>
        <w:tc>
          <w:tcPr>
            <w:tcW w:w="6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n.a</w:t>
            </w: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Fair value through other comprehensive income investments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b w:val="1"/>
                <w:bCs w:val="1"/>
                <w:color w:val="auto"/>
              </w:rPr>
              <w:t>14,098,087</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18,068,208</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18,178,514</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b w:val="1"/>
                <w:bCs w:val="1"/>
                <w:color w:val="auto"/>
              </w:rPr>
              <w:t>0.6%</w:t>
            </w:r>
          </w:p>
        </w:tc>
        <w:tc>
          <w:tcPr>
            <w:tcW w:w="620" w:type="dxa"/>
            <w:vAlign w:val="bottom"/>
          </w:tcPr>
          <w:p>
            <w:pPr>
              <w:jc w:val="center"/>
              <w:ind w:right="203"/>
              <w:spacing w:after="0" w:line="122" w:lineRule="exact"/>
              <w:rPr>
                <w:sz w:val="20"/>
                <w:szCs w:val="20"/>
                <w:color w:val="auto"/>
              </w:rPr>
            </w:pPr>
            <w:r>
              <w:rPr>
                <w:rFonts w:ascii="Arial" w:cs="Arial" w:eastAsia="Arial" w:hAnsi="Arial"/>
                <w:sz w:val="11"/>
                <w:szCs w:val="11"/>
                <w:b w:val="1"/>
                <w:bCs w:val="1"/>
                <w:color w:val="auto"/>
              </w:rPr>
              <w:t>28.9%</w:t>
            </w:r>
          </w:p>
        </w:tc>
        <w:tc>
          <w:tcPr>
            <w:tcW w:w="20" w:type="dxa"/>
            <w:vAlign w:val="bottom"/>
          </w:tcPr>
          <w:p>
            <w:pPr>
              <w:spacing w:after="0"/>
              <w:rPr>
                <w:sz w:val="10"/>
                <w:szCs w:val="10"/>
                <w:color w:val="auto"/>
              </w:rPr>
            </w:pPr>
          </w:p>
        </w:tc>
      </w:tr>
      <w:tr>
        <w:trPr>
          <w:trHeight w:val="155"/>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Amortized cost investments</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9,534,621</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9,310,033</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9,415,232</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1.1%</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-1.3%</w:t>
            </w:r>
          </w:p>
        </w:tc>
        <w:tc>
          <w:tcPr>
            <w:tcW w:w="20" w:type="dxa"/>
            <w:vAlign w:val="bottom"/>
          </w:tcPr>
          <w:p>
            <w:pPr>
              <w:spacing w:after="0"/>
              <w:rPr>
                <w:sz w:val="13"/>
                <w:szCs w:val="13"/>
                <w:color w:val="auto"/>
              </w:rPr>
            </w:pPr>
          </w:p>
        </w:tc>
      </w:tr>
      <w:tr>
        <w:trPr>
          <w:trHeight w:val="211"/>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123,707,601</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119,635,051</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119,425,134</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-0.2%</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-3.5%</w:t>
            </w:r>
          </w:p>
        </w:tc>
        <w:tc>
          <w:tcPr>
            <w:tcW w:w="20" w:type="dxa"/>
            <w:vAlign w:val="bottom"/>
          </w:tcPr>
          <w:p>
            <w:pPr>
              <w:spacing w:after="0"/>
              <w:rPr>
                <w:sz w:val="18"/>
                <w:szCs w:val="18"/>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Current</w:t>
            </w:r>
          </w:p>
        </w:tc>
        <w:tc>
          <w:tcPr>
            <w:tcW w:w="3140" w:type="dxa"/>
            <w:vAlign w:val="bottom"/>
          </w:tcPr>
          <w:p>
            <w:pPr>
              <w:jc w:val="center"/>
              <w:ind w:left="2182"/>
              <w:spacing w:after="0" w:line="122" w:lineRule="exact"/>
              <w:rPr>
                <w:sz w:val="20"/>
                <w:szCs w:val="20"/>
                <w:color w:val="auto"/>
              </w:rPr>
            </w:pPr>
            <w:r>
              <w:rPr>
                <w:rFonts w:ascii="Arial" w:cs="Arial" w:eastAsia="Arial" w:hAnsi="Arial"/>
                <w:sz w:val="11"/>
                <w:szCs w:val="11"/>
                <w:color w:val="auto"/>
              </w:rPr>
              <w:t>118,841,510</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114,403,780</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114,445,408</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b w:val="1"/>
                <w:bCs w:val="1"/>
                <w:color w:val="auto"/>
              </w:rPr>
              <w:t>0.0%</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b w:val="1"/>
                <w:bCs w:val="1"/>
                <w:color w:val="auto"/>
              </w:rPr>
              <w:t>-3.7%</w:t>
            </w: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Internal overdue loans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4,866,091</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5,231,271</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4,979,726</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b w:val="1"/>
                <w:bCs w:val="1"/>
                <w:color w:val="auto"/>
              </w:rPr>
              <w:t>-4.8%</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b w:val="1"/>
                <w:bCs w:val="1"/>
                <w:color w:val="auto"/>
              </w:rPr>
              <w:t>2.3%</w:t>
            </w: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Less - allowance for loan losses</w:t>
            </w:r>
          </w:p>
        </w:tc>
        <w:tc>
          <w:tcPr>
            <w:tcW w:w="3140" w:type="dxa"/>
            <w:vAlign w:val="bottom"/>
          </w:tcPr>
          <w:p>
            <w:pPr>
              <w:jc w:val="center"/>
              <w:ind w:left="2182"/>
              <w:spacing w:after="0" w:line="122" w:lineRule="exact"/>
              <w:rPr>
                <w:sz w:val="20"/>
                <w:szCs w:val="20"/>
                <w:color w:val="auto"/>
              </w:rPr>
            </w:pPr>
            <w:r>
              <w:rPr>
                <w:rFonts w:ascii="Arial" w:cs="Arial" w:eastAsia="Arial" w:hAnsi="Arial"/>
                <w:sz w:val="11"/>
                <w:szCs w:val="11"/>
                <w:color w:val="auto"/>
              </w:rPr>
              <w:t>(6,402,939)</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(6,534,389)</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(6,764,601)</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b w:val="1"/>
                <w:bCs w:val="1"/>
                <w:color w:val="auto"/>
              </w:rPr>
              <w:t>3.5%</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b w:val="1"/>
                <w:bCs w:val="1"/>
                <w:color w:val="auto"/>
              </w:rPr>
              <w:t>5.6%</w:t>
            </w:r>
          </w:p>
        </w:tc>
        <w:tc>
          <w:tcPr>
            <w:tcW w:w="20" w:type="dxa"/>
            <w:vAlign w:val="bottom"/>
          </w:tcPr>
          <w:p>
            <w:pPr>
              <w:spacing w:after="0"/>
              <w:rPr>
                <w:sz w:val="10"/>
                <w:szCs w:val="10"/>
                <w:color w:val="auto"/>
              </w:rPr>
            </w:pPr>
          </w:p>
        </w:tc>
      </w:tr>
      <w:tr>
        <w:trPr>
          <w:trHeight w:val="155"/>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Loans, net</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117,304,662</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113,100,662</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112,660,533</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-0.4%</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-4.0%</w:t>
            </w:r>
          </w:p>
        </w:tc>
        <w:tc>
          <w:tcPr>
            <w:tcW w:w="20" w:type="dxa"/>
            <w:vAlign w:val="bottom"/>
          </w:tcPr>
          <w:p>
            <w:pPr>
              <w:spacing w:after="0"/>
              <w:rPr>
                <w:sz w:val="13"/>
                <w:szCs w:val="13"/>
                <w:color w:val="auto"/>
              </w:rPr>
            </w:pPr>
          </w:p>
        </w:tc>
      </w:tr>
      <w:tr>
        <w:trPr>
          <w:trHeight w:val="211"/>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 xml:space="preserve">Property, furniture and equipment, net </w:t>
            </w:r>
            <w:r>
              <w:rPr>
                <w:rFonts w:ascii="Arial" w:cs="Arial" w:eastAsia="Arial" w:hAnsi="Arial"/>
                <w:sz w:val="18"/>
                <w:szCs w:val="18"/>
                <w:b w:val="1"/>
                <w:bCs w:val="1"/>
                <w:color w:val="auto"/>
                <w:vertAlign w:val="superscript"/>
              </w:rPr>
              <w:t>(1)</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1,281,645</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1,213,395</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1,300,690</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7.2%</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1.5%</w:t>
            </w:r>
          </w:p>
        </w:tc>
        <w:tc>
          <w:tcPr>
            <w:tcW w:w="20" w:type="dxa"/>
            <w:vAlign w:val="bottom"/>
          </w:tcPr>
          <w:p>
            <w:pPr>
              <w:spacing w:after="0"/>
              <w:rPr>
                <w:sz w:val="18"/>
                <w:szCs w:val="18"/>
                <w:color w:val="auto"/>
              </w:rPr>
            </w:pP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Due from customers on acceptances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b w:val="1"/>
                <w:bCs w:val="1"/>
                <w:color w:val="auto"/>
              </w:rPr>
              <w:t>699,678</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325,771</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412,401</w:t>
            </w:r>
          </w:p>
        </w:tc>
        <w:tc>
          <w:tcPr>
            <w:tcW w:w="1140" w:type="dxa"/>
            <w:vAlign w:val="bottom"/>
          </w:tcPr>
          <w:p>
            <w:pPr>
              <w:jc w:val="center"/>
              <w:ind w:right="243"/>
              <w:spacing w:after="0" w:line="122" w:lineRule="exact"/>
              <w:rPr>
                <w:sz w:val="20"/>
                <w:szCs w:val="20"/>
                <w:color w:val="auto"/>
              </w:rPr>
            </w:pPr>
            <w:r>
              <w:rPr>
                <w:rFonts w:ascii="Arial" w:cs="Arial" w:eastAsia="Arial" w:hAnsi="Arial"/>
                <w:sz w:val="11"/>
                <w:szCs w:val="11"/>
                <w:b w:val="1"/>
                <w:bCs w:val="1"/>
                <w:color w:val="auto"/>
              </w:rPr>
              <w:t>26.6%</w:t>
            </w:r>
          </w:p>
        </w:tc>
        <w:tc>
          <w:tcPr>
            <w:tcW w:w="620" w:type="dxa"/>
            <w:vAlign w:val="bottom"/>
          </w:tcPr>
          <w:p>
            <w:pPr>
              <w:jc w:val="center"/>
              <w:ind w:right="203"/>
              <w:spacing w:after="0" w:line="122" w:lineRule="exact"/>
              <w:rPr>
                <w:sz w:val="20"/>
                <w:szCs w:val="20"/>
                <w:color w:val="auto"/>
              </w:rPr>
            </w:pPr>
            <w:r>
              <w:rPr>
                <w:rFonts w:ascii="Arial" w:cs="Arial" w:eastAsia="Arial" w:hAnsi="Arial"/>
                <w:sz w:val="11"/>
                <w:szCs w:val="11"/>
                <w:b w:val="1"/>
                <w:bCs w:val="1"/>
                <w:color w:val="auto"/>
              </w:rPr>
              <w:t>-41.1%</w:t>
            </w:r>
          </w:p>
        </w:tc>
        <w:tc>
          <w:tcPr>
            <w:tcW w:w="20" w:type="dxa"/>
            <w:vAlign w:val="bottom"/>
          </w:tcPr>
          <w:p>
            <w:pPr>
              <w:spacing w:after="0"/>
              <w:rPr>
                <w:sz w:val="10"/>
                <w:szCs w:val="10"/>
                <w:color w:val="auto"/>
              </w:rPr>
            </w:pPr>
          </w:p>
        </w:tc>
      </w:tr>
      <w:tr>
        <w:trPr>
          <w:trHeight w:val="117"/>
        </w:trPr>
        <w:tc>
          <w:tcPr>
            <w:tcW w:w="42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Investments in associates</w:t>
            </w:r>
          </w:p>
        </w:tc>
        <w:tc>
          <w:tcPr>
            <w:tcW w:w="3140" w:type="dxa"/>
            <w:vAlign w:val="bottom"/>
          </w:tcPr>
          <w:p>
            <w:pPr>
              <w:jc w:val="center"/>
              <w:ind w:left="2162"/>
              <w:spacing w:after="0" w:line="117" w:lineRule="exact"/>
              <w:rPr>
                <w:sz w:val="20"/>
                <w:szCs w:val="20"/>
                <w:color w:val="auto"/>
              </w:rPr>
            </w:pPr>
            <w:r>
              <w:rPr>
                <w:rFonts w:ascii="Arial" w:cs="Arial" w:eastAsia="Arial" w:hAnsi="Arial"/>
                <w:sz w:val="11"/>
                <w:szCs w:val="11"/>
                <w:b w:val="1"/>
                <w:bCs w:val="1"/>
                <w:color w:val="auto"/>
              </w:rPr>
              <w:t>2,730,184</w:t>
            </w:r>
          </w:p>
        </w:tc>
        <w:tc>
          <w:tcPr>
            <w:tcW w:w="10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2,851,285</w:t>
            </w:r>
          </w:p>
        </w:tc>
        <w:tc>
          <w:tcPr>
            <w:tcW w:w="10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2,917,670</w:t>
            </w:r>
          </w:p>
        </w:tc>
        <w:tc>
          <w:tcPr>
            <w:tcW w:w="1140" w:type="dxa"/>
            <w:vAlign w:val="bottom"/>
          </w:tcPr>
          <w:p>
            <w:pPr>
              <w:jc w:val="center"/>
              <w:ind w:right="223"/>
              <w:spacing w:after="0" w:line="117" w:lineRule="exact"/>
              <w:rPr>
                <w:sz w:val="20"/>
                <w:szCs w:val="20"/>
                <w:color w:val="auto"/>
              </w:rPr>
            </w:pPr>
            <w:r>
              <w:rPr>
                <w:rFonts w:ascii="Arial" w:cs="Arial" w:eastAsia="Arial" w:hAnsi="Arial"/>
                <w:sz w:val="11"/>
                <w:szCs w:val="11"/>
                <w:b w:val="1"/>
                <w:bCs w:val="1"/>
                <w:color w:val="auto"/>
              </w:rPr>
              <w:t>2.3%</w:t>
            </w:r>
          </w:p>
        </w:tc>
        <w:tc>
          <w:tcPr>
            <w:tcW w:w="620" w:type="dxa"/>
            <w:vAlign w:val="bottom"/>
          </w:tcPr>
          <w:p>
            <w:pPr>
              <w:jc w:val="center"/>
              <w:ind w:right="223"/>
              <w:spacing w:after="0" w:line="117" w:lineRule="exact"/>
              <w:rPr>
                <w:sz w:val="20"/>
                <w:szCs w:val="20"/>
                <w:color w:val="auto"/>
              </w:rPr>
            </w:pPr>
            <w:r>
              <w:rPr>
                <w:rFonts w:ascii="Arial" w:cs="Arial" w:eastAsia="Arial" w:hAnsi="Arial"/>
                <w:sz w:val="11"/>
                <w:szCs w:val="11"/>
                <w:b w:val="1"/>
                <w:bCs w:val="1"/>
                <w:color w:val="auto"/>
              </w:rPr>
              <w:t>6.9%</w:t>
            </w:r>
          </w:p>
        </w:tc>
        <w:tc>
          <w:tcPr>
            <w:tcW w:w="20" w:type="dxa"/>
            <w:vAlign w:val="bottom"/>
          </w:tcPr>
          <w:p>
            <w:pPr>
              <w:spacing w:after="0"/>
              <w:rPr>
                <w:sz w:val="10"/>
                <w:szCs w:val="10"/>
                <w:color w:val="auto"/>
              </w:rPr>
            </w:pPr>
          </w:p>
        </w:tc>
      </w:tr>
      <w:tr>
        <w:trPr>
          <w:trHeight w:val="249"/>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 xml:space="preserve">Other assets </w:t>
            </w:r>
            <w:r>
              <w:rPr>
                <w:rFonts w:ascii="Arial" w:cs="Arial" w:eastAsia="Arial" w:hAnsi="Arial"/>
                <w:sz w:val="18"/>
                <w:szCs w:val="18"/>
                <w:color w:val="auto"/>
                <w:vertAlign w:val="superscript"/>
              </w:rPr>
              <w:t>(2)</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5,071,892</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7,119,911</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5,776,165</w:t>
            </w:r>
          </w:p>
        </w:tc>
        <w:tc>
          <w:tcPr>
            <w:tcW w:w="1140" w:type="dxa"/>
            <w:vAlign w:val="bottom"/>
          </w:tcPr>
          <w:p>
            <w:pPr>
              <w:jc w:val="center"/>
              <w:ind w:right="243"/>
              <w:spacing w:after="0"/>
              <w:rPr>
                <w:sz w:val="20"/>
                <w:szCs w:val="20"/>
                <w:color w:val="auto"/>
              </w:rPr>
            </w:pPr>
            <w:r>
              <w:rPr>
                <w:rFonts w:ascii="Arial" w:cs="Arial" w:eastAsia="Arial" w:hAnsi="Arial"/>
                <w:sz w:val="11"/>
                <w:szCs w:val="11"/>
                <w:b w:val="1"/>
                <w:bCs w:val="1"/>
                <w:color w:val="auto"/>
              </w:rPr>
              <w:t>-18.9%</w:t>
            </w:r>
          </w:p>
        </w:tc>
        <w:tc>
          <w:tcPr>
            <w:tcW w:w="620" w:type="dxa"/>
            <w:vAlign w:val="bottom"/>
          </w:tcPr>
          <w:p>
            <w:pPr>
              <w:jc w:val="center"/>
              <w:ind w:right="203"/>
              <w:spacing w:after="0"/>
              <w:rPr>
                <w:sz w:val="20"/>
                <w:szCs w:val="20"/>
                <w:color w:val="auto"/>
              </w:rPr>
            </w:pPr>
            <w:r>
              <w:rPr>
                <w:rFonts w:ascii="Arial" w:cs="Arial" w:eastAsia="Arial" w:hAnsi="Arial"/>
                <w:sz w:val="11"/>
                <w:szCs w:val="11"/>
                <w:b w:val="1"/>
                <w:bCs w:val="1"/>
                <w:color w:val="auto"/>
              </w:rPr>
              <w:t>13.9%</w:t>
            </w:r>
          </w:p>
        </w:tc>
        <w:tc>
          <w:tcPr>
            <w:tcW w:w="20" w:type="dxa"/>
            <w:vAlign w:val="bottom"/>
          </w:tcPr>
          <w:p>
            <w:pPr>
              <w:spacing w:after="0"/>
              <w:rPr>
                <w:sz w:val="21"/>
                <w:szCs w:val="21"/>
                <w:color w:val="auto"/>
              </w:rPr>
            </w:pPr>
          </w:p>
        </w:tc>
      </w:tr>
      <w:tr>
        <w:trPr>
          <w:trHeight w:val="155"/>
        </w:trPr>
        <w:tc>
          <w:tcPr>
            <w:tcW w:w="4240" w:type="dxa"/>
            <w:vAlign w:val="bottom"/>
          </w:tcPr>
          <w:p>
            <w:pPr>
              <w:jc w:val="center"/>
              <w:ind w:left="2121"/>
              <w:spacing w:after="0"/>
              <w:rPr>
                <w:sz w:val="20"/>
                <w:szCs w:val="20"/>
                <w:color w:val="auto"/>
              </w:rPr>
            </w:pPr>
            <w:r>
              <w:rPr>
                <w:rFonts w:ascii="Arial" w:cs="Arial" w:eastAsia="Arial" w:hAnsi="Arial"/>
                <w:sz w:val="11"/>
                <w:szCs w:val="11"/>
                <w:b w:val="1"/>
                <w:bCs w:val="1"/>
                <w:color w:val="auto"/>
              </w:rPr>
              <w:t>Total Assets</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180,609,283</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181,840,636</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180,914,161</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-0.5%</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0.2%</w:t>
            </w:r>
          </w:p>
        </w:tc>
        <w:tc>
          <w:tcPr>
            <w:tcW w:w="20" w:type="dxa"/>
            <w:vAlign w:val="bottom"/>
          </w:tcPr>
          <w:p>
            <w:pPr>
              <w:spacing w:after="0"/>
              <w:rPr>
                <w:sz w:val="13"/>
                <w:szCs w:val="13"/>
                <w:color w:val="auto"/>
              </w:rPr>
            </w:pPr>
          </w:p>
        </w:tc>
      </w:tr>
      <w:tr>
        <w:trPr>
          <w:trHeight w:val="211"/>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Liabilities and Equity</w:t>
            </w: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Deposits and obligations</w:t>
            </w:r>
          </w:p>
        </w:tc>
        <w:tc>
          <w:tcPr>
            <w:tcW w:w="3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Non-interest bearing</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39,395,493</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36,740,398</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39,385,047</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7.2%</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0.0%</w:t>
            </w: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Interest bearing</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81,232,946</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85,638,878</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83,047,645</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-3.0%</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2.2%</w:t>
            </w:r>
          </w:p>
        </w:tc>
        <w:tc>
          <w:tcPr>
            <w:tcW w:w="20" w:type="dxa"/>
            <w:vAlign w:val="bottom"/>
          </w:tcPr>
          <w:p>
            <w:pPr>
              <w:spacing w:after="0"/>
              <w:rPr>
                <w:sz w:val="10"/>
                <w:szCs w:val="10"/>
                <w:color w:val="auto"/>
              </w:rPr>
            </w:pPr>
          </w:p>
        </w:tc>
      </w:tr>
      <w:tr>
        <w:trPr>
          <w:trHeight w:val="155"/>
        </w:trPr>
        <w:tc>
          <w:tcPr>
            <w:tcW w:w="4240" w:type="dxa"/>
            <w:vAlign w:val="bottom"/>
          </w:tcPr>
          <w:p>
            <w:pPr>
              <w:ind w:left="180"/>
              <w:spacing w:after="0"/>
              <w:rPr>
                <w:sz w:val="20"/>
                <w:szCs w:val="20"/>
                <w:color w:val="auto"/>
              </w:rPr>
            </w:pPr>
            <w:r>
              <w:rPr>
                <w:rFonts w:ascii="Arial" w:cs="Arial" w:eastAsia="Arial" w:hAnsi="Arial"/>
                <w:sz w:val="11"/>
                <w:szCs w:val="11"/>
                <w:b w:val="1"/>
                <w:bCs w:val="1"/>
                <w:color w:val="auto"/>
              </w:rPr>
              <w:t>Total deposits and obligations</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120,628,439</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122,379,276</w:t>
            </w:r>
          </w:p>
        </w:tc>
        <w:tc>
          <w:tcPr>
            <w:tcW w:w="1040" w:type="dxa"/>
            <w:vAlign w:val="bottom"/>
          </w:tcPr>
          <w:p>
            <w:pPr>
              <w:jc w:val="center"/>
              <w:spacing w:after="0"/>
              <w:rPr>
                <w:sz w:val="20"/>
                <w:szCs w:val="20"/>
                <w:color w:val="auto"/>
              </w:rPr>
            </w:pPr>
            <w:r>
              <w:rPr>
                <w:rFonts w:ascii="Arial" w:cs="Arial" w:eastAsia="Arial" w:hAnsi="Arial"/>
                <w:sz w:val="11"/>
                <w:szCs w:val="11"/>
                <w:color w:val="auto"/>
              </w:rPr>
              <w:t>122,432,692</w:t>
            </w:r>
          </w:p>
        </w:tc>
        <w:tc>
          <w:tcPr>
            <w:tcW w:w="1140" w:type="dxa"/>
            <w:vAlign w:val="bottom"/>
          </w:tcPr>
          <w:p>
            <w:pPr>
              <w:jc w:val="center"/>
              <w:ind w:right="223"/>
              <w:spacing w:after="0"/>
              <w:rPr>
                <w:sz w:val="20"/>
                <w:szCs w:val="20"/>
                <w:color w:val="auto"/>
              </w:rPr>
            </w:pPr>
            <w:r>
              <w:rPr>
                <w:rFonts w:ascii="Arial" w:cs="Arial" w:eastAsia="Arial" w:hAnsi="Arial"/>
                <w:sz w:val="11"/>
                <w:szCs w:val="11"/>
                <w:color w:val="auto"/>
              </w:rPr>
              <w:t>0.0%</w:t>
            </w:r>
          </w:p>
        </w:tc>
        <w:tc>
          <w:tcPr>
            <w:tcW w:w="620" w:type="dxa"/>
            <w:vAlign w:val="bottom"/>
          </w:tcPr>
          <w:p>
            <w:pPr>
              <w:jc w:val="center"/>
              <w:ind w:right="223"/>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3"/>
                <w:szCs w:val="13"/>
                <w:color w:val="auto"/>
              </w:rPr>
            </w:pPr>
          </w:p>
        </w:tc>
      </w:tr>
      <w:tr>
        <w:trPr>
          <w:trHeight w:val="211"/>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Payables from repurchase agreements and securities lending</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10,879,734</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9,926,108</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7,583,520</w:t>
            </w:r>
          </w:p>
        </w:tc>
        <w:tc>
          <w:tcPr>
            <w:tcW w:w="1140" w:type="dxa"/>
            <w:vAlign w:val="bottom"/>
          </w:tcPr>
          <w:p>
            <w:pPr>
              <w:jc w:val="center"/>
              <w:ind w:right="243"/>
              <w:spacing w:after="0"/>
              <w:rPr>
                <w:sz w:val="20"/>
                <w:szCs w:val="20"/>
                <w:color w:val="auto"/>
              </w:rPr>
            </w:pPr>
            <w:r>
              <w:rPr>
                <w:rFonts w:ascii="Arial" w:cs="Arial" w:eastAsia="Arial" w:hAnsi="Arial"/>
                <w:sz w:val="11"/>
                <w:szCs w:val="11"/>
                <w:b w:val="1"/>
                <w:bCs w:val="1"/>
                <w:color w:val="auto"/>
              </w:rPr>
              <w:t>-23.6%</w:t>
            </w:r>
          </w:p>
        </w:tc>
        <w:tc>
          <w:tcPr>
            <w:tcW w:w="620" w:type="dxa"/>
            <w:vAlign w:val="bottom"/>
          </w:tcPr>
          <w:p>
            <w:pPr>
              <w:jc w:val="center"/>
              <w:ind w:right="203"/>
              <w:spacing w:after="0"/>
              <w:rPr>
                <w:sz w:val="20"/>
                <w:szCs w:val="20"/>
                <w:color w:val="auto"/>
              </w:rPr>
            </w:pPr>
            <w:r>
              <w:rPr>
                <w:rFonts w:ascii="Arial" w:cs="Arial" w:eastAsia="Arial" w:hAnsi="Arial"/>
                <w:sz w:val="11"/>
                <w:szCs w:val="11"/>
                <w:b w:val="1"/>
                <w:bCs w:val="1"/>
                <w:color w:val="auto"/>
              </w:rPr>
              <w:t>-30.3%</w:t>
            </w:r>
          </w:p>
        </w:tc>
        <w:tc>
          <w:tcPr>
            <w:tcW w:w="20" w:type="dxa"/>
            <w:vAlign w:val="bottom"/>
          </w:tcPr>
          <w:p>
            <w:pPr>
              <w:spacing w:after="0"/>
              <w:rPr>
                <w:sz w:val="18"/>
                <w:szCs w:val="18"/>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BCRP instruments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10,333,799</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9,386,448</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7,039,350</w:t>
            </w:r>
          </w:p>
        </w:tc>
        <w:tc>
          <w:tcPr>
            <w:tcW w:w="1140" w:type="dxa"/>
            <w:vAlign w:val="bottom"/>
          </w:tcPr>
          <w:p>
            <w:pPr>
              <w:jc w:val="center"/>
              <w:ind w:right="243"/>
              <w:spacing w:after="0" w:line="122" w:lineRule="exact"/>
              <w:rPr>
                <w:sz w:val="20"/>
                <w:szCs w:val="20"/>
                <w:color w:val="auto"/>
              </w:rPr>
            </w:pPr>
            <w:r>
              <w:rPr>
                <w:rFonts w:ascii="Arial" w:cs="Arial" w:eastAsia="Arial" w:hAnsi="Arial"/>
                <w:sz w:val="11"/>
                <w:szCs w:val="11"/>
                <w:color w:val="auto"/>
              </w:rPr>
              <w:t>-25.0%</w:t>
            </w:r>
          </w:p>
        </w:tc>
        <w:tc>
          <w:tcPr>
            <w:tcW w:w="620" w:type="dxa"/>
            <w:vAlign w:val="bottom"/>
          </w:tcPr>
          <w:p>
            <w:pPr>
              <w:jc w:val="center"/>
              <w:ind w:right="203"/>
              <w:spacing w:after="0" w:line="122" w:lineRule="exact"/>
              <w:rPr>
                <w:sz w:val="20"/>
                <w:szCs w:val="20"/>
                <w:color w:val="auto"/>
              </w:rPr>
            </w:pPr>
            <w:r>
              <w:rPr>
                <w:rFonts w:ascii="Arial" w:cs="Arial" w:eastAsia="Arial" w:hAnsi="Arial"/>
                <w:sz w:val="11"/>
                <w:szCs w:val="11"/>
                <w:color w:val="auto"/>
              </w:rPr>
              <w:t>-31.9%</w:t>
            </w: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Repurchase agreements with third parties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545,935</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539,660</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544,170</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0.8%</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-0.3%</w:t>
            </w:r>
          </w:p>
        </w:tc>
        <w:tc>
          <w:tcPr>
            <w:tcW w:w="20" w:type="dxa"/>
            <w:vAlign w:val="bottom"/>
          </w:tcPr>
          <w:p>
            <w:pPr>
              <w:spacing w:after="0"/>
              <w:rPr>
                <w:sz w:val="10"/>
                <w:szCs w:val="10"/>
                <w:color w:val="auto"/>
              </w:rPr>
            </w:pP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Due to banks and correspondents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b w:val="1"/>
                <w:bCs w:val="1"/>
                <w:color w:val="auto"/>
              </w:rPr>
              <w:t>7,251,352</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9,030,671</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10,497,414</w:t>
            </w:r>
          </w:p>
        </w:tc>
        <w:tc>
          <w:tcPr>
            <w:tcW w:w="1140" w:type="dxa"/>
            <w:vAlign w:val="bottom"/>
          </w:tcPr>
          <w:p>
            <w:pPr>
              <w:jc w:val="center"/>
              <w:ind w:right="243"/>
              <w:spacing w:after="0" w:line="122" w:lineRule="exact"/>
              <w:rPr>
                <w:sz w:val="20"/>
                <w:szCs w:val="20"/>
                <w:color w:val="auto"/>
              </w:rPr>
            </w:pPr>
            <w:r>
              <w:rPr>
                <w:rFonts w:ascii="Arial" w:cs="Arial" w:eastAsia="Arial" w:hAnsi="Arial"/>
                <w:sz w:val="11"/>
                <w:szCs w:val="11"/>
                <w:b w:val="1"/>
                <w:bCs w:val="1"/>
                <w:color w:val="auto"/>
              </w:rPr>
              <w:t>16.2%</w:t>
            </w:r>
          </w:p>
        </w:tc>
        <w:tc>
          <w:tcPr>
            <w:tcW w:w="620" w:type="dxa"/>
            <w:vAlign w:val="bottom"/>
          </w:tcPr>
          <w:p>
            <w:pPr>
              <w:jc w:val="center"/>
              <w:ind w:right="203"/>
              <w:spacing w:after="0" w:line="122" w:lineRule="exact"/>
              <w:rPr>
                <w:sz w:val="20"/>
                <w:szCs w:val="20"/>
                <w:color w:val="auto"/>
              </w:rPr>
            </w:pPr>
            <w:r>
              <w:rPr>
                <w:rFonts w:ascii="Arial" w:cs="Arial" w:eastAsia="Arial" w:hAnsi="Arial"/>
                <w:sz w:val="11"/>
                <w:szCs w:val="11"/>
                <w:b w:val="1"/>
                <w:bCs w:val="1"/>
                <w:color w:val="auto"/>
              </w:rPr>
              <w:t>44.8%</w:t>
            </w:r>
          </w:p>
        </w:tc>
        <w:tc>
          <w:tcPr>
            <w:tcW w:w="20" w:type="dxa"/>
            <w:vAlign w:val="bottom"/>
          </w:tcPr>
          <w:p>
            <w:pPr>
              <w:spacing w:after="0"/>
              <w:rPr>
                <w:sz w:val="10"/>
                <w:szCs w:val="10"/>
                <w:color w:val="auto"/>
              </w:rPr>
            </w:pP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Bonds and notes issued</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b w:val="1"/>
                <w:bCs w:val="1"/>
                <w:color w:val="auto"/>
              </w:rPr>
              <w:t>13,287,386</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10,549,221</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10,350,260</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b w:val="1"/>
                <w:bCs w:val="1"/>
                <w:color w:val="auto"/>
              </w:rPr>
              <w:t>-1.9%</w:t>
            </w:r>
          </w:p>
        </w:tc>
        <w:tc>
          <w:tcPr>
            <w:tcW w:w="620" w:type="dxa"/>
            <w:vAlign w:val="bottom"/>
          </w:tcPr>
          <w:p>
            <w:pPr>
              <w:jc w:val="center"/>
              <w:ind w:right="203"/>
              <w:spacing w:after="0" w:line="122" w:lineRule="exact"/>
              <w:rPr>
                <w:sz w:val="20"/>
                <w:szCs w:val="20"/>
                <w:color w:val="auto"/>
              </w:rPr>
            </w:pPr>
            <w:r>
              <w:rPr>
                <w:rFonts w:ascii="Arial" w:cs="Arial" w:eastAsia="Arial" w:hAnsi="Arial"/>
                <w:sz w:val="11"/>
                <w:szCs w:val="11"/>
                <w:b w:val="1"/>
                <w:bCs w:val="1"/>
                <w:color w:val="auto"/>
              </w:rPr>
              <w:t>-22.1%</w:t>
            </w:r>
          </w:p>
        </w:tc>
        <w:tc>
          <w:tcPr>
            <w:tcW w:w="20" w:type="dxa"/>
            <w:vAlign w:val="bottom"/>
          </w:tcPr>
          <w:p>
            <w:pPr>
              <w:spacing w:after="0"/>
              <w:rPr>
                <w:sz w:val="10"/>
                <w:szCs w:val="10"/>
                <w:color w:val="auto"/>
              </w:rPr>
            </w:pP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Banker’s acceptances outstanding</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b w:val="1"/>
                <w:bCs w:val="1"/>
                <w:color w:val="auto"/>
              </w:rPr>
              <w:t>699,678</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325,771</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412,401</w:t>
            </w:r>
          </w:p>
        </w:tc>
        <w:tc>
          <w:tcPr>
            <w:tcW w:w="1140" w:type="dxa"/>
            <w:vAlign w:val="bottom"/>
          </w:tcPr>
          <w:p>
            <w:pPr>
              <w:jc w:val="center"/>
              <w:ind w:right="243"/>
              <w:spacing w:after="0" w:line="122" w:lineRule="exact"/>
              <w:rPr>
                <w:sz w:val="20"/>
                <w:szCs w:val="20"/>
                <w:color w:val="auto"/>
              </w:rPr>
            </w:pPr>
            <w:r>
              <w:rPr>
                <w:rFonts w:ascii="Arial" w:cs="Arial" w:eastAsia="Arial" w:hAnsi="Arial"/>
                <w:sz w:val="11"/>
                <w:szCs w:val="11"/>
                <w:b w:val="1"/>
                <w:bCs w:val="1"/>
                <w:color w:val="auto"/>
              </w:rPr>
              <w:t>26.6%</w:t>
            </w:r>
          </w:p>
        </w:tc>
        <w:tc>
          <w:tcPr>
            <w:tcW w:w="620" w:type="dxa"/>
            <w:vAlign w:val="bottom"/>
          </w:tcPr>
          <w:p>
            <w:pPr>
              <w:jc w:val="center"/>
              <w:ind w:right="203"/>
              <w:spacing w:after="0" w:line="122" w:lineRule="exact"/>
              <w:rPr>
                <w:sz w:val="20"/>
                <w:szCs w:val="20"/>
                <w:color w:val="auto"/>
              </w:rPr>
            </w:pPr>
            <w:r>
              <w:rPr>
                <w:rFonts w:ascii="Arial" w:cs="Arial" w:eastAsia="Arial" w:hAnsi="Arial"/>
                <w:sz w:val="11"/>
                <w:szCs w:val="11"/>
                <w:b w:val="1"/>
                <w:bCs w:val="1"/>
                <w:color w:val="auto"/>
              </w:rPr>
              <w:t>-41.1%</w:t>
            </w:r>
          </w:p>
        </w:tc>
        <w:tc>
          <w:tcPr>
            <w:tcW w:w="20" w:type="dxa"/>
            <w:vAlign w:val="bottom"/>
          </w:tcPr>
          <w:p>
            <w:pPr>
              <w:spacing w:after="0"/>
              <w:rPr>
                <w:sz w:val="10"/>
                <w:szCs w:val="10"/>
                <w:color w:val="auto"/>
              </w:rPr>
            </w:pPr>
          </w:p>
        </w:tc>
      </w:tr>
      <w:tr>
        <w:trPr>
          <w:trHeight w:val="117"/>
        </w:trPr>
        <w:tc>
          <w:tcPr>
            <w:tcW w:w="42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Financial liabilities at fair value through profit or loss</w:t>
            </w:r>
          </w:p>
        </w:tc>
        <w:tc>
          <w:tcPr>
            <w:tcW w:w="3140" w:type="dxa"/>
            <w:vAlign w:val="bottom"/>
          </w:tcPr>
          <w:p>
            <w:pPr>
              <w:jc w:val="center"/>
              <w:ind w:left="2162"/>
              <w:spacing w:after="0" w:line="117" w:lineRule="exact"/>
              <w:rPr>
                <w:sz w:val="20"/>
                <w:szCs w:val="20"/>
                <w:color w:val="auto"/>
              </w:rPr>
            </w:pPr>
            <w:r>
              <w:rPr>
                <w:rFonts w:ascii="Arial" w:cs="Arial" w:eastAsia="Arial" w:hAnsi="Arial"/>
                <w:sz w:val="11"/>
                <w:szCs w:val="11"/>
                <w:b w:val="1"/>
                <w:bCs w:val="1"/>
                <w:color w:val="auto"/>
              </w:rPr>
              <w:t>7,669</w:t>
            </w:r>
          </w:p>
        </w:tc>
        <w:tc>
          <w:tcPr>
            <w:tcW w:w="10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42,768</w:t>
            </w:r>
          </w:p>
        </w:tc>
        <w:tc>
          <w:tcPr>
            <w:tcW w:w="10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91,966</w:t>
            </w:r>
          </w:p>
        </w:tc>
        <w:tc>
          <w:tcPr>
            <w:tcW w:w="1140" w:type="dxa"/>
            <w:vAlign w:val="bottom"/>
          </w:tcPr>
          <w:p>
            <w:pPr>
              <w:jc w:val="center"/>
              <w:ind w:right="223"/>
              <w:spacing w:after="0" w:line="117" w:lineRule="exact"/>
              <w:rPr>
                <w:sz w:val="20"/>
                <w:szCs w:val="20"/>
                <w:color w:val="auto"/>
              </w:rPr>
            </w:pPr>
            <w:r>
              <w:rPr>
                <w:rFonts w:ascii="Arial" w:cs="Arial" w:eastAsia="Arial" w:hAnsi="Arial"/>
                <w:sz w:val="11"/>
                <w:szCs w:val="11"/>
                <w:b w:val="1"/>
                <w:bCs w:val="1"/>
                <w:color w:val="auto"/>
              </w:rPr>
              <w:t>115.0%</w:t>
            </w:r>
          </w:p>
        </w:tc>
        <w:tc>
          <w:tcPr>
            <w:tcW w:w="64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n.a</w:t>
            </w:r>
          </w:p>
        </w:tc>
      </w:tr>
      <w:tr>
        <w:trPr>
          <w:trHeight w:val="127"/>
        </w:trPr>
        <w:tc>
          <w:tcPr>
            <w:tcW w:w="4240" w:type="dxa"/>
            <w:vAlign w:val="bottom"/>
          </w:tcPr>
          <w:p>
            <w:pPr>
              <w:ind w:left="100"/>
              <w:spacing w:after="0" w:line="127" w:lineRule="exact"/>
              <w:rPr>
                <w:sz w:val="20"/>
                <w:szCs w:val="20"/>
                <w:color w:val="auto"/>
              </w:rPr>
            </w:pPr>
            <w:r>
              <w:rPr>
                <w:rFonts w:ascii="Arial" w:cs="Arial" w:eastAsia="Arial" w:hAnsi="Arial"/>
                <w:sz w:val="9"/>
                <w:szCs w:val="9"/>
                <w:b w:val="1"/>
                <w:bCs w:val="1"/>
                <w:color w:val="auto"/>
              </w:rPr>
              <w:t xml:space="preserve">Other liabilities </w:t>
            </w:r>
            <w:r>
              <w:rPr>
                <w:rFonts w:ascii="Arial" w:cs="Arial" w:eastAsia="Arial" w:hAnsi="Arial"/>
                <w:sz w:val="14"/>
                <w:szCs w:val="14"/>
                <w:color w:val="auto"/>
                <w:vertAlign w:val="superscript"/>
              </w:rPr>
              <w:t>(3)</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4,731,200</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5,356,302</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4,544,335</w:t>
            </w:r>
          </w:p>
        </w:tc>
        <w:tc>
          <w:tcPr>
            <w:tcW w:w="1140" w:type="dxa"/>
            <w:vAlign w:val="bottom"/>
          </w:tcPr>
          <w:p>
            <w:pPr>
              <w:jc w:val="center"/>
              <w:ind w:right="243"/>
              <w:spacing w:after="0"/>
              <w:rPr>
                <w:sz w:val="20"/>
                <w:szCs w:val="20"/>
                <w:color w:val="auto"/>
              </w:rPr>
            </w:pPr>
            <w:r>
              <w:rPr>
                <w:rFonts w:ascii="Arial" w:cs="Arial" w:eastAsia="Arial" w:hAnsi="Arial"/>
                <w:sz w:val="11"/>
                <w:szCs w:val="11"/>
                <w:b w:val="1"/>
                <w:bCs w:val="1"/>
                <w:color w:val="auto"/>
              </w:rPr>
              <w:t>-15.2%</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-3.9%</w:t>
            </w:r>
          </w:p>
        </w:tc>
        <w:tc>
          <w:tcPr>
            <w:tcW w:w="20" w:type="dxa"/>
            <w:vAlign w:val="bottom"/>
          </w:tcPr>
          <w:p>
            <w:pPr>
              <w:spacing w:after="0"/>
              <w:rPr>
                <w:sz w:val="11"/>
                <w:szCs w:val="11"/>
                <w:color w:val="auto"/>
              </w:rPr>
            </w:pPr>
          </w:p>
        </w:tc>
      </w:tr>
      <w:tr>
        <w:trPr>
          <w:trHeight w:val="155"/>
        </w:trPr>
        <w:tc>
          <w:tcPr>
            <w:tcW w:w="4240" w:type="dxa"/>
            <w:vAlign w:val="bottom"/>
          </w:tcPr>
          <w:p>
            <w:pPr>
              <w:jc w:val="center"/>
              <w:ind w:left="2121"/>
              <w:spacing w:after="0"/>
              <w:rPr>
                <w:sz w:val="20"/>
                <w:szCs w:val="20"/>
                <w:color w:val="auto"/>
              </w:rPr>
            </w:pPr>
            <w:r>
              <w:rPr>
                <w:rFonts w:ascii="Arial" w:cs="Arial" w:eastAsia="Arial" w:hAnsi="Arial"/>
                <w:sz w:val="11"/>
                <w:szCs w:val="11"/>
                <w:b w:val="1"/>
                <w:bCs w:val="1"/>
                <w:color w:val="auto"/>
              </w:rPr>
              <w:t>Total Liabilities</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157,485,458</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157,610,117</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155,912,588</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-1.1%</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-1.0%</w:t>
            </w:r>
          </w:p>
        </w:tc>
        <w:tc>
          <w:tcPr>
            <w:tcW w:w="20" w:type="dxa"/>
            <w:vAlign w:val="bottom"/>
          </w:tcPr>
          <w:p>
            <w:pPr>
              <w:spacing w:after="0"/>
              <w:rPr>
                <w:sz w:val="13"/>
                <w:szCs w:val="13"/>
                <w:color w:val="auto"/>
              </w:rPr>
            </w:pPr>
          </w:p>
        </w:tc>
      </w:tr>
      <w:tr>
        <w:trPr>
          <w:trHeight w:val="211"/>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Net equity</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23,123,825</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24,230,519</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25,001,573</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3.2%</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8.1%</w:t>
            </w:r>
          </w:p>
        </w:tc>
        <w:tc>
          <w:tcPr>
            <w:tcW w:w="20" w:type="dxa"/>
            <w:vAlign w:val="bottom"/>
          </w:tcPr>
          <w:p>
            <w:pPr>
              <w:spacing w:after="0"/>
              <w:rPr>
                <w:sz w:val="18"/>
                <w:szCs w:val="18"/>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Capital stock</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11,882,984</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12,679,794</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12,679,794</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0.0%</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6.7%</w:t>
            </w: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Reserves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6,540,665</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6,820,930</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6,372,059</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-6.6%</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-2.6%</w:t>
            </w:r>
          </w:p>
        </w:tc>
        <w:tc>
          <w:tcPr>
            <w:tcW w:w="20" w:type="dxa"/>
            <w:vAlign w:val="bottom"/>
          </w:tcPr>
          <w:p>
            <w:pPr>
              <w:spacing w:after="0"/>
              <w:rPr>
                <w:sz w:val="10"/>
                <w:szCs w:val="10"/>
                <w:color w:val="auto"/>
              </w:rPr>
            </w:pPr>
          </w:p>
        </w:tc>
      </w:tr>
      <w:tr>
        <w:trPr>
          <w:trHeight w:val="122"/>
        </w:trPr>
        <w:tc>
          <w:tcPr>
            <w:tcW w:w="4240" w:type="dxa"/>
            <w:vAlign w:val="bottom"/>
          </w:tcPr>
          <w:p>
            <w:pPr>
              <w:ind w:left="180"/>
              <w:spacing w:after="0" w:line="122" w:lineRule="exact"/>
              <w:rPr>
                <w:sz w:val="20"/>
                <w:szCs w:val="20"/>
                <w:color w:val="auto"/>
              </w:rPr>
            </w:pPr>
            <w:r>
              <w:rPr>
                <w:rFonts w:ascii="Arial" w:cs="Arial" w:eastAsia="Arial" w:hAnsi="Arial"/>
                <w:sz w:val="11"/>
                <w:szCs w:val="11"/>
                <w:color w:val="auto"/>
              </w:rPr>
              <w:t>Unrealized gains and losses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(549,319)</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(375,086)</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(109,202)</w:t>
            </w:r>
          </w:p>
        </w:tc>
        <w:tc>
          <w:tcPr>
            <w:tcW w:w="1140" w:type="dxa"/>
            <w:vAlign w:val="bottom"/>
          </w:tcPr>
          <w:p>
            <w:pPr>
              <w:jc w:val="center"/>
              <w:ind w:right="243"/>
              <w:spacing w:after="0" w:line="122" w:lineRule="exact"/>
              <w:rPr>
                <w:sz w:val="20"/>
                <w:szCs w:val="20"/>
                <w:color w:val="auto"/>
              </w:rPr>
            </w:pPr>
            <w:r>
              <w:rPr>
                <w:rFonts w:ascii="Arial" w:cs="Arial" w:eastAsia="Arial" w:hAnsi="Arial"/>
                <w:sz w:val="11"/>
                <w:szCs w:val="11"/>
                <w:color w:val="auto"/>
              </w:rPr>
              <w:t>-70.9%</w:t>
            </w:r>
          </w:p>
        </w:tc>
        <w:tc>
          <w:tcPr>
            <w:tcW w:w="620" w:type="dxa"/>
            <w:vAlign w:val="bottom"/>
          </w:tcPr>
          <w:p>
            <w:pPr>
              <w:jc w:val="center"/>
              <w:ind w:right="203"/>
              <w:spacing w:after="0" w:line="122" w:lineRule="exact"/>
              <w:rPr>
                <w:sz w:val="20"/>
                <w:szCs w:val="20"/>
                <w:color w:val="auto"/>
              </w:rPr>
            </w:pPr>
            <w:r>
              <w:rPr>
                <w:rFonts w:ascii="Arial" w:cs="Arial" w:eastAsia="Arial" w:hAnsi="Arial"/>
                <w:sz w:val="11"/>
                <w:szCs w:val="11"/>
                <w:color w:val="auto"/>
              </w:rPr>
              <w:t>-80.1%</w:t>
            </w:r>
          </w:p>
        </w:tc>
        <w:tc>
          <w:tcPr>
            <w:tcW w:w="20" w:type="dxa"/>
            <w:vAlign w:val="bottom"/>
          </w:tcPr>
          <w:p>
            <w:pPr>
              <w:spacing w:after="0"/>
              <w:rPr>
                <w:sz w:val="10"/>
                <w:szCs w:val="10"/>
                <w:color w:val="auto"/>
              </w:rPr>
            </w:pPr>
          </w:p>
        </w:tc>
      </w:tr>
      <w:tr>
        <w:trPr>
          <w:trHeight w:val="149"/>
        </w:trPr>
        <w:tc>
          <w:tcPr>
            <w:tcW w:w="4240" w:type="dxa"/>
            <w:vAlign w:val="bottom"/>
          </w:tcPr>
          <w:p>
            <w:pPr>
              <w:ind w:left="180"/>
              <w:spacing w:after="0"/>
              <w:rPr>
                <w:sz w:val="20"/>
                <w:szCs w:val="20"/>
                <w:color w:val="auto"/>
              </w:rPr>
            </w:pPr>
            <w:r>
              <w:rPr>
                <w:rFonts w:ascii="Arial" w:cs="Arial" w:eastAsia="Arial" w:hAnsi="Arial"/>
                <w:sz w:val="11"/>
                <w:szCs w:val="11"/>
                <w:color w:val="auto"/>
              </w:rPr>
              <w:t>Retained earnings</w:t>
            </w:r>
          </w:p>
        </w:tc>
        <w:tc>
          <w:tcPr>
            <w:tcW w:w="3140" w:type="dxa"/>
            <w:vAlign w:val="bottom"/>
          </w:tcPr>
          <w:p>
            <w:pPr>
              <w:jc w:val="center"/>
              <w:ind w:left="2162"/>
              <w:spacing w:after="0"/>
              <w:rPr>
                <w:sz w:val="20"/>
                <w:szCs w:val="20"/>
                <w:color w:val="auto"/>
              </w:rPr>
            </w:pPr>
            <w:r>
              <w:rPr>
                <w:rFonts w:ascii="Arial" w:cs="Arial" w:eastAsia="Arial" w:hAnsi="Arial"/>
                <w:sz w:val="11"/>
                <w:szCs w:val="11"/>
                <w:color w:val="auto"/>
              </w:rPr>
              <w:t>5,249,495</w:t>
            </w:r>
          </w:p>
        </w:tc>
        <w:tc>
          <w:tcPr>
            <w:tcW w:w="1060" w:type="dxa"/>
            <w:vAlign w:val="bottom"/>
          </w:tcPr>
          <w:p>
            <w:pPr>
              <w:jc w:val="center"/>
              <w:spacing w:after="0"/>
              <w:rPr>
                <w:sz w:val="20"/>
                <w:szCs w:val="20"/>
                <w:color w:val="auto"/>
              </w:rPr>
            </w:pPr>
            <w:r>
              <w:rPr>
                <w:rFonts w:ascii="Arial" w:cs="Arial" w:eastAsia="Arial" w:hAnsi="Arial"/>
                <w:sz w:val="11"/>
                <w:szCs w:val="11"/>
                <w:color w:val="auto"/>
              </w:rPr>
              <w:t>5,104,881</w:t>
            </w:r>
          </w:p>
        </w:tc>
        <w:tc>
          <w:tcPr>
            <w:tcW w:w="1040" w:type="dxa"/>
            <w:vAlign w:val="bottom"/>
          </w:tcPr>
          <w:p>
            <w:pPr>
              <w:jc w:val="center"/>
              <w:spacing w:after="0"/>
              <w:rPr>
                <w:sz w:val="20"/>
                <w:szCs w:val="20"/>
                <w:color w:val="auto"/>
              </w:rPr>
            </w:pPr>
            <w:r>
              <w:rPr>
                <w:rFonts w:ascii="Arial" w:cs="Arial" w:eastAsia="Arial" w:hAnsi="Arial"/>
                <w:sz w:val="11"/>
                <w:szCs w:val="11"/>
                <w:color w:val="auto"/>
              </w:rPr>
              <w:t>6,058,922</w:t>
            </w:r>
          </w:p>
        </w:tc>
        <w:tc>
          <w:tcPr>
            <w:tcW w:w="1140" w:type="dxa"/>
            <w:vAlign w:val="bottom"/>
          </w:tcPr>
          <w:p>
            <w:pPr>
              <w:jc w:val="center"/>
              <w:ind w:right="243"/>
              <w:spacing w:after="0"/>
              <w:rPr>
                <w:sz w:val="20"/>
                <w:szCs w:val="20"/>
                <w:color w:val="auto"/>
              </w:rPr>
            </w:pPr>
            <w:r>
              <w:rPr>
                <w:rFonts w:ascii="Arial" w:cs="Arial" w:eastAsia="Arial" w:hAnsi="Arial"/>
                <w:sz w:val="11"/>
                <w:szCs w:val="11"/>
                <w:color w:val="auto"/>
              </w:rPr>
              <w:t>18.7%</w:t>
            </w:r>
          </w:p>
        </w:tc>
        <w:tc>
          <w:tcPr>
            <w:tcW w:w="620" w:type="dxa"/>
            <w:vAlign w:val="bottom"/>
          </w:tcPr>
          <w:p>
            <w:pPr>
              <w:jc w:val="center"/>
              <w:ind w:right="203"/>
              <w:spacing w:after="0"/>
              <w:rPr>
                <w:sz w:val="20"/>
                <w:szCs w:val="20"/>
                <w:color w:val="auto"/>
              </w:rPr>
            </w:pPr>
            <w:r>
              <w:rPr>
                <w:rFonts w:ascii="Arial" w:cs="Arial" w:eastAsia="Arial" w:hAnsi="Arial"/>
                <w:sz w:val="11"/>
                <w:szCs w:val="11"/>
                <w:color w:val="auto"/>
              </w:rPr>
              <w:t>15.4%</w:t>
            </w:r>
          </w:p>
        </w:tc>
        <w:tc>
          <w:tcPr>
            <w:tcW w:w="20" w:type="dxa"/>
            <w:vAlign w:val="bottom"/>
          </w:tcPr>
          <w:p>
            <w:pPr>
              <w:spacing w:after="0"/>
              <w:rPr>
                <w:sz w:val="12"/>
                <w:szCs w:val="12"/>
                <w:color w:val="auto"/>
              </w:rPr>
            </w:pPr>
          </w:p>
        </w:tc>
      </w:tr>
      <w:tr>
        <w:trPr>
          <w:trHeight w:val="250"/>
        </w:trPr>
        <w:tc>
          <w:tcPr>
            <w:tcW w:w="4240" w:type="dxa"/>
            <w:vAlign w:val="bottom"/>
          </w:tcPr>
          <w:p>
            <w:pPr>
              <w:jc w:val="center"/>
              <w:ind w:left="2121"/>
              <w:spacing w:after="0"/>
              <w:rPr>
                <w:sz w:val="20"/>
                <w:szCs w:val="20"/>
                <w:color w:val="auto"/>
              </w:rPr>
            </w:pPr>
            <w:r>
              <w:rPr>
                <w:rFonts w:ascii="Arial" w:cs="Arial" w:eastAsia="Arial" w:hAnsi="Arial"/>
                <w:sz w:val="11"/>
                <w:szCs w:val="11"/>
                <w:b w:val="1"/>
                <w:bCs w:val="1"/>
                <w:color w:val="auto"/>
              </w:rPr>
              <w:t>Total Net Equity</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23,123,825</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24,230,519</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25,001,573</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3.2%</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8.1%</w:t>
            </w:r>
          </w:p>
        </w:tc>
        <w:tc>
          <w:tcPr>
            <w:tcW w:w="20" w:type="dxa"/>
            <w:vAlign w:val="bottom"/>
          </w:tcPr>
          <w:p>
            <w:pPr>
              <w:spacing w:after="0"/>
              <w:rPr>
                <w:sz w:val="21"/>
                <w:szCs w:val="21"/>
                <w:color w:val="auto"/>
              </w:rPr>
            </w:pPr>
          </w:p>
        </w:tc>
      </w:tr>
      <w:tr>
        <w:trPr>
          <w:trHeight w:val="244"/>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Total liabilities and equity</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180,609,283</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181,840,636</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180,914,161</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-0.5%</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0.2%</w:t>
            </w:r>
          </w:p>
        </w:tc>
        <w:tc>
          <w:tcPr>
            <w:tcW w:w="20" w:type="dxa"/>
            <w:vAlign w:val="bottom"/>
          </w:tcPr>
          <w:p>
            <w:pPr>
              <w:spacing w:after="0"/>
              <w:rPr>
                <w:sz w:val="21"/>
                <w:szCs w:val="21"/>
                <w:color w:val="auto"/>
              </w:rPr>
            </w:pPr>
          </w:p>
        </w:tc>
      </w:tr>
      <w:tr>
        <w:trPr>
          <w:trHeight w:val="211"/>
        </w:trPr>
        <w:tc>
          <w:tcPr>
            <w:tcW w:w="4240" w:type="dxa"/>
            <w:vAlign w:val="bottom"/>
          </w:tcPr>
          <w:p>
            <w:pPr>
              <w:ind w:left="100"/>
              <w:spacing w:after="0"/>
              <w:rPr>
                <w:sz w:val="20"/>
                <w:szCs w:val="20"/>
                <w:color w:val="auto"/>
              </w:rPr>
            </w:pPr>
            <w:r>
              <w:rPr>
                <w:rFonts w:ascii="Arial" w:cs="Arial" w:eastAsia="Arial" w:hAnsi="Arial"/>
                <w:sz w:val="11"/>
                <w:szCs w:val="11"/>
                <w:b w:val="1"/>
                <w:bCs w:val="1"/>
                <w:color w:val="auto"/>
              </w:rPr>
              <w:t>Off-balance sheet</w:t>
            </w:r>
          </w:p>
        </w:tc>
        <w:tc>
          <w:tcPr>
            <w:tcW w:w="3140" w:type="dxa"/>
            <w:vAlign w:val="bottom"/>
          </w:tcPr>
          <w:p>
            <w:pPr>
              <w:jc w:val="center"/>
              <w:ind w:left="2162"/>
              <w:spacing w:after="0"/>
              <w:rPr>
                <w:sz w:val="20"/>
                <w:szCs w:val="20"/>
                <w:color w:val="auto"/>
              </w:rPr>
            </w:pPr>
            <w:r>
              <w:rPr>
                <w:rFonts w:ascii="Arial" w:cs="Arial" w:eastAsia="Arial" w:hAnsi="Arial"/>
                <w:sz w:val="11"/>
                <w:szCs w:val="11"/>
                <w:b w:val="1"/>
                <w:bCs w:val="1"/>
                <w:color w:val="auto"/>
              </w:rPr>
              <w:t>134,450,003</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138,269,632</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134,844,989</w:t>
            </w:r>
          </w:p>
        </w:tc>
        <w:tc>
          <w:tcPr>
            <w:tcW w:w="1140" w:type="dxa"/>
            <w:vAlign w:val="bottom"/>
          </w:tcPr>
          <w:p>
            <w:pPr>
              <w:jc w:val="center"/>
              <w:ind w:right="223"/>
              <w:spacing w:after="0"/>
              <w:rPr>
                <w:sz w:val="20"/>
                <w:szCs w:val="20"/>
                <w:color w:val="auto"/>
              </w:rPr>
            </w:pPr>
            <w:r>
              <w:rPr>
                <w:rFonts w:ascii="Arial" w:cs="Arial" w:eastAsia="Arial" w:hAnsi="Arial"/>
                <w:sz w:val="11"/>
                <w:szCs w:val="11"/>
                <w:b w:val="1"/>
                <w:bCs w:val="1"/>
                <w:color w:val="auto"/>
              </w:rPr>
              <w:t>-2.5%</w:t>
            </w:r>
          </w:p>
        </w:tc>
        <w:tc>
          <w:tcPr>
            <w:tcW w:w="620" w:type="dxa"/>
            <w:vAlign w:val="bottom"/>
          </w:tcPr>
          <w:p>
            <w:pPr>
              <w:jc w:val="center"/>
              <w:ind w:right="223"/>
              <w:spacing w:after="0"/>
              <w:rPr>
                <w:sz w:val="20"/>
                <w:szCs w:val="20"/>
                <w:color w:val="auto"/>
              </w:rPr>
            </w:pPr>
            <w:r>
              <w:rPr>
                <w:rFonts w:ascii="Arial" w:cs="Arial" w:eastAsia="Arial" w:hAnsi="Arial"/>
                <w:sz w:val="11"/>
                <w:szCs w:val="11"/>
                <w:b w:val="1"/>
                <w:bCs w:val="1"/>
                <w:color w:val="auto"/>
              </w:rPr>
              <w:t>0.3%</w:t>
            </w:r>
          </w:p>
        </w:tc>
        <w:tc>
          <w:tcPr>
            <w:tcW w:w="20" w:type="dxa"/>
            <w:vAlign w:val="bottom"/>
          </w:tcPr>
          <w:p>
            <w:pPr>
              <w:spacing w:after="0"/>
              <w:rPr>
                <w:sz w:val="18"/>
                <w:szCs w:val="18"/>
                <w:color w:val="auto"/>
              </w:rPr>
            </w:pP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color w:val="auto"/>
              </w:rPr>
              <w:t>Total performance bonds, stand-by and L/Cs.</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19,738,086</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18,226,992</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19,328,506</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6.0%</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-2.1%</w:t>
            </w:r>
          </w:p>
        </w:tc>
        <w:tc>
          <w:tcPr>
            <w:tcW w:w="20" w:type="dxa"/>
            <w:vAlign w:val="bottom"/>
          </w:tcPr>
          <w:p>
            <w:pPr>
              <w:spacing w:after="0"/>
              <w:rPr>
                <w:sz w:val="10"/>
                <w:szCs w:val="10"/>
                <w:color w:val="auto"/>
              </w:rPr>
            </w:pPr>
          </w:p>
        </w:tc>
      </w:tr>
      <w:tr>
        <w:trPr>
          <w:trHeight w:val="122"/>
        </w:trPr>
        <w:tc>
          <w:tcPr>
            <w:tcW w:w="4240" w:type="dxa"/>
            <w:vAlign w:val="bottom"/>
          </w:tcPr>
          <w:p>
            <w:pPr>
              <w:ind w:left="100"/>
              <w:spacing w:after="0" w:line="122" w:lineRule="exact"/>
              <w:rPr>
                <w:sz w:val="20"/>
                <w:szCs w:val="20"/>
                <w:color w:val="auto"/>
              </w:rPr>
            </w:pPr>
            <w:r>
              <w:rPr>
                <w:rFonts w:ascii="Arial" w:cs="Arial" w:eastAsia="Arial" w:hAnsi="Arial"/>
                <w:sz w:val="11"/>
                <w:szCs w:val="11"/>
                <w:color w:val="auto"/>
              </w:rPr>
              <w:t>Undrawn credit lines, advised but not committed</w:t>
            </w:r>
          </w:p>
        </w:tc>
        <w:tc>
          <w:tcPr>
            <w:tcW w:w="3140" w:type="dxa"/>
            <w:vAlign w:val="bottom"/>
          </w:tcPr>
          <w:p>
            <w:pPr>
              <w:jc w:val="center"/>
              <w:ind w:left="2162"/>
              <w:spacing w:after="0" w:line="122" w:lineRule="exact"/>
              <w:rPr>
                <w:sz w:val="20"/>
                <w:szCs w:val="20"/>
                <w:color w:val="auto"/>
              </w:rPr>
            </w:pPr>
            <w:r>
              <w:rPr>
                <w:rFonts w:ascii="Arial" w:cs="Arial" w:eastAsia="Arial" w:hAnsi="Arial"/>
                <w:sz w:val="11"/>
                <w:szCs w:val="11"/>
                <w:color w:val="auto"/>
              </w:rPr>
              <w:t>73,473,563</w:t>
            </w:r>
          </w:p>
        </w:tc>
        <w:tc>
          <w:tcPr>
            <w:tcW w:w="1060" w:type="dxa"/>
            <w:vAlign w:val="bottom"/>
          </w:tcPr>
          <w:p>
            <w:pPr>
              <w:jc w:val="center"/>
              <w:spacing w:after="0" w:line="122" w:lineRule="exact"/>
              <w:rPr>
                <w:sz w:val="20"/>
                <w:szCs w:val="20"/>
                <w:color w:val="auto"/>
              </w:rPr>
            </w:pPr>
            <w:r>
              <w:rPr>
                <w:rFonts w:ascii="Arial" w:cs="Arial" w:eastAsia="Arial" w:hAnsi="Arial"/>
                <w:sz w:val="11"/>
                <w:szCs w:val="11"/>
                <w:color w:val="auto"/>
              </w:rPr>
              <w:t>76,290,046</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rPr>
              <w:t>74,091,027</w:t>
            </w:r>
          </w:p>
        </w:tc>
        <w:tc>
          <w:tcPr>
            <w:tcW w:w="114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-2.9%</w:t>
            </w:r>
          </w:p>
        </w:tc>
        <w:tc>
          <w:tcPr>
            <w:tcW w:w="620" w:type="dxa"/>
            <w:vAlign w:val="bottom"/>
          </w:tcPr>
          <w:p>
            <w:pPr>
              <w:jc w:val="center"/>
              <w:ind w:right="223"/>
              <w:spacing w:after="0" w:line="122" w:lineRule="exact"/>
              <w:rPr>
                <w:sz w:val="20"/>
                <w:szCs w:val="20"/>
                <w:color w:val="auto"/>
              </w:rPr>
            </w:pPr>
            <w:r>
              <w:rPr>
                <w:rFonts w:ascii="Arial" w:cs="Arial" w:eastAsia="Arial" w:hAnsi="Arial"/>
                <w:sz w:val="11"/>
                <w:szCs w:val="11"/>
                <w:color w:val="auto"/>
              </w:rPr>
              <w:t>0.8%</w:t>
            </w:r>
          </w:p>
        </w:tc>
        <w:tc>
          <w:tcPr>
            <w:tcW w:w="20" w:type="dxa"/>
            <w:vAlign w:val="bottom"/>
          </w:tcPr>
          <w:p>
            <w:pPr>
              <w:spacing w:after="0"/>
              <w:rPr>
                <w:sz w:val="10"/>
                <w:szCs w:val="10"/>
                <w:color w:val="auto"/>
              </w:rPr>
            </w:pPr>
          </w:p>
        </w:tc>
      </w:tr>
      <w:tr>
        <w:trPr>
          <w:trHeight w:val="144"/>
        </w:trPr>
        <w:tc>
          <w:tcPr>
            <w:tcW w:w="4240" w:type="dxa"/>
            <w:vAlign w:val="bottom"/>
          </w:tcPr>
          <w:p>
            <w:pPr>
              <w:ind w:left="100"/>
              <w:spacing w:after="0"/>
              <w:rPr>
                <w:sz w:val="20"/>
                <w:szCs w:val="20"/>
                <w:color w:val="auto"/>
              </w:rPr>
            </w:pPr>
            <w:r>
              <w:rPr>
                <w:rFonts w:ascii="Arial" w:cs="Arial" w:eastAsia="Arial" w:hAnsi="Arial"/>
                <w:sz w:val="11"/>
                <w:szCs w:val="11"/>
                <w:color w:val="auto"/>
              </w:rPr>
              <w:t>Total derivatives (notional) and others</w:t>
            </w:r>
          </w:p>
        </w:tc>
        <w:tc>
          <w:tcPr>
            <w:tcW w:w="3140" w:type="dxa"/>
            <w:vAlign w:val="bottom"/>
          </w:tcPr>
          <w:p>
            <w:pPr>
              <w:jc w:val="center"/>
              <w:ind w:left="2162"/>
              <w:spacing w:after="0"/>
              <w:rPr>
                <w:sz w:val="20"/>
                <w:szCs w:val="20"/>
                <w:color w:val="auto"/>
              </w:rPr>
            </w:pPr>
            <w:r>
              <w:rPr>
                <w:rFonts w:ascii="Arial" w:cs="Arial" w:eastAsia="Arial" w:hAnsi="Arial"/>
                <w:sz w:val="11"/>
                <w:szCs w:val="11"/>
                <w:color w:val="auto"/>
              </w:rPr>
              <w:t>41,238,354</w:t>
            </w:r>
          </w:p>
        </w:tc>
        <w:tc>
          <w:tcPr>
            <w:tcW w:w="1060" w:type="dxa"/>
            <w:vAlign w:val="bottom"/>
          </w:tcPr>
          <w:p>
            <w:pPr>
              <w:jc w:val="center"/>
              <w:spacing w:after="0"/>
              <w:rPr>
                <w:sz w:val="20"/>
                <w:szCs w:val="20"/>
                <w:color w:val="auto"/>
              </w:rPr>
            </w:pPr>
            <w:r>
              <w:rPr>
                <w:rFonts w:ascii="Arial" w:cs="Arial" w:eastAsia="Arial" w:hAnsi="Arial"/>
                <w:sz w:val="11"/>
                <w:szCs w:val="11"/>
                <w:color w:val="auto"/>
              </w:rPr>
              <w:t>43,752,594</w:t>
            </w:r>
          </w:p>
        </w:tc>
        <w:tc>
          <w:tcPr>
            <w:tcW w:w="1040" w:type="dxa"/>
            <w:vAlign w:val="bottom"/>
          </w:tcPr>
          <w:p>
            <w:pPr>
              <w:jc w:val="center"/>
              <w:spacing w:after="0"/>
              <w:rPr>
                <w:sz w:val="20"/>
                <w:szCs w:val="20"/>
                <w:color w:val="auto"/>
              </w:rPr>
            </w:pPr>
            <w:r>
              <w:rPr>
                <w:rFonts w:ascii="Arial" w:cs="Arial" w:eastAsia="Arial" w:hAnsi="Arial"/>
                <w:sz w:val="11"/>
                <w:szCs w:val="11"/>
                <w:color w:val="auto"/>
              </w:rPr>
              <w:t>41,425,456</w:t>
            </w:r>
          </w:p>
        </w:tc>
        <w:tc>
          <w:tcPr>
            <w:tcW w:w="1140" w:type="dxa"/>
            <w:vAlign w:val="bottom"/>
          </w:tcPr>
          <w:p>
            <w:pPr>
              <w:jc w:val="center"/>
              <w:ind w:right="223"/>
              <w:spacing w:after="0"/>
              <w:rPr>
                <w:sz w:val="20"/>
                <w:szCs w:val="20"/>
                <w:color w:val="auto"/>
              </w:rPr>
            </w:pPr>
            <w:r>
              <w:rPr>
                <w:rFonts w:ascii="Arial" w:cs="Arial" w:eastAsia="Arial" w:hAnsi="Arial"/>
                <w:sz w:val="11"/>
                <w:szCs w:val="11"/>
                <w:color w:val="auto"/>
              </w:rPr>
              <w:t>-5.3%</w:t>
            </w:r>
          </w:p>
        </w:tc>
        <w:tc>
          <w:tcPr>
            <w:tcW w:w="620" w:type="dxa"/>
            <w:vAlign w:val="bottom"/>
          </w:tcPr>
          <w:p>
            <w:pPr>
              <w:jc w:val="center"/>
              <w:ind w:right="2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-4431665</wp:posOffset>
            </wp:positionV>
            <wp:extent cx="7145655" cy="44361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5655" cy="443611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-5546725</wp:posOffset>
            </wp:positionV>
            <wp:extent cx="1161415" cy="1390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ind w:left="162" w:hanging="162"/>
        <w:spacing w:after="0" w:line="231" w:lineRule="auto"/>
        <w:tabs>
          <w:tab w:leader="none" w:pos="162" w:val="left"/>
        </w:tabs>
        <w:numPr>
          <w:ilvl w:val="0"/>
          <w:numId w:val="59"/>
        </w:numPr>
        <w:rPr>
          <w:rFonts w:ascii="Arial" w:cs="Arial" w:eastAsia="Arial" w:hAnsi="Arial"/>
          <w:sz w:val="11"/>
          <w:szCs w:val="11"/>
          <w:color w:val="auto"/>
        </w:rPr>
      </w:pPr>
      <w:r>
        <w:rPr>
          <w:rFonts w:ascii="Arial" w:cs="Arial" w:eastAsia="Arial" w:hAnsi="Arial"/>
          <w:sz w:val="11"/>
          <w:szCs w:val="11"/>
          <w:color w:val="auto"/>
        </w:rPr>
        <w:t>Right of use asset of lease contracts is included by application of IFRS 16.</w:t>
      </w:r>
    </w:p>
    <w:p>
      <w:pPr>
        <w:ind w:left="162" w:hanging="162"/>
        <w:spacing w:after="0" w:line="231" w:lineRule="auto"/>
        <w:tabs>
          <w:tab w:leader="none" w:pos="162" w:val="left"/>
        </w:tabs>
        <w:numPr>
          <w:ilvl w:val="0"/>
          <w:numId w:val="59"/>
        </w:numPr>
        <w:rPr>
          <w:rFonts w:ascii="Arial" w:cs="Arial" w:eastAsia="Arial" w:hAnsi="Arial"/>
          <w:sz w:val="11"/>
          <w:szCs w:val="11"/>
          <w:color w:val="auto"/>
        </w:rPr>
      </w:pPr>
      <w:r>
        <w:rPr>
          <w:rFonts w:ascii="Arial" w:cs="Arial" w:eastAsia="Arial" w:hAnsi="Arial"/>
          <w:sz w:val="11"/>
          <w:szCs w:val="11"/>
          <w:color w:val="auto"/>
        </w:rPr>
        <w:t>Mainly includes intangible assets, other receivable accounts, trading derivatives receivable accounts and tax credit</w:t>
      </w:r>
    </w:p>
    <w:p>
      <w:pPr>
        <w:ind w:left="162" w:hanging="162"/>
        <w:spacing w:after="0"/>
        <w:tabs>
          <w:tab w:leader="none" w:pos="162" w:val="left"/>
        </w:tabs>
        <w:numPr>
          <w:ilvl w:val="0"/>
          <w:numId w:val="59"/>
        </w:numPr>
        <w:rPr>
          <w:rFonts w:ascii="Arial" w:cs="Arial" w:eastAsia="Arial" w:hAnsi="Arial"/>
          <w:sz w:val="11"/>
          <w:szCs w:val="11"/>
          <w:color w:val="auto"/>
        </w:rPr>
      </w:pPr>
      <w:r>
        <w:rPr>
          <w:rFonts w:ascii="Arial" w:cs="Arial" w:eastAsia="Arial" w:hAnsi="Arial"/>
          <w:sz w:val="11"/>
          <w:szCs w:val="11"/>
          <w:color w:val="auto"/>
        </w:rPr>
        <w:t>Mainly includes other payable accounts, trading derivatives payable accounts and taxes for payable.</w:t>
      </w:r>
    </w:p>
    <w:p>
      <w:pPr>
        <w:spacing w:after="0" w:line="102"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558"/>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322" w:right="31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5420" w:type="dxa"/>
            <w:vAlign w:val="bottom"/>
            <w:tcBorders>
              <w:left w:val="single" w:sz="8" w:color="auto"/>
            </w:tcBorders>
            <w:gridSpan w:val="2"/>
            <w:shd w:val="clear" w:color="auto" w:fill="000000"/>
          </w:tcPr>
          <w:p>
            <w:pPr>
              <w:ind w:left="27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780" w:type="dxa"/>
            <w:vAlign w:val="bottom"/>
            <w:shd w:val="clear" w:color="auto" w:fill="000000"/>
          </w:tcPr>
          <w:p>
            <w:pPr>
              <w:spacing w:after="0"/>
              <w:rPr>
                <w:sz w:val="24"/>
                <w:szCs w:val="24"/>
                <w:color w:val="auto"/>
              </w:rPr>
            </w:pPr>
          </w:p>
        </w:tc>
        <w:tc>
          <w:tcPr>
            <w:tcW w:w="820" w:type="dxa"/>
            <w:vAlign w:val="bottom"/>
            <w:tcBorders>
              <w:right w:val="single" w:sz="8" w:color="auto"/>
            </w:tcBorders>
            <w:shd w:val="clear" w:color="auto" w:fill="000000"/>
          </w:tcPr>
          <w:p>
            <w:pPr>
              <w:spacing w:after="0"/>
              <w:rPr>
                <w:sz w:val="24"/>
                <w:szCs w:val="24"/>
                <w:color w:val="auto"/>
              </w:rPr>
            </w:pPr>
          </w:p>
        </w:tc>
        <w:tc>
          <w:tcPr>
            <w:tcW w:w="4240" w:type="dxa"/>
            <w:vAlign w:val="bottom"/>
            <w:tcBorders>
              <w:right w:val="single" w:sz="8" w:color="auto"/>
            </w:tcBorders>
            <w:gridSpan w:val="5"/>
            <w:shd w:val="clear" w:color="auto" w:fill="000000"/>
          </w:tcPr>
          <w:p>
            <w:pPr>
              <w:ind w:left="500"/>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4640" w:type="dxa"/>
            <w:vAlign w:val="bottom"/>
            <w:tcBorders>
              <w:left w:val="single" w:sz="8" w:color="auto"/>
              <w:right w:val="single" w:sz="8" w:color="auto"/>
            </w:tcBorders>
            <w:shd w:val="clear" w:color="auto" w:fill="000000"/>
          </w:tcPr>
          <w:p>
            <w:pPr>
              <w:spacing w:after="0"/>
              <w:rPr>
                <w:sz w:val="17"/>
                <w:szCs w:val="17"/>
                <w:color w:val="auto"/>
              </w:rPr>
            </w:pPr>
          </w:p>
        </w:tc>
        <w:tc>
          <w:tcPr>
            <w:tcW w:w="780" w:type="dxa"/>
            <w:vAlign w:val="bottom"/>
            <w:shd w:val="clear" w:color="auto" w:fill="000000"/>
          </w:tcPr>
          <w:p>
            <w:pPr>
              <w:spacing w:after="0"/>
              <w:rPr>
                <w:sz w:val="17"/>
                <w:szCs w:val="17"/>
                <w:color w:val="auto"/>
              </w:rPr>
            </w:pPr>
          </w:p>
        </w:tc>
        <w:tc>
          <w:tcPr>
            <w:tcW w:w="780" w:type="dxa"/>
            <w:vAlign w:val="bottom"/>
            <w:shd w:val="clear" w:color="auto" w:fill="000000"/>
          </w:tcPr>
          <w:p>
            <w:pPr>
              <w:spacing w:after="0"/>
              <w:rPr>
                <w:sz w:val="17"/>
                <w:szCs w:val="17"/>
                <w:color w:val="auto"/>
              </w:rPr>
            </w:pPr>
          </w:p>
        </w:tc>
        <w:tc>
          <w:tcPr>
            <w:tcW w:w="820" w:type="dxa"/>
            <w:vAlign w:val="bottom"/>
            <w:tcBorders>
              <w:right w:val="single" w:sz="8" w:color="auto"/>
            </w:tcBorders>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700" w:type="dxa"/>
            <w:vAlign w:val="bottom"/>
            <w:tcBorders>
              <w:right w:val="single" w:sz="8" w:color="auto"/>
            </w:tcBorders>
            <w:shd w:val="clear" w:color="auto" w:fill="000000"/>
          </w:tcPr>
          <w:p>
            <w:pPr>
              <w:spacing w:after="0"/>
              <w:rPr>
                <w:sz w:val="17"/>
                <w:szCs w:val="17"/>
                <w:color w:val="auto"/>
              </w:rPr>
            </w:pPr>
          </w:p>
        </w:tc>
        <w:tc>
          <w:tcPr>
            <w:tcW w:w="760" w:type="dxa"/>
            <w:vAlign w:val="bottom"/>
            <w:shd w:val="clear" w:color="auto" w:fill="000000"/>
          </w:tcPr>
          <w:p>
            <w:pPr>
              <w:spacing w:after="0"/>
              <w:rPr>
                <w:sz w:val="17"/>
                <w:szCs w:val="17"/>
                <w:color w:val="auto"/>
              </w:rPr>
            </w:pPr>
          </w:p>
        </w:tc>
        <w:tc>
          <w:tcPr>
            <w:tcW w:w="800" w:type="dxa"/>
            <w:vAlign w:val="bottom"/>
            <w:tcBorders>
              <w:right w:val="single" w:sz="8" w:color="auto"/>
            </w:tcBorders>
            <w:shd w:val="clear" w:color="auto" w:fill="000000"/>
          </w:tcPr>
          <w:p>
            <w:pPr>
              <w:spacing w:after="0"/>
              <w:rPr>
                <w:sz w:val="17"/>
                <w:szCs w:val="17"/>
                <w:color w:val="auto"/>
              </w:rPr>
            </w:pPr>
          </w:p>
        </w:tc>
        <w:tc>
          <w:tcPr>
            <w:tcW w:w="134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640" w:type="dxa"/>
            <w:vAlign w:val="bottom"/>
            <w:tcBorders>
              <w:left w:val="single" w:sz="8" w:color="E93CAC"/>
              <w:right w:val="single" w:sz="8" w:color="E93CAC"/>
            </w:tcBorders>
            <w:shd w:val="clear" w:color="auto" w:fill="E93CAC"/>
          </w:tcPr>
          <w:p>
            <w:pPr>
              <w:ind w:left="40"/>
              <w:spacing w:after="0"/>
              <w:rPr>
                <w:sz w:val="20"/>
                <w:szCs w:val="20"/>
                <w:color w:val="auto"/>
              </w:rPr>
            </w:pPr>
            <w:r>
              <w:rPr>
                <w:rFonts w:ascii="Arial" w:cs="Arial" w:eastAsia="Arial" w:hAnsi="Arial"/>
                <w:sz w:val="18"/>
                <w:szCs w:val="18"/>
                <w:b w:val="1"/>
                <w:bCs w:val="1"/>
                <w:color w:val="FFFFFF"/>
              </w:rPr>
              <w:t>12. Appendix</w:t>
            </w:r>
          </w:p>
        </w:tc>
        <w:tc>
          <w:tcPr>
            <w:tcW w:w="780" w:type="dxa"/>
            <w:vAlign w:val="bottom"/>
            <w:shd w:val="clear" w:color="auto" w:fill="E93CAC"/>
          </w:tcPr>
          <w:p>
            <w:pPr>
              <w:spacing w:after="0"/>
              <w:rPr>
                <w:sz w:val="24"/>
                <w:szCs w:val="24"/>
                <w:color w:val="auto"/>
              </w:rPr>
            </w:pPr>
          </w:p>
        </w:tc>
        <w:tc>
          <w:tcPr>
            <w:tcW w:w="780" w:type="dxa"/>
            <w:vAlign w:val="bottom"/>
            <w:shd w:val="clear" w:color="auto" w:fill="E93CAC"/>
          </w:tcPr>
          <w:p>
            <w:pPr>
              <w:spacing w:after="0"/>
              <w:rPr>
                <w:sz w:val="24"/>
                <w:szCs w:val="24"/>
                <w:color w:val="auto"/>
              </w:rPr>
            </w:pPr>
          </w:p>
        </w:tc>
        <w:tc>
          <w:tcPr>
            <w:tcW w:w="820" w:type="dxa"/>
            <w:vAlign w:val="bottom"/>
            <w:tcBorders>
              <w:right w:val="single" w:sz="8" w:color="E93CAC"/>
            </w:tcBorders>
            <w:shd w:val="clear" w:color="auto" w:fill="E93CAC"/>
          </w:tcPr>
          <w:p>
            <w:pPr>
              <w:spacing w:after="0"/>
              <w:rPr>
                <w:sz w:val="24"/>
                <w:szCs w:val="24"/>
                <w:color w:val="auto"/>
              </w:rPr>
            </w:pPr>
          </w:p>
        </w:tc>
        <w:tc>
          <w:tcPr>
            <w:tcW w:w="640" w:type="dxa"/>
            <w:vAlign w:val="bottom"/>
            <w:shd w:val="clear" w:color="auto" w:fill="E93CAC"/>
          </w:tcPr>
          <w:p>
            <w:pPr>
              <w:spacing w:after="0"/>
              <w:rPr>
                <w:sz w:val="24"/>
                <w:szCs w:val="24"/>
                <w:color w:val="auto"/>
              </w:rPr>
            </w:pPr>
          </w:p>
        </w:tc>
        <w:tc>
          <w:tcPr>
            <w:tcW w:w="700" w:type="dxa"/>
            <w:vAlign w:val="bottom"/>
            <w:tcBorders>
              <w:right w:val="single" w:sz="8" w:color="E93CAC"/>
            </w:tcBorders>
            <w:shd w:val="clear" w:color="auto" w:fill="E93CAC"/>
          </w:tcPr>
          <w:p>
            <w:pPr>
              <w:spacing w:after="0"/>
              <w:rPr>
                <w:sz w:val="24"/>
                <w:szCs w:val="24"/>
                <w:color w:val="auto"/>
              </w:rPr>
            </w:pPr>
          </w:p>
        </w:tc>
        <w:tc>
          <w:tcPr>
            <w:tcW w:w="760" w:type="dxa"/>
            <w:vAlign w:val="bottom"/>
            <w:shd w:val="clear" w:color="auto" w:fill="E93CAC"/>
          </w:tcPr>
          <w:p>
            <w:pPr>
              <w:spacing w:after="0"/>
              <w:rPr>
                <w:sz w:val="24"/>
                <w:szCs w:val="24"/>
                <w:color w:val="auto"/>
              </w:rPr>
            </w:pPr>
          </w:p>
        </w:tc>
        <w:tc>
          <w:tcPr>
            <w:tcW w:w="800" w:type="dxa"/>
            <w:vAlign w:val="bottom"/>
            <w:tcBorders>
              <w:right w:val="single" w:sz="8" w:color="E93CAC"/>
            </w:tcBorders>
            <w:shd w:val="clear" w:color="auto" w:fill="E93CAC"/>
          </w:tcPr>
          <w:p>
            <w:pPr>
              <w:spacing w:after="0"/>
              <w:rPr>
                <w:sz w:val="24"/>
                <w:szCs w:val="24"/>
                <w:color w:val="auto"/>
              </w:rPr>
            </w:pPr>
          </w:p>
        </w:tc>
        <w:tc>
          <w:tcPr>
            <w:tcW w:w="1340" w:type="dxa"/>
            <w:vAlign w:val="bottom"/>
            <w:tcBorders>
              <w:right w:val="single" w:sz="8" w:color="E93CAC"/>
            </w:tcBorders>
            <w:shd w:val="clear" w:color="auto" w:fill="E93CAC"/>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40" w:type="dxa"/>
            <w:vAlign w:val="bottom"/>
            <w:tcBorders>
              <w:left w:val="single" w:sz="8" w:color="E93CAC"/>
              <w:right w:val="single" w:sz="8" w:color="E93CAC"/>
            </w:tcBorders>
            <w:shd w:val="clear" w:color="auto" w:fill="E93CAC"/>
          </w:tcPr>
          <w:p>
            <w:pPr>
              <w:spacing w:after="0"/>
              <w:rPr>
                <w:sz w:val="5"/>
                <w:szCs w:val="5"/>
                <w:color w:val="auto"/>
              </w:rPr>
            </w:pPr>
          </w:p>
        </w:tc>
        <w:tc>
          <w:tcPr>
            <w:tcW w:w="2380" w:type="dxa"/>
            <w:vAlign w:val="bottom"/>
            <w:tcBorders>
              <w:right w:val="single" w:sz="8" w:color="E93CAC"/>
            </w:tcBorders>
            <w:gridSpan w:val="3"/>
            <w:shd w:val="clear" w:color="auto" w:fill="E93CAC"/>
          </w:tcPr>
          <w:p>
            <w:pPr>
              <w:spacing w:after="0"/>
              <w:rPr>
                <w:sz w:val="5"/>
                <w:szCs w:val="5"/>
                <w:color w:val="auto"/>
              </w:rPr>
            </w:pPr>
          </w:p>
        </w:tc>
        <w:tc>
          <w:tcPr>
            <w:tcW w:w="640" w:type="dxa"/>
            <w:vAlign w:val="bottom"/>
            <w:shd w:val="clear" w:color="auto" w:fill="E93CAC"/>
          </w:tcPr>
          <w:p>
            <w:pPr>
              <w:spacing w:after="0"/>
              <w:rPr>
                <w:sz w:val="5"/>
                <w:szCs w:val="5"/>
                <w:color w:val="auto"/>
              </w:rPr>
            </w:pPr>
          </w:p>
        </w:tc>
        <w:tc>
          <w:tcPr>
            <w:tcW w:w="700" w:type="dxa"/>
            <w:vAlign w:val="bottom"/>
            <w:tcBorders>
              <w:right w:val="single" w:sz="8" w:color="E93CAC"/>
            </w:tcBorders>
            <w:shd w:val="clear" w:color="auto" w:fill="E93CAC"/>
          </w:tcPr>
          <w:p>
            <w:pPr>
              <w:spacing w:after="0"/>
              <w:rPr>
                <w:sz w:val="5"/>
                <w:szCs w:val="5"/>
                <w:color w:val="auto"/>
              </w:rPr>
            </w:pPr>
          </w:p>
        </w:tc>
        <w:tc>
          <w:tcPr>
            <w:tcW w:w="760" w:type="dxa"/>
            <w:vAlign w:val="bottom"/>
            <w:shd w:val="clear" w:color="auto" w:fill="E93CAC"/>
          </w:tcPr>
          <w:p>
            <w:pPr>
              <w:spacing w:after="0"/>
              <w:rPr>
                <w:sz w:val="5"/>
                <w:szCs w:val="5"/>
                <w:color w:val="auto"/>
              </w:rPr>
            </w:pPr>
          </w:p>
        </w:tc>
        <w:tc>
          <w:tcPr>
            <w:tcW w:w="800" w:type="dxa"/>
            <w:vAlign w:val="bottom"/>
            <w:tcBorders>
              <w:right w:val="single" w:sz="8" w:color="E93CAC"/>
            </w:tcBorders>
            <w:shd w:val="clear" w:color="auto" w:fill="E93CAC"/>
          </w:tcPr>
          <w:p>
            <w:pPr>
              <w:spacing w:after="0"/>
              <w:rPr>
                <w:sz w:val="5"/>
                <w:szCs w:val="5"/>
                <w:color w:val="auto"/>
              </w:rPr>
            </w:pPr>
          </w:p>
        </w:tc>
        <w:tc>
          <w:tcPr>
            <w:tcW w:w="1340" w:type="dxa"/>
            <w:vAlign w:val="bottom"/>
            <w:tcBorders>
              <w:right w:val="single" w:sz="8" w:color="E93CAC"/>
            </w:tcBorders>
            <w:shd w:val="clear" w:color="auto" w:fill="E93CAC"/>
          </w:tcPr>
          <w:p>
            <w:pPr>
              <w:spacing w:after="0"/>
              <w:rPr>
                <w:sz w:val="5"/>
                <w:szCs w:val="5"/>
                <w:color w:val="auto"/>
              </w:rPr>
            </w:pPr>
          </w:p>
        </w:tc>
        <w:tc>
          <w:tcPr>
            <w:tcW w:w="0" w:type="dxa"/>
            <w:vAlign w:val="bottom"/>
          </w:tcPr>
          <w:p>
            <w:pPr>
              <w:spacing w:after="0"/>
              <w:rPr>
                <w:sz w:val="1"/>
                <w:szCs w:val="1"/>
                <w:color w:val="auto"/>
              </w:rPr>
            </w:pPr>
          </w:p>
        </w:tc>
      </w:tr>
      <w:tr>
        <w:trPr>
          <w:trHeight w:val="349"/>
        </w:trPr>
        <w:tc>
          <w:tcPr>
            <w:tcW w:w="4640" w:type="dxa"/>
            <w:vAlign w:val="bottom"/>
          </w:tcPr>
          <w:p>
            <w:pPr>
              <w:spacing w:after="0"/>
              <w:rPr>
                <w:sz w:val="24"/>
                <w:szCs w:val="24"/>
                <w:color w:val="auto"/>
              </w:rPr>
            </w:pPr>
          </w:p>
        </w:tc>
        <w:tc>
          <w:tcPr>
            <w:tcW w:w="2380" w:type="dxa"/>
            <w:vAlign w:val="bottom"/>
            <w:gridSpan w:val="3"/>
          </w:tcPr>
          <w:p>
            <w:pPr>
              <w:jc w:val="center"/>
              <w:ind w:right="363"/>
              <w:spacing w:after="0"/>
              <w:rPr>
                <w:sz w:val="20"/>
                <w:szCs w:val="20"/>
                <w:color w:val="auto"/>
              </w:rPr>
            </w:pPr>
            <w:r>
              <w:rPr>
                <w:rFonts w:ascii="Arial" w:cs="Arial" w:eastAsia="Arial" w:hAnsi="Arial"/>
                <w:sz w:val="16"/>
                <w:szCs w:val="16"/>
                <w:b w:val="1"/>
                <w:bCs w:val="1"/>
                <w:color w:val="auto"/>
              </w:rPr>
              <w:t>Statement of Income</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380" w:type="dxa"/>
            <w:vAlign w:val="bottom"/>
            <w:gridSpan w:val="3"/>
          </w:tcPr>
          <w:p>
            <w:pPr>
              <w:jc w:val="center"/>
              <w:ind w:right="363"/>
              <w:spacing w:after="0"/>
              <w:rPr>
                <w:sz w:val="20"/>
                <w:szCs w:val="20"/>
                <w:color w:val="auto"/>
              </w:rPr>
            </w:pPr>
            <w:r>
              <w:rPr>
                <w:rFonts w:ascii="Arial" w:cs="Arial" w:eastAsia="Arial" w:hAnsi="Arial"/>
                <w:sz w:val="16"/>
                <w:szCs w:val="16"/>
                <w:b w:val="1"/>
                <w:bCs w:val="1"/>
                <w:color w:val="auto"/>
              </w:rPr>
              <w:t>(S/ Thousands, IFRS)</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spacing w:after="0"/>
              <w:rPr>
                <w:sz w:val="13"/>
                <w:szCs w:val="13"/>
                <w:color w:val="auto"/>
              </w:rPr>
            </w:pPr>
          </w:p>
        </w:tc>
        <w:tc>
          <w:tcPr>
            <w:tcW w:w="1560" w:type="dxa"/>
            <w:vAlign w:val="bottom"/>
            <w:tcBorders>
              <w:bottom w:val="single" w:sz="8" w:color="auto"/>
            </w:tcBorders>
            <w:gridSpan w:val="2"/>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640" w:type="dxa"/>
            <w:vAlign w:val="bottom"/>
            <w:tcBorders>
              <w:right w:val="single" w:sz="8" w:color="auto"/>
            </w:tcBorders>
          </w:tcPr>
          <w:p>
            <w:pPr>
              <w:spacing w:after="0"/>
              <w:rPr>
                <w:sz w:val="8"/>
                <w:szCs w:val="8"/>
                <w:color w:val="auto"/>
              </w:rPr>
            </w:pPr>
          </w:p>
        </w:tc>
        <w:tc>
          <w:tcPr>
            <w:tcW w:w="780" w:type="dxa"/>
            <w:vAlign w:val="bottom"/>
            <w:vMerge w:val="restart"/>
            <w:shd w:val="clear" w:color="auto" w:fill="29D2C9"/>
          </w:tcPr>
          <w:p>
            <w:pPr>
              <w:jc w:val="center"/>
              <w:spacing w:after="0"/>
              <w:rPr>
                <w:sz w:val="20"/>
                <w:szCs w:val="20"/>
                <w:color w:val="auto"/>
              </w:rPr>
            </w:pPr>
            <w:r>
              <w:rPr>
                <w:rFonts w:ascii="Arial" w:cs="Arial" w:eastAsia="Arial" w:hAnsi="Arial"/>
                <w:sz w:val="11"/>
                <w:szCs w:val="11"/>
                <w:b w:val="1"/>
                <w:bCs w:val="1"/>
                <w:color w:val="FFFFFF"/>
              </w:rPr>
              <w:t>4Q22</w:t>
            </w:r>
          </w:p>
        </w:tc>
        <w:tc>
          <w:tcPr>
            <w:tcW w:w="780" w:type="dxa"/>
            <w:vAlign w:val="bottom"/>
            <w:shd w:val="clear" w:color="auto" w:fill="29D2C9"/>
          </w:tcPr>
          <w:p>
            <w:pPr>
              <w:ind w:left="180"/>
              <w:spacing w:after="0" w:line="99" w:lineRule="exact"/>
              <w:rPr>
                <w:sz w:val="20"/>
                <w:szCs w:val="20"/>
                <w:color w:val="auto"/>
              </w:rPr>
            </w:pPr>
            <w:r>
              <w:rPr>
                <w:rFonts w:ascii="Arial" w:cs="Arial" w:eastAsia="Arial" w:hAnsi="Arial"/>
                <w:sz w:val="11"/>
                <w:szCs w:val="11"/>
                <w:b w:val="1"/>
                <w:bCs w:val="1"/>
                <w:color w:val="FFFFFF"/>
              </w:rPr>
              <w:t>Quarter</w:t>
            </w:r>
          </w:p>
        </w:tc>
        <w:tc>
          <w:tcPr>
            <w:tcW w:w="820" w:type="dxa"/>
            <w:vAlign w:val="bottom"/>
            <w:tcBorders>
              <w:right w:val="single" w:sz="8" w:color="auto"/>
            </w:tcBorders>
            <w:vMerge w:val="restart"/>
            <w:shd w:val="clear" w:color="auto" w:fill="29D2C9"/>
          </w:tcPr>
          <w:p>
            <w:pPr>
              <w:jc w:val="center"/>
              <w:spacing w:after="0"/>
              <w:rPr>
                <w:sz w:val="20"/>
                <w:szCs w:val="20"/>
                <w:color w:val="auto"/>
              </w:rPr>
            </w:pPr>
            <w:r>
              <w:rPr>
                <w:rFonts w:ascii="Arial" w:cs="Arial" w:eastAsia="Arial" w:hAnsi="Arial"/>
                <w:sz w:val="11"/>
                <w:szCs w:val="11"/>
                <w:b w:val="1"/>
                <w:bCs w:val="1"/>
                <w:color w:val="FFFFFF"/>
              </w:rPr>
              <w:t>4Q23</w:t>
            </w:r>
          </w:p>
        </w:tc>
        <w:tc>
          <w:tcPr>
            <w:tcW w:w="1340" w:type="dxa"/>
            <w:vAlign w:val="bottom"/>
            <w:tcBorders>
              <w:right w:val="single" w:sz="8" w:color="auto"/>
            </w:tcBorders>
            <w:gridSpan w:val="2"/>
            <w:shd w:val="clear" w:color="auto" w:fill="29D2C9"/>
          </w:tcPr>
          <w:p>
            <w:pPr>
              <w:ind w:left="380"/>
              <w:spacing w:after="0" w:line="99" w:lineRule="exact"/>
              <w:rPr>
                <w:sz w:val="20"/>
                <w:szCs w:val="20"/>
                <w:color w:val="auto"/>
              </w:rPr>
            </w:pPr>
            <w:r>
              <w:rPr>
                <w:rFonts w:ascii="Arial" w:cs="Arial" w:eastAsia="Arial" w:hAnsi="Arial"/>
                <w:sz w:val="11"/>
                <w:szCs w:val="11"/>
                <w:b w:val="1"/>
                <w:bCs w:val="1"/>
                <w:color w:val="FFFFFF"/>
              </w:rPr>
              <w:t>% change</w:t>
            </w:r>
          </w:p>
        </w:tc>
        <w:tc>
          <w:tcPr>
            <w:tcW w:w="1560" w:type="dxa"/>
            <w:vAlign w:val="bottom"/>
            <w:tcBorders>
              <w:right w:val="single" w:sz="8" w:color="auto"/>
            </w:tcBorders>
            <w:gridSpan w:val="2"/>
            <w:shd w:val="clear" w:color="auto" w:fill="29D2C9"/>
          </w:tcPr>
          <w:p>
            <w:pPr>
              <w:ind w:left="620"/>
              <w:spacing w:after="0" w:line="99" w:lineRule="exact"/>
              <w:rPr>
                <w:sz w:val="20"/>
                <w:szCs w:val="20"/>
                <w:color w:val="auto"/>
              </w:rPr>
            </w:pPr>
            <w:r>
              <w:rPr>
                <w:rFonts w:ascii="Arial" w:cs="Arial" w:eastAsia="Arial" w:hAnsi="Arial"/>
                <w:sz w:val="11"/>
                <w:szCs w:val="11"/>
                <w:b w:val="1"/>
                <w:bCs w:val="1"/>
                <w:color w:val="FFFFFF"/>
              </w:rPr>
              <w:t>Up to</w:t>
            </w:r>
          </w:p>
        </w:tc>
        <w:tc>
          <w:tcPr>
            <w:tcW w:w="1340" w:type="dxa"/>
            <w:vAlign w:val="bottom"/>
            <w:tcBorders>
              <w:right w:val="single" w:sz="8" w:color="auto"/>
            </w:tcBorders>
            <w:shd w:val="clear" w:color="auto" w:fill="29D2C9"/>
          </w:tcPr>
          <w:p>
            <w:pPr>
              <w:jc w:val="center"/>
              <w:spacing w:after="0" w:line="99" w:lineRule="exact"/>
              <w:rPr>
                <w:sz w:val="20"/>
                <w:szCs w:val="20"/>
                <w:color w:val="auto"/>
              </w:rPr>
            </w:pPr>
            <w:r>
              <w:rPr>
                <w:rFonts w:ascii="Arial" w:cs="Arial" w:eastAsia="Arial" w:hAnsi="Arial"/>
                <w:sz w:val="11"/>
                <w:szCs w:val="11"/>
                <w:b w:val="1"/>
                <w:bCs w:val="1"/>
                <w:color w:val="FFFFFF"/>
              </w:rPr>
              <w:t>% change</w:t>
            </w:r>
          </w:p>
        </w:tc>
        <w:tc>
          <w:tcPr>
            <w:tcW w:w="0" w:type="dxa"/>
            <w:vAlign w:val="bottom"/>
          </w:tcPr>
          <w:p>
            <w:pPr>
              <w:spacing w:after="0"/>
              <w:rPr>
                <w:sz w:val="1"/>
                <w:szCs w:val="1"/>
                <w:color w:val="auto"/>
              </w:rPr>
            </w:pPr>
          </w:p>
        </w:tc>
      </w:tr>
      <w:tr>
        <w:trPr>
          <w:trHeight w:val="137"/>
        </w:trPr>
        <w:tc>
          <w:tcPr>
            <w:tcW w:w="46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vMerge w:val="continue"/>
            <w:shd w:val="clear" w:color="auto" w:fill="29D2C9"/>
          </w:tcPr>
          <w:p>
            <w:pPr>
              <w:spacing w:after="0"/>
              <w:rPr>
                <w:sz w:val="11"/>
                <w:szCs w:val="11"/>
                <w:color w:val="auto"/>
              </w:rPr>
            </w:pPr>
          </w:p>
        </w:tc>
        <w:tc>
          <w:tcPr>
            <w:tcW w:w="780" w:type="dxa"/>
            <w:vAlign w:val="bottom"/>
            <w:tcBorders>
              <w:bottom w:val="single" w:sz="8" w:color="auto"/>
            </w:tcBorders>
            <w:shd w:val="clear" w:color="auto" w:fill="29D2C9"/>
          </w:tcPr>
          <w:p>
            <w:pPr>
              <w:jc w:val="center"/>
              <w:spacing w:after="0"/>
              <w:rPr>
                <w:sz w:val="20"/>
                <w:szCs w:val="20"/>
                <w:color w:val="auto"/>
              </w:rPr>
            </w:pPr>
            <w:r>
              <w:rPr>
                <w:rFonts w:ascii="Arial" w:cs="Arial" w:eastAsia="Arial" w:hAnsi="Arial"/>
                <w:sz w:val="11"/>
                <w:szCs w:val="11"/>
                <w:b w:val="1"/>
                <w:bCs w:val="1"/>
                <w:color w:val="FFFFFF"/>
              </w:rPr>
              <w:t>3Q23</w:t>
            </w:r>
          </w:p>
        </w:tc>
        <w:tc>
          <w:tcPr>
            <w:tcW w:w="820" w:type="dxa"/>
            <w:vAlign w:val="bottom"/>
            <w:tcBorders>
              <w:bottom w:val="single" w:sz="8" w:color="auto"/>
              <w:right w:val="single" w:sz="8" w:color="auto"/>
            </w:tcBorders>
            <w:vMerge w:val="continue"/>
            <w:shd w:val="clear" w:color="auto" w:fill="29D2C9"/>
          </w:tcPr>
          <w:p>
            <w:pPr>
              <w:spacing w:after="0"/>
              <w:rPr>
                <w:sz w:val="11"/>
                <w:szCs w:val="11"/>
                <w:color w:val="auto"/>
              </w:rPr>
            </w:pPr>
          </w:p>
        </w:tc>
        <w:tc>
          <w:tcPr>
            <w:tcW w:w="640" w:type="dxa"/>
            <w:vAlign w:val="bottom"/>
            <w:tcBorders>
              <w:bottom w:val="single" w:sz="8" w:color="auto"/>
            </w:tcBorders>
            <w:shd w:val="clear" w:color="auto" w:fill="29D2C9"/>
          </w:tcPr>
          <w:p>
            <w:pPr>
              <w:ind w:left="200"/>
              <w:spacing w:after="0"/>
              <w:rPr>
                <w:sz w:val="20"/>
                <w:szCs w:val="20"/>
                <w:color w:val="auto"/>
              </w:rPr>
            </w:pPr>
            <w:r>
              <w:rPr>
                <w:rFonts w:ascii="Arial" w:cs="Arial" w:eastAsia="Arial" w:hAnsi="Arial"/>
                <w:sz w:val="11"/>
                <w:szCs w:val="11"/>
                <w:b w:val="1"/>
                <w:bCs w:val="1"/>
                <w:color w:val="FFFFFF"/>
              </w:rPr>
              <w:t>QoQ</w:t>
            </w:r>
          </w:p>
        </w:tc>
        <w:tc>
          <w:tcPr>
            <w:tcW w:w="700" w:type="dxa"/>
            <w:vAlign w:val="bottom"/>
            <w:tcBorders>
              <w:bottom w:val="single" w:sz="8" w:color="auto"/>
              <w:right w:val="single" w:sz="8" w:color="auto"/>
            </w:tcBorders>
            <w:shd w:val="clear" w:color="auto" w:fill="29D2C9"/>
          </w:tcPr>
          <w:p>
            <w:pPr>
              <w:ind w:left="240"/>
              <w:spacing w:after="0"/>
              <w:rPr>
                <w:sz w:val="20"/>
                <w:szCs w:val="20"/>
                <w:color w:val="auto"/>
              </w:rPr>
            </w:pPr>
            <w:r>
              <w:rPr>
                <w:rFonts w:ascii="Arial" w:cs="Arial" w:eastAsia="Arial" w:hAnsi="Arial"/>
                <w:sz w:val="11"/>
                <w:szCs w:val="11"/>
                <w:b w:val="1"/>
                <w:bCs w:val="1"/>
                <w:color w:val="FFFFFF"/>
              </w:rPr>
              <w:t>YoY</w:t>
            </w:r>
          </w:p>
        </w:tc>
        <w:tc>
          <w:tcPr>
            <w:tcW w:w="760" w:type="dxa"/>
            <w:vAlign w:val="bottom"/>
            <w:tcBorders>
              <w:bottom w:val="single" w:sz="8" w:color="auto"/>
            </w:tcBorders>
            <w:shd w:val="clear" w:color="auto" w:fill="29D2C9"/>
          </w:tcPr>
          <w:p>
            <w:pPr>
              <w:ind w:left="180"/>
              <w:spacing w:after="0"/>
              <w:rPr>
                <w:sz w:val="20"/>
                <w:szCs w:val="20"/>
                <w:color w:val="auto"/>
              </w:rPr>
            </w:pPr>
            <w:r>
              <w:rPr>
                <w:rFonts w:ascii="Arial" w:cs="Arial" w:eastAsia="Arial" w:hAnsi="Arial"/>
                <w:sz w:val="11"/>
                <w:szCs w:val="11"/>
                <w:b w:val="1"/>
                <w:bCs w:val="1"/>
                <w:color w:val="FFFFFF"/>
              </w:rPr>
              <w:t>Dec 22</w:t>
            </w:r>
          </w:p>
        </w:tc>
        <w:tc>
          <w:tcPr>
            <w:tcW w:w="800" w:type="dxa"/>
            <w:vAlign w:val="bottom"/>
            <w:tcBorders>
              <w:bottom w:val="single" w:sz="8" w:color="auto"/>
              <w:right w:val="single" w:sz="8" w:color="auto"/>
            </w:tcBorders>
            <w:shd w:val="clear" w:color="auto" w:fill="29D2C9"/>
          </w:tcPr>
          <w:p>
            <w:pPr>
              <w:ind w:left="200"/>
              <w:spacing w:after="0"/>
              <w:rPr>
                <w:sz w:val="20"/>
                <w:szCs w:val="20"/>
                <w:color w:val="auto"/>
              </w:rPr>
            </w:pPr>
            <w:r>
              <w:rPr>
                <w:rFonts w:ascii="Arial" w:cs="Arial" w:eastAsia="Arial" w:hAnsi="Arial"/>
                <w:sz w:val="11"/>
                <w:szCs w:val="11"/>
                <w:b w:val="1"/>
                <w:bCs w:val="1"/>
                <w:color w:val="FFFFFF"/>
              </w:rPr>
              <w:t>Dec 23</w:t>
            </w:r>
          </w:p>
        </w:tc>
        <w:tc>
          <w:tcPr>
            <w:tcW w:w="1340" w:type="dxa"/>
            <w:vAlign w:val="bottom"/>
            <w:tcBorders>
              <w:bottom w:val="single" w:sz="8" w:color="auto"/>
              <w:right w:val="single" w:sz="8" w:color="auto"/>
            </w:tcBorders>
            <w:shd w:val="clear" w:color="auto" w:fill="29D2C9"/>
          </w:tcPr>
          <w:p>
            <w:pPr>
              <w:jc w:val="center"/>
              <w:spacing w:after="0"/>
              <w:rPr>
                <w:sz w:val="20"/>
                <w:szCs w:val="20"/>
                <w:color w:val="auto"/>
              </w:rPr>
            </w:pPr>
            <w:r>
              <w:rPr>
                <w:rFonts w:ascii="Arial" w:cs="Arial" w:eastAsia="Arial" w:hAnsi="Arial"/>
                <w:sz w:val="11"/>
                <w:szCs w:val="11"/>
                <w:b w:val="1"/>
                <w:bCs w:val="1"/>
                <w:color w:val="FFFFFF"/>
              </w:rPr>
              <w:t>Dec 22 / Dec 23</w:t>
            </w:r>
          </w:p>
        </w:tc>
        <w:tc>
          <w:tcPr>
            <w:tcW w:w="0" w:type="dxa"/>
            <w:vAlign w:val="bottom"/>
          </w:tcPr>
          <w:p>
            <w:pPr>
              <w:spacing w:after="0"/>
              <w:rPr>
                <w:sz w:val="1"/>
                <w:szCs w:val="1"/>
                <w:color w:val="auto"/>
              </w:rPr>
            </w:pPr>
          </w:p>
        </w:tc>
      </w:tr>
      <w:tr>
        <w:trPr>
          <w:trHeight w:val="99"/>
        </w:trPr>
        <w:tc>
          <w:tcPr>
            <w:tcW w:w="464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Interest income and expense</w:t>
            </w: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Interest and dividend income</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3,119,180</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3,450,119</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3,507,996</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1.7%</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12.5%</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10,352,579</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13,486,861</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30.3%</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Interest expense</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(751,858)</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(1,002,366)</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(936,600)</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-6.6%</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24.6%</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(2,309,386)</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(3,668,766)</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58.9%</w:t>
            </w:r>
          </w:p>
        </w:tc>
        <w:tc>
          <w:tcPr>
            <w:tcW w:w="0" w:type="dxa"/>
            <w:vAlign w:val="bottom"/>
          </w:tcPr>
          <w:p>
            <w:pPr>
              <w:spacing w:after="0"/>
              <w:rPr>
                <w:sz w:val="1"/>
                <w:szCs w:val="1"/>
                <w:color w:val="auto"/>
              </w:rPr>
            </w:pPr>
          </w:p>
        </w:tc>
      </w:tr>
      <w:tr>
        <w:trPr>
          <w:trHeight w:val="155"/>
        </w:trPr>
        <w:tc>
          <w:tcPr>
            <w:tcW w:w="4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Net interest income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2,367,322</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2,447,753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2,571,396</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8.6%</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8,043,193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9,818,095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22.1%</w:t>
            </w:r>
          </w:p>
        </w:tc>
        <w:tc>
          <w:tcPr>
            <w:tcW w:w="0" w:type="dxa"/>
            <w:vAlign w:val="bottom"/>
          </w:tcPr>
          <w:p>
            <w:pPr>
              <w:spacing w:after="0"/>
              <w:rPr>
                <w:sz w:val="1"/>
                <w:szCs w:val="1"/>
                <w:color w:val="auto"/>
              </w:rPr>
            </w:pPr>
          </w:p>
        </w:tc>
      </w:tr>
      <w:tr>
        <w:trPr>
          <w:trHeight w:val="21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Provision for credit losses on loan portfolio</w:t>
            </w:r>
          </w:p>
        </w:tc>
        <w:tc>
          <w:tcPr>
            <w:tcW w:w="780" w:type="dxa"/>
            <w:vAlign w:val="bottom"/>
          </w:tcPr>
          <w:p>
            <w:pPr>
              <w:jc w:val="center"/>
              <w:spacing w:after="0"/>
              <w:rPr>
                <w:sz w:val="20"/>
                <w:szCs w:val="20"/>
                <w:color w:val="auto"/>
              </w:rPr>
            </w:pPr>
            <w:r>
              <w:rPr>
                <w:rFonts w:ascii="Arial" w:cs="Arial" w:eastAsia="Arial" w:hAnsi="Arial"/>
                <w:sz w:val="11"/>
                <w:szCs w:val="11"/>
                <w:color w:val="auto"/>
              </w:rPr>
              <w:t>(564,240)</w:t>
            </w:r>
          </w:p>
        </w:tc>
        <w:tc>
          <w:tcPr>
            <w:tcW w:w="780" w:type="dxa"/>
            <w:vAlign w:val="bottom"/>
          </w:tcPr>
          <w:p>
            <w:pPr>
              <w:jc w:val="center"/>
              <w:spacing w:after="0"/>
              <w:rPr>
                <w:sz w:val="20"/>
                <w:szCs w:val="20"/>
                <w:color w:val="auto"/>
              </w:rPr>
            </w:pPr>
            <w:r>
              <w:rPr>
                <w:rFonts w:ascii="Arial" w:cs="Arial" w:eastAsia="Arial" w:hAnsi="Arial"/>
                <w:sz w:val="11"/>
                <w:szCs w:val="11"/>
                <w:color w:val="auto"/>
              </w:rPr>
              <w:t>(733,594)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(922,169)</w:t>
            </w:r>
          </w:p>
        </w:tc>
        <w:tc>
          <w:tcPr>
            <w:tcW w:w="640" w:type="dxa"/>
            <w:vAlign w:val="bottom"/>
          </w:tcPr>
          <w:p>
            <w:pPr>
              <w:jc w:val="center"/>
              <w:spacing w:after="0"/>
              <w:rPr>
                <w:sz w:val="20"/>
                <w:szCs w:val="20"/>
                <w:color w:val="auto"/>
              </w:rPr>
            </w:pPr>
            <w:r>
              <w:rPr>
                <w:rFonts w:ascii="Arial" w:cs="Arial" w:eastAsia="Arial" w:hAnsi="Arial"/>
                <w:sz w:val="11"/>
                <w:szCs w:val="11"/>
                <w:color w:val="auto"/>
              </w:rPr>
              <w:t>25.7%</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63.4%</w:t>
            </w:r>
          </w:p>
        </w:tc>
        <w:tc>
          <w:tcPr>
            <w:tcW w:w="760" w:type="dxa"/>
            <w:vAlign w:val="bottom"/>
          </w:tcPr>
          <w:p>
            <w:pPr>
              <w:jc w:val="center"/>
              <w:spacing w:after="0"/>
              <w:rPr>
                <w:sz w:val="20"/>
                <w:szCs w:val="20"/>
                <w:color w:val="auto"/>
              </w:rPr>
            </w:pPr>
            <w:r>
              <w:rPr>
                <w:rFonts w:ascii="Arial" w:cs="Arial" w:eastAsia="Arial" w:hAnsi="Arial"/>
                <w:sz w:val="11"/>
                <w:szCs w:val="11"/>
                <w:color w:val="auto"/>
              </w:rPr>
              <w:t>(1,448,323)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(2,845,501)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96.5%</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Recoveries of written-off loans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53,602</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59,331</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52,943</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-10.8%</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-1.2%</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214,429</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213,583</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55"/>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(510,638)</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(674,263)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(869,226)</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28.9%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70.2%</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(1,233,894)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(2,631,918)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113.3%</w:t>
            </w:r>
          </w:p>
        </w:tc>
        <w:tc>
          <w:tcPr>
            <w:tcW w:w="0" w:type="dxa"/>
            <w:vAlign w:val="bottom"/>
          </w:tcPr>
          <w:p>
            <w:pPr>
              <w:spacing w:after="0"/>
              <w:rPr>
                <w:sz w:val="1"/>
                <w:szCs w:val="1"/>
                <w:color w:val="auto"/>
              </w:rPr>
            </w:pPr>
          </w:p>
        </w:tc>
      </w:tr>
      <w:tr>
        <w:trPr>
          <w:trHeight w:val="244"/>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Risk-adjusted net interest income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1,856,684</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1,773,490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1,702,170</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-4.0%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-8.3%</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6,809,299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7,186,177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5.5%</w:t>
            </w:r>
          </w:p>
        </w:tc>
        <w:tc>
          <w:tcPr>
            <w:tcW w:w="0" w:type="dxa"/>
            <w:vAlign w:val="bottom"/>
          </w:tcPr>
          <w:p>
            <w:pPr>
              <w:spacing w:after="0"/>
              <w:rPr>
                <w:sz w:val="1"/>
                <w:szCs w:val="1"/>
                <w:color w:val="auto"/>
              </w:rPr>
            </w:pPr>
          </w:p>
        </w:tc>
      </w:tr>
      <w:tr>
        <w:trPr>
          <w:trHeight w:val="21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Other income</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Fee income</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741,992</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757,688</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748,269</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-1.2%</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0.8%</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2,938,465</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2,927,395</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Net gain on foreign exchange transactions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267,859</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238,376</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266,027</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11.6%</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-0.7%</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989,379</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988,264</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Net gain (losses) on securities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37,096</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54,382</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63,754</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17.2%</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71.9%</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372,490</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181,511</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-51.3%</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Net gain from associates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(864)</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817</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(1,373)</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-268.1%</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58.9%</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15,216</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(9,180)</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-160.3%</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Net gain (losses) on derivatives held for trading</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9,957</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3,288</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29,594</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800.1%</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197.2%</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(1,297)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89,706</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Net gain (losses) from exchange differences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4,812</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5,587</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-100.2%</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-100.3%</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12,153</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18,226</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Others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9,937</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55,726</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77,366</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38.8%</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678.6%</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202,755</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315,309</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55.5%</w:t>
            </w:r>
          </w:p>
        </w:tc>
        <w:tc>
          <w:tcPr>
            <w:tcW w:w="0" w:type="dxa"/>
            <w:vAlign w:val="bottom"/>
          </w:tcPr>
          <w:p>
            <w:pPr>
              <w:spacing w:after="0"/>
              <w:rPr>
                <w:sz w:val="1"/>
                <w:szCs w:val="1"/>
                <w:color w:val="auto"/>
              </w:rPr>
            </w:pPr>
          </w:p>
        </w:tc>
      </w:tr>
      <w:tr>
        <w:trPr>
          <w:trHeight w:val="155"/>
        </w:trPr>
        <w:tc>
          <w:tcPr>
            <w:tcW w:w="4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Total other income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1,070,789</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1,115,864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1,183,624</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6.1%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10.5%</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4,529,161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4,511,231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-0.4%</w:t>
            </w:r>
          </w:p>
        </w:tc>
        <w:tc>
          <w:tcPr>
            <w:tcW w:w="0" w:type="dxa"/>
            <w:vAlign w:val="bottom"/>
          </w:tcPr>
          <w:p>
            <w:pPr>
              <w:spacing w:after="0"/>
              <w:rPr>
                <w:sz w:val="1"/>
                <w:szCs w:val="1"/>
                <w:color w:val="auto"/>
              </w:rPr>
            </w:pPr>
          </w:p>
        </w:tc>
      </w:tr>
      <w:tr>
        <w:trPr>
          <w:trHeight w:val="21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expenses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Salaries and employee benefits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(564,902)</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(552,835)</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(592,595)</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7.2%</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4.9%</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(2,090,339)</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(2,254,885)</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Administrative expenses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(736,377)</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(690,092)</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(794,793)</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15.2%</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7.9%</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(2,346,996)</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(2,656,468)</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Depreciation and amortization</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(119,047)</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(111,147)</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(123,363)</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11.0%</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3.6%</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(447,859)</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(460,043)</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22"/>
        </w:trPr>
        <w:tc>
          <w:tcPr>
            <w:tcW w:w="464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Other expenses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(59,997)</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(68,474)</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(100,066)</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rPr>
              <w:t>46.1%</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66.8%</w:t>
            </w: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rPr>
              <w:t>(193,654)</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(252,114)</w:t>
            </w:r>
          </w:p>
        </w:tc>
        <w:tc>
          <w:tcPr>
            <w:tcW w:w="13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30.2%</w:t>
            </w:r>
          </w:p>
        </w:tc>
        <w:tc>
          <w:tcPr>
            <w:tcW w:w="0" w:type="dxa"/>
            <w:vAlign w:val="bottom"/>
          </w:tcPr>
          <w:p>
            <w:pPr>
              <w:spacing w:after="0"/>
              <w:rPr>
                <w:sz w:val="1"/>
                <w:szCs w:val="1"/>
                <w:color w:val="auto"/>
              </w:rPr>
            </w:pPr>
          </w:p>
        </w:tc>
      </w:tr>
      <w:tr>
        <w:trPr>
          <w:trHeight w:val="155"/>
        </w:trPr>
        <w:tc>
          <w:tcPr>
            <w:tcW w:w="4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Total expenses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(1,480,323)</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(1,422,548)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(1,610,817)</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13.2%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8.8%</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(5,078,848)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(5,623,510)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10.7%</w:t>
            </w:r>
          </w:p>
        </w:tc>
        <w:tc>
          <w:tcPr>
            <w:tcW w:w="0" w:type="dxa"/>
            <w:vAlign w:val="bottom"/>
          </w:tcPr>
          <w:p>
            <w:pPr>
              <w:spacing w:after="0"/>
              <w:rPr>
                <w:sz w:val="1"/>
                <w:szCs w:val="1"/>
                <w:color w:val="auto"/>
              </w:rPr>
            </w:pPr>
          </w:p>
        </w:tc>
      </w:tr>
      <w:tr>
        <w:trPr>
          <w:trHeight w:val="305"/>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Profit before income tax</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1,447,150</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1,466,806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1,274,977</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-13.1%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-11.9%</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6,259,612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6,073,898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-3.0%</w:t>
            </w:r>
          </w:p>
        </w:tc>
        <w:tc>
          <w:tcPr>
            <w:tcW w:w="0" w:type="dxa"/>
            <w:vAlign w:val="bottom"/>
          </w:tcPr>
          <w:p>
            <w:pPr>
              <w:spacing w:after="0"/>
              <w:rPr>
                <w:sz w:val="1"/>
                <w:szCs w:val="1"/>
                <w:color w:val="auto"/>
              </w:rPr>
            </w:pPr>
          </w:p>
        </w:tc>
      </w:tr>
      <w:tr>
        <w:trPr>
          <w:trHeight w:val="272"/>
        </w:trPr>
        <w:tc>
          <w:tcPr>
            <w:tcW w:w="4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Income tax</w:t>
            </w:r>
          </w:p>
        </w:tc>
        <w:tc>
          <w:tcPr>
            <w:tcW w:w="780" w:type="dxa"/>
            <w:vAlign w:val="bottom"/>
          </w:tcPr>
          <w:p>
            <w:pPr>
              <w:jc w:val="center"/>
              <w:spacing w:after="0"/>
              <w:rPr>
                <w:sz w:val="20"/>
                <w:szCs w:val="20"/>
                <w:color w:val="auto"/>
              </w:rPr>
            </w:pPr>
            <w:r>
              <w:rPr>
                <w:rFonts w:ascii="Arial" w:cs="Arial" w:eastAsia="Arial" w:hAnsi="Arial"/>
                <w:sz w:val="11"/>
                <w:szCs w:val="11"/>
                <w:color w:val="auto"/>
              </w:rPr>
              <w:t>(385,123)</w:t>
            </w:r>
          </w:p>
        </w:tc>
        <w:tc>
          <w:tcPr>
            <w:tcW w:w="780" w:type="dxa"/>
            <w:vAlign w:val="bottom"/>
          </w:tcPr>
          <w:p>
            <w:pPr>
              <w:jc w:val="center"/>
              <w:spacing w:after="0"/>
              <w:rPr>
                <w:sz w:val="20"/>
                <w:szCs w:val="20"/>
                <w:color w:val="auto"/>
              </w:rPr>
            </w:pPr>
            <w:r>
              <w:rPr>
                <w:rFonts w:ascii="Arial" w:cs="Arial" w:eastAsia="Arial" w:hAnsi="Arial"/>
                <w:sz w:val="11"/>
                <w:szCs w:val="11"/>
                <w:color w:val="auto"/>
              </w:rPr>
              <w:t>(362,413)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(320,936)</w:t>
            </w:r>
          </w:p>
        </w:tc>
        <w:tc>
          <w:tcPr>
            <w:tcW w:w="640" w:type="dxa"/>
            <w:vAlign w:val="bottom"/>
          </w:tcPr>
          <w:p>
            <w:pPr>
              <w:jc w:val="center"/>
              <w:spacing w:after="0"/>
              <w:rPr>
                <w:sz w:val="20"/>
                <w:szCs w:val="20"/>
                <w:color w:val="auto"/>
              </w:rPr>
            </w:pPr>
            <w:r>
              <w:rPr>
                <w:rFonts w:ascii="Arial" w:cs="Arial" w:eastAsia="Arial" w:hAnsi="Arial"/>
                <w:sz w:val="11"/>
                <w:szCs w:val="11"/>
                <w:color w:val="auto"/>
              </w:rPr>
              <w:t>-11.4%</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-16.7%</w:t>
            </w:r>
          </w:p>
        </w:tc>
        <w:tc>
          <w:tcPr>
            <w:tcW w:w="760" w:type="dxa"/>
            <w:vAlign w:val="bottom"/>
          </w:tcPr>
          <w:p>
            <w:pPr>
              <w:jc w:val="center"/>
              <w:spacing w:after="0"/>
              <w:rPr>
                <w:sz w:val="20"/>
                <w:szCs w:val="20"/>
                <w:color w:val="auto"/>
              </w:rPr>
            </w:pPr>
            <w:r>
              <w:rPr>
                <w:rFonts w:ascii="Arial" w:cs="Arial" w:eastAsia="Arial" w:hAnsi="Arial"/>
                <w:sz w:val="11"/>
                <w:szCs w:val="11"/>
                <w:color w:val="auto"/>
              </w:rPr>
              <w:t>(1,594,986)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(1,497,896)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37"/>
        </w:trPr>
        <w:tc>
          <w:tcPr>
            <w:tcW w:w="4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profit attributable to BCP Stand-alone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1,062,027</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1,104,393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954,041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-13.6%</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4,664,626</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4,576,003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-3730625</wp:posOffset>
            </wp:positionV>
            <wp:extent cx="1161415" cy="139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Selected Financial Indicators</w:t>
      </w:r>
    </w:p>
    <w:p>
      <w:pPr>
        <w:spacing w:after="0" w:line="179" w:lineRule="exact"/>
        <w:rPr>
          <w:sz w:val="20"/>
          <w:szCs w:val="20"/>
          <w:color w:val="auto"/>
        </w:rPr>
      </w:pPr>
    </w:p>
    <w:tbl>
      <w:tblPr>
        <w:tblLayout w:type="fixed"/>
        <w:tblInd w:w="1150" w:type="dxa"/>
        <w:tblCellMar>
          <w:top w:w="0" w:type="dxa"/>
          <w:left w:w="0" w:type="dxa"/>
          <w:bottom w:w="0" w:type="dxa"/>
          <w:right w:w="0" w:type="dxa"/>
        </w:tblCellMar>
      </w:tblPr>
      <w:tr>
        <w:trPr>
          <w:trHeight w:val="119"/>
        </w:trPr>
        <w:tc>
          <w:tcPr>
            <w:tcW w:w="4520" w:type="dxa"/>
            <w:vAlign w:val="bottom"/>
            <w:tcBorders>
              <w:right w:val="single" w:sz="8" w:color="auto"/>
            </w:tcBorders>
          </w:tcPr>
          <w:p>
            <w:pPr>
              <w:spacing w:after="0"/>
              <w:rPr>
                <w:sz w:val="10"/>
                <w:szCs w:val="10"/>
                <w:color w:val="auto"/>
              </w:rPr>
            </w:pPr>
          </w:p>
        </w:tc>
        <w:tc>
          <w:tcPr>
            <w:tcW w:w="860" w:type="dxa"/>
            <w:vAlign w:val="bottom"/>
            <w:tcBorders>
              <w:top w:val="single" w:sz="8" w:color="auto"/>
            </w:tcBorders>
            <w:vMerge w:val="restart"/>
            <w:shd w:val="clear" w:color="auto" w:fill="29D2C9"/>
          </w:tcPr>
          <w:p>
            <w:pPr>
              <w:jc w:val="center"/>
              <w:spacing w:after="0"/>
              <w:rPr>
                <w:sz w:val="20"/>
                <w:szCs w:val="20"/>
                <w:color w:val="auto"/>
              </w:rPr>
            </w:pPr>
            <w:r>
              <w:rPr>
                <w:rFonts w:ascii="Arial" w:cs="Arial" w:eastAsia="Arial" w:hAnsi="Arial"/>
                <w:sz w:val="11"/>
                <w:szCs w:val="11"/>
                <w:b w:val="1"/>
                <w:bCs w:val="1"/>
                <w:color w:val="FFFFFF"/>
              </w:rPr>
              <w:t>4Q22</w:t>
            </w:r>
          </w:p>
        </w:tc>
        <w:tc>
          <w:tcPr>
            <w:tcW w:w="920" w:type="dxa"/>
            <w:vAlign w:val="bottom"/>
            <w:tcBorders>
              <w:top w:val="single" w:sz="8" w:color="auto"/>
            </w:tcBorders>
            <w:shd w:val="clear" w:color="auto" w:fill="29D2C9"/>
          </w:tcPr>
          <w:p>
            <w:pPr>
              <w:ind w:left="260"/>
              <w:spacing w:after="0" w:line="119" w:lineRule="exact"/>
              <w:rPr>
                <w:sz w:val="20"/>
                <w:szCs w:val="20"/>
                <w:color w:val="auto"/>
              </w:rPr>
            </w:pPr>
            <w:r>
              <w:rPr>
                <w:rFonts w:ascii="Arial" w:cs="Arial" w:eastAsia="Arial" w:hAnsi="Arial"/>
                <w:sz w:val="11"/>
                <w:szCs w:val="11"/>
                <w:b w:val="1"/>
                <w:bCs w:val="1"/>
                <w:color w:val="FFFFFF"/>
              </w:rPr>
              <w:t>Quarter</w:t>
            </w:r>
          </w:p>
        </w:tc>
        <w:tc>
          <w:tcPr>
            <w:tcW w:w="920" w:type="dxa"/>
            <w:vAlign w:val="bottom"/>
            <w:tcBorders>
              <w:top w:val="single" w:sz="8" w:color="auto"/>
              <w:right w:val="single" w:sz="8" w:color="auto"/>
            </w:tcBorders>
            <w:vMerge w:val="restart"/>
            <w:shd w:val="clear" w:color="auto" w:fill="29D2C9"/>
          </w:tcPr>
          <w:p>
            <w:pPr>
              <w:jc w:val="center"/>
              <w:spacing w:after="0"/>
              <w:rPr>
                <w:sz w:val="20"/>
                <w:szCs w:val="20"/>
                <w:color w:val="auto"/>
              </w:rPr>
            </w:pPr>
            <w:r>
              <w:rPr>
                <w:rFonts w:ascii="Arial" w:cs="Arial" w:eastAsia="Arial" w:hAnsi="Arial"/>
                <w:sz w:val="11"/>
                <w:szCs w:val="11"/>
                <w:b w:val="1"/>
                <w:bCs w:val="1"/>
                <w:color w:val="FFFFFF"/>
              </w:rPr>
              <w:t>4Q23</w:t>
            </w:r>
          </w:p>
        </w:tc>
        <w:tc>
          <w:tcPr>
            <w:tcW w:w="660" w:type="dxa"/>
            <w:vAlign w:val="bottom"/>
            <w:tcBorders>
              <w:top w:val="single" w:sz="8" w:color="auto"/>
            </w:tcBorders>
            <w:vMerge w:val="restart"/>
            <w:shd w:val="clear" w:color="auto" w:fill="29D2C9"/>
          </w:tcPr>
          <w:p>
            <w:pPr>
              <w:ind w:left="240"/>
              <w:spacing w:after="0"/>
              <w:rPr>
                <w:sz w:val="20"/>
                <w:szCs w:val="20"/>
                <w:color w:val="auto"/>
              </w:rPr>
            </w:pPr>
            <w:r>
              <w:rPr>
                <w:rFonts w:ascii="Arial" w:cs="Arial" w:eastAsia="Arial" w:hAnsi="Arial"/>
                <w:sz w:val="11"/>
                <w:szCs w:val="11"/>
                <w:b w:val="1"/>
                <w:bCs w:val="1"/>
                <w:color w:val="FFFFFF"/>
              </w:rPr>
              <w:t>Dec 22</w:t>
            </w:r>
          </w:p>
        </w:tc>
        <w:tc>
          <w:tcPr>
            <w:tcW w:w="1120" w:type="dxa"/>
            <w:vAlign w:val="bottom"/>
            <w:tcBorders>
              <w:top w:val="single" w:sz="8" w:color="auto"/>
              <w:right w:val="single" w:sz="8" w:color="auto"/>
            </w:tcBorders>
            <w:shd w:val="clear" w:color="auto" w:fill="29D2C9"/>
          </w:tcPr>
          <w:p>
            <w:pPr>
              <w:ind w:left="60"/>
              <w:spacing w:after="0" w:line="119" w:lineRule="exact"/>
              <w:rPr>
                <w:sz w:val="20"/>
                <w:szCs w:val="20"/>
                <w:color w:val="auto"/>
              </w:rPr>
            </w:pPr>
            <w:r>
              <w:rPr>
                <w:rFonts w:ascii="Arial" w:cs="Arial" w:eastAsia="Arial" w:hAnsi="Arial"/>
                <w:sz w:val="11"/>
                <w:szCs w:val="11"/>
                <w:b w:val="1"/>
                <w:bCs w:val="1"/>
                <w:color w:val="FFFFFF"/>
              </w:rPr>
              <w:t>Up to</w:t>
            </w:r>
          </w:p>
        </w:tc>
        <w:tc>
          <w:tcPr>
            <w:tcW w:w="0" w:type="dxa"/>
            <w:vAlign w:val="bottom"/>
          </w:tcPr>
          <w:p>
            <w:pPr>
              <w:spacing w:after="0"/>
              <w:rPr>
                <w:sz w:val="1"/>
                <w:szCs w:val="1"/>
                <w:color w:val="auto"/>
              </w:rPr>
            </w:pPr>
          </w:p>
        </w:tc>
      </w:tr>
      <w:tr>
        <w:trPr>
          <w:trHeight w:val="137"/>
        </w:trPr>
        <w:tc>
          <w:tcPr>
            <w:tcW w:w="452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vMerge w:val="continue"/>
            <w:shd w:val="clear" w:color="auto" w:fill="29D2C9"/>
          </w:tcPr>
          <w:p>
            <w:pPr>
              <w:spacing w:after="0"/>
              <w:rPr>
                <w:sz w:val="11"/>
                <w:szCs w:val="11"/>
                <w:color w:val="auto"/>
              </w:rPr>
            </w:pPr>
          </w:p>
        </w:tc>
        <w:tc>
          <w:tcPr>
            <w:tcW w:w="920" w:type="dxa"/>
            <w:vAlign w:val="bottom"/>
            <w:tcBorders>
              <w:bottom w:val="single" w:sz="8" w:color="auto"/>
            </w:tcBorders>
            <w:shd w:val="clear" w:color="auto" w:fill="29D2C9"/>
          </w:tcPr>
          <w:p>
            <w:pPr>
              <w:jc w:val="center"/>
              <w:spacing w:after="0"/>
              <w:rPr>
                <w:sz w:val="20"/>
                <w:szCs w:val="20"/>
                <w:color w:val="auto"/>
              </w:rPr>
            </w:pPr>
            <w:r>
              <w:rPr>
                <w:rFonts w:ascii="Arial" w:cs="Arial" w:eastAsia="Arial" w:hAnsi="Arial"/>
                <w:sz w:val="11"/>
                <w:szCs w:val="11"/>
                <w:b w:val="1"/>
                <w:bCs w:val="1"/>
                <w:color w:val="FFFFFF"/>
              </w:rPr>
              <w:t>3Q23</w:t>
            </w:r>
          </w:p>
        </w:tc>
        <w:tc>
          <w:tcPr>
            <w:tcW w:w="920" w:type="dxa"/>
            <w:vAlign w:val="bottom"/>
            <w:tcBorders>
              <w:bottom w:val="single" w:sz="8" w:color="auto"/>
              <w:right w:val="single" w:sz="8" w:color="auto"/>
            </w:tcBorders>
            <w:vMerge w:val="continue"/>
            <w:shd w:val="clear" w:color="auto" w:fill="29D2C9"/>
          </w:tcPr>
          <w:p>
            <w:pPr>
              <w:spacing w:after="0"/>
              <w:rPr>
                <w:sz w:val="11"/>
                <w:szCs w:val="11"/>
                <w:color w:val="auto"/>
              </w:rPr>
            </w:pPr>
          </w:p>
        </w:tc>
        <w:tc>
          <w:tcPr>
            <w:tcW w:w="660" w:type="dxa"/>
            <w:vAlign w:val="bottom"/>
            <w:tcBorders>
              <w:bottom w:val="single" w:sz="8" w:color="auto"/>
            </w:tcBorders>
            <w:vMerge w:val="continue"/>
            <w:shd w:val="clear" w:color="auto" w:fill="29D2C9"/>
          </w:tcPr>
          <w:p>
            <w:pPr>
              <w:spacing w:after="0"/>
              <w:rPr>
                <w:sz w:val="11"/>
                <w:szCs w:val="11"/>
                <w:color w:val="auto"/>
              </w:rPr>
            </w:pPr>
          </w:p>
        </w:tc>
        <w:tc>
          <w:tcPr>
            <w:tcW w:w="1120" w:type="dxa"/>
            <w:vAlign w:val="bottom"/>
            <w:tcBorders>
              <w:bottom w:val="single" w:sz="8" w:color="auto"/>
              <w:right w:val="single" w:sz="8" w:color="auto"/>
            </w:tcBorders>
            <w:shd w:val="clear" w:color="auto" w:fill="29D2C9"/>
          </w:tcPr>
          <w:p>
            <w:pPr>
              <w:ind w:left="460"/>
              <w:spacing w:after="0"/>
              <w:rPr>
                <w:sz w:val="20"/>
                <w:szCs w:val="20"/>
                <w:color w:val="auto"/>
              </w:rPr>
            </w:pPr>
            <w:r>
              <w:rPr>
                <w:rFonts w:ascii="Arial" w:cs="Arial" w:eastAsia="Arial" w:hAnsi="Arial"/>
                <w:sz w:val="11"/>
                <w:szCs w:val="11"/>
                <w:b w:val="1"/>
                <w:bCs w:val="1"/>
                <w:color w:val="FFFFFF"/>
              </w:rPr>
              <w:t>Dec 23</w:t>
            </w:r>
          </w:p>
        </w:tc>
        <w:tc>
          <w:tcPr>
            <w:tcW w:w="0" w:type="dxa"/>
            <w:vAlign w:val="bottom"/>
          </w:tcPr>
          <w:p>
            <w:pPr>
              <w:spacing w:after="0"/>
              <w:rPr>
                <w:sz w:val="1"/>
                <w:szCs w:val="1"/>
                <w:color w:val="auto"/>
              </w:rPr>
            </w:pPr>
          </w:p>
        </w:tc>
      </w:tr>
      <w:tr>
        <w:trPr>
          <w:trHeight w:val="94"/>
        </w:trPr>
        <w:tc>
          <w:tcPr>
            <w:tcW w:w="4520" w:type="dxa"/>
            <w:vAlign w:val="bottom"/>
            <w:tcBorders>
              <w:left w:val="single" w:sz="8" w:color="auto"/>
              <w:right w:val="single" w:sz="8" w:color="auto"/>
            </w:tcBorders>
          </w:tcPr>
          <w:p>
            <w:pPr>
              <w:ind w:left="80"/>
              <w:spacing w:after="0" w:line="94" w:lineRule="exact"/>
              <w:rPr>
                <w:sz w:val="20"/>
                <w:szCs w:val="20"/>
                <w:color w:val="auto"/>
              </w:rPr>
            </w:pPr>
            <w:r>
              <w:rPr>
                <w:rFonts w:ascii="Arial" w:cs="Arial" w:eastAsia="Arial" w:hAnsi="Arial"/>
                <w:sz w:val="10"/>
                <w:szCs w:val="10"/>
                <w:b w:val="1"/>
                <w:bCs w:val="1"/>
                <w:color w:val="auto"/>
              </w:rPr>
              <w:t>Profitability</w:t>
            </w: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4"/>
                <w:szCs w:val="14"/>
                <w:color w:val="auto"/>
                <w:vertAlign w:val="subscript"/>
              </w:rPr>
              <w:t>ROAA</w:t>
            </w:r>
            <w:r>
              <w:rPr>
                <w:rFonts w:ascii="Arial" w:cs="Arial" w:eastAsia="Arial" w:hAnsi="Arial"/>
                <w:sz w:val="7"/>
                <w:szCs w:val="7"/>
                <w:color w:val="auto"/>
              </w:rPr>
              <w:t xml:space="preserve"> (1)(2)</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2.3%</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2.5%</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2.1%</w:t>
            </w:r>
          </w:p>
        </w:tc>
        <w:tc>
          <w:tcPr>
            <w:tcW w:w="66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2.5%</w:t>
            </w:r>
          </w:p>
        </w:tc>
        <w:tc>
          <w:tcPr>
            <w:tcW w:w="1120" w:type="dxa"/>
            <w:vAlign w:val="bottom"/>
            <w:tcBorders>
              <w:right w:val="single" w:sz="8" w:color="auto"/>
            </w:tcBorders>
          </w:tcPr>
          <w:p>
            <w:pPr>
              <w:jc w:val="center"/>
              <w:ind w:left="123"/>
              <w:spacing w:after="0" w:line="122" w:lineRule="exact"/>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4"/>
                <w:szCs w:val="14"/>
                <w:color w:val="auto"/>
                <w:vertAlign w:val="subscript"/>
              </w:rPr>
              <w:t>ROAE</w:t>
            </w:r>
            <w:r>
              <w:rPr>
                <w:rFonts w:ascii="Arial" w:cs="Arial" w:eastAsia="Arial" w:hAnsi="Arial"/>
                <w:sz w:val="7"/>
                <w:szCs w:val="7"/>
                <w:color w:val="auto"/>
              </w:rPr>
              <w:t xml:space="preserve"> (1)(2)</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18.8%</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18.6%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15.5%</w:t>
            </w:r>
          </w:p>
        </w:tc>
        <w:tc>
          <w:tcPr>
            <w:tcW w:w="660" w:type="dxa"/>
            <w:vAlign w:val="bottom"/>
          </w:tcPr>
          <w:p>
            <w:pPr>
              <w:jc w:val="center"/>
              <w:ind w:left="123"/>
              <w:spacing w:after="0" w:line="122" w:lineRule="exact"/>
              <w:rPr>
                <w:sz w:val="20"/>
                <w:szCs w:val="20"/>
                <w:color w:val="auto"/>
              </w:rPr>
            </w:pPr>
            <w:r>
              <w:rPr>
                <w:rFonts w:ascii="Arial" w:cs="Arial" w:eastAsia="Arial" w:hAnsi="Arial"/>
                <w:sz w:val="11"/>
                <w:szCs w:val="11"/>
                <w:color w:val="auto"/>
              </w:rPr>
              <w:t>21.3%</w:t>
            </w:r>
          </w:p>
        </w:tc>
        <w:tc>
          <w:tcPr>
            <w:tcW w:w="1120" w:type="dxa"/>
            <w:vAlign w:val="bottom"/>
            <w:tcBorders>
              <w:right w:val="single" w:sz="8" w:color="auto"/>
            </w:tcBorders>
          </w:tcPr>
          <w:p>
            <w:pPr>
              <w:jc w:val="center"/>
              <w:ind w:left="103"/>
              <w:spacing w:after="0" w:line="122" w:lineRule="exact"/>
              <w:rPr>
                <w:sz w:val="20"/>
                <w:szCs w:val="20"/>
                <w:color w:val="auto"/>
              </w:rPr>
            </w:pPr>
            <w:r>
              <w:rPr>
                <w:rFonts w:ascii="Arial" w:cs="Arial" w:eastAsia="Arial" w:hAnsi="Arial"/>
                <w:sz w:val="11"/>
                <w:szCs w:val="11"/>
                <w:color w:val="auto"/>
              </w:rPr>
              <w:t>19.0%</w:t>
            </w: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9"/>
                <w:szCs w:val="9"/>
                <w:color w:val="auto"/>
              </w:rPr>
              <w:t xml:space="preserve">Net interest margin </w:t>
            </w:r>
            <w:r>
              <w:rPr>
                <w:rFonts w:ascii="Arial" w:cs="Arial" w:eastAsia="Arial" w:hAnsi="Arial"/>
                <w:sz w:val="14"/>
                <w:szCs w:val="14"/>
                <w:color w:val="auto"/>
                <w:vertAlign w:val="superscript"/>
              </w:rPr>
              <w:t>(1)(2)</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5.4%</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5.8%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6.0%</w:t>
            </w:r>
          </w:p>
        </w:tc>
        <w:tc>
          <w:tcPr>
            <w:tcW w:w="66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4.6%</w:t>
            </w:r>
          </w:p>
        </w:tc>
        <w:tc>
          <w:tcPr>
            <w:tcW w:w="1120" w:type="dxa"/>
            <w:vAlign w:val="bottom"/>
            <w:tcBorders>
              <w:right w:val="single" w:sz="8" w:color="auto"/>
            </w:tcBorders>
          </w:tcPr>
          <w:p>
            <w:pPr>
              <w:jc w:val="center"/>
              <w:ind w:left="123"/>
              <w:spacing w:after="0" w:line="122" w:lineRule="exact"/>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9"/>
                <w:szCs w:val="9"/>
                <w:color w:val="auto"/>
              </w:rPr>
              <w:t xml:space="preserve">Risk adjusted NIM </w:t>
            </w:r>
            <w:r>
              <w:rPr>
                <w:rFonts w:ascii="Arial" w:cs="Arial" w:eastAsia="Arial" w:hAnsi="Arial"/>
                <w:sz w:val="14"/>
                <w:szCs w:val="14"/>
                <w:color w:val="auto"/>
                <w:vertAlign w:val="superscript"/>
              </w:rPr>
              <w:t>(1)(2)</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4.2%</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4.2%</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4.0%</w:t>
            </w:r>
          </w:p>
        </w:tc>
        <w:tc>
          <w:tcPr>
            <w:tcW w:w="66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3.9%</w:t>
            </w:r>
          </w:p>
        </w:tc>
        <w:tc>
          <w:tcPr>
            <w:tcW w:w="1120" w:type="dxa"/>
            <w:vAlign w:val="bottom"/>
            <w:tcBorders>
              <w:right w:val="single" w:sz="8" w:color="auto"/>
            </w:tcBorders>
          </w:tcPr>
          <w:p>
            <w:pPr>
              <w:jc w:val="center"/>
              <w:ind w:left="123"/>
              <w:spacing w:after="0" w:line="122" w:lineRule="exact"/>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249"/>
        </w:trPr>
        <w:tc>
          <w:tcPr>
            <w:tcW w:w="4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 xml:space="preserve">Funding Cost </w:t>
            </w:r>
            <w:r>
              <w:rPr>
                <w:rFonts w:ascii="Arial" w:cs="Arial" w:eastAsia="Arial" w:hAnsi="Arial"/>
                <w:sz w:val="18"/>
                <w:szCs w:val="18"/>
                <w:color w:val="auto"/>
                <w:vertAlign w:val="superscript"/>
              </w:rPr>
              <w:t>(1)(2)(3)</w:t>
            </w:r>
          </w:p>
        </w:tc>
        <w:tc>
          <w:tcPr>
            <w:tcW w:w="860" w:type="dxa"/>
            <w:vAlign w:val="bottom"/>
          </w:tcPr>
          <w:p>
            <w:pPr>
              <w:jc w:val="center"/>
              <w:spacing w:after="0"/>
              <w:rPr>
                <w:sz w:val="20"/>
                <w:szCs w:val="20"/>
                <w:color w:val="auto"/>
              </w:rPr>
            </w:pPr>
            <w:r>
              <w:rPr>
                <w:rFonts w:ascii="Arial" w:cs="Arial" w:eastAsia="Arial" w:hAnsi="Arial"/>
                <w:sz w:val="11"/>
                <w:szCs w:val="11"/>
                <w:color w:val="auto"/>
              </w:rPr>
              <w:t>1.9%</w:t>
            </w:r>
          </w:p>
        </w:tc>
        <w:tc>
          <w:tcPr>
            <w:tcW w:w="920" w:type="dxa"/>
            <w:vAlign w:val="bottom"/>
          </w:tcPr>
          <w:p>
            <w:pPr>
              <w:jc w:val="center"/>
              <w:spacing w:after="0"/>
              <w:rPr>
                <w:sz w:val="20"/>
                <w:szCs w:val="20"/>
                <w:color w:val="auto"/>
              </w:rPr>
            </w:pPr>
            <w:r>
              <w:rPr>
                <w:rFonts w:ascii="Arial" w:cs="Arial" w:eastAsia="Arial" w:hAnsi="Arial"/>
                <w:sz w:val="11"/>
                <w:szCs w:val="11"/>
                <w:color w:val="auto"/>
              </w:rPr>
              <w:t>2.7%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2.5%</w:t>
            </w:r>
          </w:p>
        </w:tc>
        <w:tc>
          <w:tcPr>
            <w:tcW w:w="660" w:type="dxa"/>
            <w:vAlign w:val="bottom"/>
          </w:tcPr>
          <w:p>
            <w:pPr>
              <w:jc w:val="center"/>
              <w:ind w:left="143"/>
              <w:spacing w:after="0"/>
              <w:rPr>
                <w:sz w:val="20"/>
                <w:szCs w:val="20"/>
                <w:color w:val="auto"/>
              </w:rPr>
            </w:pPr>
            <w:r>
              <w:rPr>
                <w:rFonts w:ascii="Arial" w:cs="Arial" w:eastAsia="Arial" w:hAnsi="Arial"/>
                <w:sz w:val="11"/>
                <w:szCs w:val="11"/>
                <w:color w:val="auto"/>
              </w:rPr>
              <w:t>1.5%</w:t>
            </w:r>
          </w:p>
        </w:tc>
        <w:tc>
          <w:tcPr>
            <w:tcW w:w="1120" w:type="dxa"/>
            <w:vAlign w:val="bottom"/>
            <w:tcBorders>
              <w:right w:val="single" w:sz="8" w:color="auto"/>
            </w:tcBorders>
          </w:tcPr>
          <w:p>
            <w:pPr>
              <w:jc w:val="center"/>
              <w:ind w:left="123"/>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b w:val="1"/>
                <w:bCs w:val="1"/>
                <w:color w:val="auto"/>
              </w:rPr>
              <w:t>Quality of loan portfolio</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IOL ratio</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3.9%</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4.4%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4.2%</w:t>
            </w:r>
          </w:p>
        </w:tc>
        <w:tc>
          <w:tcPr>
            <w:tcW w:w="66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3.9%</w:t>
            </w:r>
          </w:p>
        </w:tc>
        <w:tc>
          <w:tcPr>
            <w:tcW w:w="1120" w:type="dxa"/>
            <w:vAlign w:val="bottom"/>
            <w:tcBorders>
              <w:right w:val="single" w:sz="8" w:color="auto"/>
            </w:tcBorders>
          </w:tcPr>
          <w:p>
            <w:pPr>
              <w:jc w:val="center"/>
              <w:ind w:left="123"/>
              <w:spacing w:after="0" w:line="122" w:lineRule="exact"/>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NPL ratio</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5.5%</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6.1%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6.0%</w:t>
            </w:r>
          </w:p>
        </w:tc>
        <w:tc>
          <w:tcPr>
            <w:tcW w:w="66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5.5%</w:t>
            </w:r>
          </w:p>
        </w:tc>
        <w:tc>
          <w:tcPr>
            <w:tcW w:w="1120" w:type="dxa"/>
            <w:vAlign w:val="bottom"/>
            <w:tcBorders>
              <w:right w:val="single" w:sz="8" w:color="auto"/>
            </w:tcBorders>
          </w:tcPr>
          <w:p>
            <w:pPr>
              <w:jc w:val="center"/>
              <w:ind w:left="123"/>
              <w:spacing w:after="0" w:line="122" w:lineRule="exact"/>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Coverage of IOLs</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131.6%</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124.9%</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135.8%</w:t>
            </w:r>
          </w:p>
        </w:tc>
        <w:tc>
          <w:tcPr>
            <w:tcW w:w="660" w:type="dxa"/>
            <w:vAlign w:val="bottom"/>
          </w:tcPr>
          <w:p>
            <w:pPr>
              <w:jc w:val="center"/>
              <w:ind w:left="123"/>
              <w:spacing w:after="0" w:line="122" w:lineRule="exact"/>
              <w:rPr>
                <w:sz w:val="20"/>
                <w:szCs w:val="20"/>
                <w:color w:val="auto"/>
              </w:rPr>
            </w:pPr>
            <w:r>
              <w:rPr>
                <w:rFonts w:ascii="Arial" w:cs="Arial" w:eastAsia="Arial" w:hAnsi="Arial"/>
                <w:sz w:val="11"/>
                <w:szCs w:val="11"/>
                <w:color w:val="auto"/>
              </w:rPr>
              <w:t>131.6%</w:t>
            </w:r>
          </w:p>
        </w:tc>
        <w:tc>
          <w:tcPr>
            <w:tcW w:w="1120" w:type="dxa"/>
            <w:vAlign w:val="bottom"/>
            <w:tcBorders>
              <w:right w:val="single" w:sz="8" w:color="auto"/>
            </w:tcBorders>
          </w:tcPr>
          <w:p>
            <w:pPr>
              <w:jc w:val="center"/>
              <w:ind w:left="123"/>
              <w:spacing w:after="0" w:line="122" w:lineRule="exact"/>
              <w:rPr>
                <w:sz w:val="20"/>
                <w:szCs w:val="20"/>
                <w:color w:val="auto"/>
              </w:rPr>
            </w:pPr>
            <w:r>
              <w:rPr>
                <w:rFonts w:ascii="Arial" w:cs="Arial" w:eastAsia="Arial" w:hAnsi="Arial"/>
                <w:sz w:val="11"/>
                <w:szCs w:val="11"/>
                <w:color w:val="auto"/>
              </w:rPr>
              <w:t>135.8%</w:t>
            </w:r>
          </w:p>
        </w:tc>
        <w:tc>
          <w:tcPr>
            <w:tcW w:w="0" w:type="dxa"/>
            <w:vAlign w:val="bottom"/>
          </w:tcPr>
          <w:p>
            <w:pPr>
              <w:spacing w:after="0"/>
              <w:rPr>
                <w:sz w:val="1"/>
                <w:szCs w:val="1"/>
                <w:color w:val="auto"/>
              </w:rPr>
            </w:pPr>
          </w:p>
        </w:tc>
      </w:tr>
      <w:tr>
        <w:trPr>
          <w:trHeight w:val="117"/>
        </w:trPr>
        <w:tc>
          <w:tcPr>
            <w:tcW w:w="4520" w:type="dxa"/>
            <w:vAlign w:val="bottom"/>
            <w:tcBorders>
              <w:left w:val="single" w:sz="8" w:color="auto"/>
              <w:right w:val="single" w:sz="8" w:color="auto"/>
            </w:tcBorders>
          </w:tcPr>
          <w:p>
            <w:pPr>
              <w:ind w:left="80"/>
              <w:spacing w:after="0" w:line="117" w:lineRule="exact"/>
              <w:rPr>
                <w:sz w:val="20"/>
                <w:szCs w:val="20"/>
                <w:color w:val="auto"/>
              </w:rPr>
            </w:pPr>
            <w:r>
              <w:rPr>
                <w:rFonts w:ascii="Arial" w:cs="Arial" w:eastAsia="Arial" w:hAnsi="Arial"/>
                <w:sz w:val="11"/>
                <w:szCs w:val="11"/>
                <w:color w:val="auto"/>
              </w:rPr>
              <w:t>Coverage of NPLs</w:t>
            </w:r>
          </w:p>
        </w:tc>
        <w:tc>
          <w:tcPr>
            <w:tcW w:w="860" w:type="dxa"/>
            <w:vAlign w:val="bottom"/>
          </w:tcPr>
          <w:p>
            <w:pPr>
              <w:jc w:val="center"/>
              <w:spacing w:after="0" w:line="117" w:lineRule="exact"/>
              <w:rPr>
                <w:sz w:val="20"/>
                <w:szCs w:val="20"/>
                <w:color w:val="auto"/>
              </w:rPr>
            </w:pPr>
            <w:r>
              <w:rPr>
                <w:rFonts w:ascii="Arial" w:cs="Arial" w:eastAsia="Arial" w:hAnsi="Arial"/>
                <w:sz w:val="11"/>
                <w:szCs w:val="11"/>
                <w:color w:val="auto"/>
              </w:rPr>
              <w:t>93.5%</w:t>
            </w:r>
          </w:p>
        </w:tc>
        <w:tc>
          <w:tcPr>
            <w:tcW w:w="920" w:type="dxa"/>
            <w:vAlign w:val="bottom"/>
          </w:tcPr>
          <w:p>
            <w:pPr>
              <w:jc w:val="center"/>
              <w:spacing w:after="0" w:line="117" w:lineRule="exact"/>
              <w:rPr>
                <w:sz w:val="20"/>
                <w:szCs w:val="20"/>
                <w:color w:val="auto"/>
              </w:rPr>
            </w:pPr>
            <w:r>
              <w:rPr>
                <w:rFonts w:ascii="Arial" w:cs="Arial" w:eastAsia="Arial" w:hAnsi="Arial"/>
                <w:sz w:val="11"/>
                <w:szCs w:val="11"/>
                <w:color w:val="auto"/>
              </w:rPr>
              <w:t>89.3%</w:t>
            </w:r>
          </w:p>
        </w:tc>
        <w:tc>
          <w:tcPr>
            <w:tcW w:w="9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color w:val="auto"/>
              </w:rPr>
              <w:t>93.8%</w:t>
            </w:r>
          </w:p>
        </w:tc>
        <w:tc>
          <w:tcPr>
            <w:tcW w:w="660" w:type="dxa"/>
            <w:vAlign w:val="bottom"/>
          </w:tcPr>
          <w:p>
            <w:pPr>
              <w:jc w:val="center"/>
              <w:ind w:left="123"/>
              <w:spacing w:after="0" w:line="117" w:lineRule="exact"/>
              <w:rPr>
                <w:sz w:val="20"/>
                <w:szCs w:val="20"/>
                <w:color w:val="auto"/>
              </w:rPr>
            </w:pPr>
            <w:r>
              <w:rPr>
                <w:rFonts w:ascii="Arial" w:cs="Arial" w:eastAsia="Arial" w:hAnsi="Arial"/>
                <w:sz w:val="11"/>
                <w:szCs w:val="11"/>
                <w:color w:val="auto"/>
              </w:rPr>
              <w:t>93.5%</w:t>
            </w:r>
          </w:p>
        </w:tc>
        <w:tc>
          <w:tcPr>
            <w:tcW w:w="1120" w:type="dxa"/>
            <w:vAlign w:val="bottom"/>
            <w:tcBorders>
              <w:right w:val="single" w:sz="8" w:color="auto"/>
            </w:tcBorders>
          </w:tcPr>
          <w:p>
            <w:pPr>
              <w:jc w:val="center"/>
              <w:ind w:left="103"/>
              <w:spacing w:after="0" w:line="117" w:lineRule="exact"/>
              <w:rPr>
                <w:sz w:val="20"/>
                <w:szCs w:val="20"/>
                <w:color w:val="auto"/>
              </w:rPr>
            </w:pPr>
            <w:r>
              <w:rPr>
                <w:rFonts w:ascii="Arial" w:cs="Arial" w:eastAsia="Arial" w:hAnsi="Arial"/>
                <w:sz w:val="11"/>
                <w:szCs w:val="11"/>
                <w:color w:val="auto"/>
              </w:rPr>
              <w:t>93.8%</w:t>
            </w:r>
          </w:p>
        </w:tc>
        <w:tc>
          <w:tcPr>
            <w:tcW w:w="0" w:type="dxa"/>
            <w:vAlign w:val="bottom"/>
          </w:tcPr>
          <w:p>
            <w:pPr>
              <w:spacing w:after="0"/>
              <w:rPr>
                <w:sz w:val="1"/>
                <w:szCs w:val="1"/>
                <w:color w:val="auto"/>
              </w:rPr>
            </w:pPr>
          </w:p>
        </w:tc>
      </w:tr>
      <w:tr>
        <w:trPr>
          <w:trHeight w:val="249"/>
        </w:trPr>
        <w:tc>
          <w:tcPr>
            <w:tcW w:w="4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 xml:space="preserve">Cost of risk </w:t>
            </w:r>
            <w:r>
              <w:rPr>
                <w:rFonts w:ascii="Arial" w:cs="Arial" w:eastAsia="Arial" w:hAnsi="Arial"/>
                <w:sz w:val="18"/>
                <w:szCs w:val="18"/>
                <w:color w:val="auto"/>
                <w:vertAlign w:val="superscript"/>
              </w:rPr>
              <w:t>(4)</w:t>
            </w:r>
          </w:p>
        </w:tc>
        <w:tc>
          <w:tcPr>
            <w:tcW w:w="860" w:type="dxa"/>
            <w:vAlign w:val="bottom"/>
          </w:tcPr>
          <w:p>
            <w:pPr>
              <w:jc w:val="center"/>
              <w:spacing w:after="0"/>
              <w:rPr>
                <w:sz w:val="20"/>
                <w:szCs w:val="20"/>
                <w:color w:val="auto"/>
              </w:rPr>
            </w:pPr>
            <w:r>
              <w:rPr>
                <w:rFonts w:ascii="Arial" w:cs="Arial" w:eastAsia="Arial" w:hAnsi="Arial"/>
                <w:sz w:val="11"/>
                <w:szCs w:val="11"/>
                <w:color w:val="auto"/>
              </w:rPr>
              <w:t>1.7%</w:t>
            </w:r>
          </w:p>
        </w:tc>
        <w:tc>
          <w:tcPr>
            <w:tcW w:w="920" w:type="dxa"/>
            <w:vAlign w:val="bottom"/>
          </w:tcPr>
          <w:p>
            <w:pPr>
              <w:jc w:val="center"/>
              <w:spacing w:after="0"/>
              <w:rPr>
                <w:sz w:val="20"/>
                <w:szCs w:val="20"/>
                <w:color w:val="auto"/>
              </w:rPr>
            </w:pPr>
            <w:r>
              <w:rPr>
                <w:rFonts w:ascii="Arial" w:cs="Arial" w:eastAsia="Arial" w:hAnsi="Arial"/>
                <w:sz w:val="11"/>
                <w:szCs w:val="11"/>
                <w:color w:val="auto"/>
              </w:rPr>
              <w:t>2.3%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2.9%</w:t>
            </w:r>
          </w:p>
        </w:tc>
        <w:tc>
          <w:tcPr>
            <w:tcW w:w="660" w:type="dxa"/>
            <w:vAlign w:val="bottom"/>
          </w:tcPr>
          <w:p>
            <w:pPr>
              <w:jc w:val="center"/>
              <w:ind w:left="143"/>
              <w:spacing w:after="0"/>
              <w:rPr>
                <w:sz w:val="20"/>
                <w:szCs w:val="20"/>
                <w:color w:val="auto"/>
              </w:rPr>
            </w:pPr>
            <w:r>
              <w:rPr>
                <w:rFonts w:ascii="Arial" w:cs="Arial" w:eastAsia="Arial" w:hAnsi="Arial"/>
                <w:sz w:val="11"/>
                <w:szCs w:val="11"/>
                <w:color w:val="auto"/>
              </w:rPr>
              <w:t>1.0%</w:t>
            </w:r>
          </w:p>
        </w:tc>
        <w:tc>
          <w:tcPr>
            <w:tcW w:w="1120" w:type="dxa"/>
            <w:vAlign w:val="bottom"/>
            <w:tcBorders>
              <w:right w:val="single" w:sz="8" w:color="auto"/>
            </w:tcBorders>
          </w:tcPr>
          <w:p>
            <w:pPr>
              <w:jc w:val="center"/>
              <w:ind w:left="123"/>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17"/>
        </w:trPr>
        <w:tc>
          <w:tcPr>
            <w:tcW w:w="4520" w:type="dxa"/>
            <w:vAlign w:val="bottom"/>
            <w:tcBorders>
              <w:left w:val="single" w:sz="8" w:color="auto"/>
              <w:right w:val="single" w:sz="8" w:color="auto"/>
            </w:tcBorders>
          </w:tcPr>
          <w:p>
            <w:pPr>
              <w:ind w:left="80"/>
              <w:spacing w:after="0" w:line="117" w:lineRule="exact"/>
              <w:rPr>
                <w:sz w:val="20"/>
                <w:szCs w:val="20"/>
                <w:color w:val="auto"/>
              </w:rPr>
            </w:pPr>
            <w:r>
              <w:rPr>
                <w:rFonts w:ascii="Arial" w:cs="Arial" w:eastAsia="Arial" w:hAnsi="Arial"/>
                <w:sz w:val="11"/>
                <w:szCs w:val="11"/>
                <w:b w:val="1"/>
                <w:bCs w:val="1"/>
                <w:color w:val="auto"/>
              </w:rPr>
              <w:t>Operating efficiency</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20" w:type="dxa"/>
            <w:vAlign w:val="bottom"/>
            <w:tcBorders>
              <w:left w:val="single" w:sz="8" w:color="auto"/>
              <w:right w:val="single" w:sz="8" w:color="auto"/>
            </w:tcBorders>
          </w:tcPr>
          <w:p>
            <w:pPr>
              <w:ind w:left="80"/>
              <w:spacing w:after="0" w:line="122" w:lineRule="exact"/>
              <w:rPr>
                <w:sz w:val="20"/>
                <w:szCs w:val="20"/>
                <w:color w:val="auto"/>
              </w:rPr>
            </w:pPr>
            <w:r>
              <w:rPr>
                <w:rFonts w:ascii="Arial" w:cs="Arial" w:eastAsia="Arial" w:hAnsi="Arial"/>
                <w:sz w:val="9"/>
                <w:szCs w:val="9"/>
                <w:color w:val="auto"/>
              </w:rPr>
              <w:t xml:space="preserve">Oper. expenses as a percent. of total income - reported </w:t>
            </w:r>
            <w:r>
              <w:rPr>
                <w:rFonts w:ascii="Arial" w:cs="Arial" w:eastAsia="Arial" w:hAnsi="Arial"/>
                <w:sz w:val="14"/>
                <w:szCs w:val="14"/>
                <w:color w:val="auto"/>
                <w:vertAlign w:val="superscript"/>
              </w:rPr>
              <w:t>(5)</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41.9%</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rPr>
              <w:t>39.2%</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41.8%</w:t>
            </w:r>
          </w:p>
        </w:tc>
        <w:tc>
          <w:tcPr>
            <w:tcW w:w="660" w:type="dxa"/>
            <w:vAlign w:val="bottom"/>
          </w:tcPr>
          <w:p>
            <w:pPr>
              <w:jc w:val="center"/>
              <w:ind w:left="123"/>
              <w:spacing w:after="0" w:line="122" w:lineRule="exact"/>
              <w:rPr>
                <w:sz w:val="20"/>
                <w:szCs w:val="20"/>
                <w:color w:val="auto"/>
              </w:rPr>
            </w:pPr>
            <w:r>
              <w:rPr>
                <w:rFonts w:ascii="Arial" w:cs="Arial" w:eastAsia="Arial" w:hAnsi="Arial"/>
                <w:sz w:val="11"/>
                <w:szCs w:val="11"/>
                <w:color w:val="auto"/>
              </w:rPr>
              <w:t>40.8%</w:t>
            </w:r>
          </w:p>
        </w:tc>
        <w:tc>
          <w:tcPr>
            <w:tcW w:w="1120" w:type="dxa"/>
            <w:vAlign w:val="bottom"/>
            <w:tcBorders>
              <w:right w:val="single" w:sz="8" w:color="auto"/>
            </w:tcBorders>
          </w:tcPr>
          <w:p>
            <w:pPr>
              <w:jc w:val="center"/>
              <w:ind w:left="103"/>
              <w:spacing w:after="0" w:line="122" w:lineRule="exact"/>
              <w:rPr>
                <w:sz w:val="20"/>
                <w:szCs w:val="20"/>
                <w:color w:val="auto"/>
              </w:rPr>
            </w:pPr>
            <w:r>
              <w:rPr>
                <w:rFonts w:ascii="Arial" w:cs="Arial" w:eastAsia="Arial" w:hAnsi="Arial"/>
                <w:sz w:val="11"/>
                <w:szCs w:val="11"/>
                <w:color w:val="auto"/>
              </w:rPr>
              <w:t>38.8%</w:t>
            </w:r>
          </w:p>
        </w:tc>
        <w:tc>
          <w:tcPr>
            <w:tcW w:w="0" w:type="dxa"/>
            <w:vAlign w:val="bottom"/>
          </w:tcPr>
          <w:p>
            <w:pPr>
              <w:spacing w:after="0"/>
              <w:rPr>
                <w:sz w:val="1"/>
                <w:szCs w:val="1"/>
                <w:color w:val="auto"/>
              </w:rPr>
            </w:pPr>
          </w:p>
        </w:tc>
      </w:tr>
      <w:tr>
        <w:trPr>
          <w:trHeight w:val="142"/>
        </w:trPr>
        <w:tc>
          <w:tcPr>
            <w:tcW w:w="4520" w:type="dxa"/>
            <w:vAlign w:val="bottom"/>
            <w:tcBorders>
              <w:left w:val="single" w:sz="8" w:color="auto"/>
              <w:bottom w:val="single" w:sz="8" w:color="auto"/>
              <w:right w:val="single" w:sz="8" w:color="auto"/>
            </w:tcBorders>
          </w:tcPr>
          <w:p>
            <w:pPr>
              <w:ind w:left="80"/>
              <w:spacing w:after="0" w:line="142" w:lineRule="exact"/>
              <w:rPr>
                <w:sz w:val="20"/>
                <w:szCs w:val="20"/>
                <w:color w:val="auto"/>
              </w:rPr>
            </w:pPr>
            <w:r>
              <w:rPr>
                <w:rFonts w:ascii="Arial" w:cs="Arial" w:eastAsia="Arial" w:hAnsi="Arial"/>
                <w:sz w:val="10"/>
                <w:szCs w:val="10"/>
                <w:color w:val="auto"/>
              </w:rPr>
              <w:t xml:space="preserve">Oper. expenses as a percent. of av. tot. assets </w:t>
            </w:r>
            <w:r>
              <w:rPr>
                <w:rFonts w:ascii="Arial" w:cs="Arial" w:eastAsia="Arial" w:hAnsi="Arial"/>
                <w:sz w:val="16"/>
                <w:szCs w:val="16"/>
                <w:color w:val="auto"/>
                <w:vertAlign w:val="superscript"/>
              </w:rPr>
              <w:t>(1)(2)(5)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3.3%</w:t>
            </w:r>
          </w:p>
        </w:tc>
        <w:tc>
          <w:tcPr>
            <w:tcW w:w="660" w:type="dxa"/>
            <w:vAlign w:val="bottom"/>
            <w:tcBorders>
              <w:bottom w:val="single" w:sz="8" w:color="auto"/>
            </w:tcBorders>
          </w:tcPr>
          <w:p>
            <w:pPr>
              <w:jc w:val="center"/>
              <w:ind w:left="143"/>
              <w:spacing w:after="0"/>
              <w:rPr>
                <w:sz w:val="20"/>
                <w:szCs w:val="20"/>
                <w:color w:val="auto"/>
              </w:rPr>
            </w:pPr>
            <w:r>
              <w:rPr>
                <w:rFonts w:ascii="Arial" w:cs="Arial" w:eastAsia="Arial" w:hAnsi="Arial"/>
                <w:sz w:val="11"/>
                <w:szCs w:val="11"/>
                <w:color w:val="auto"/>
              </w:rPr>
              <w:t>2.7%</w:t>
            </w:r>
          </w:p>
        </w:tc>
        <w:tc>
          <w:tcPr>
            <w:tcW w:w="1120" w:type="dxa"/>
            <w:vAlign w:val="bottom"/>
            <w:tcBorders>
              <w:bottom w:val="single" w:sz="8" w:color="auto"/>
              <w:right w:val="single" w:sz="8" w:color="auto"/>
            </w:tcBorders>
          </w:tcPr>
          <w:p>
            <w:pPr>
              <w:jc w:val="center"/>
              <w:ind w:left="123"/>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300" w:hanging="175"/>
        <w:spacing w:after="0"/>
        <w:tabs>
          <w:tab w:leader="none" w:pos="1300" w:val="left"/>
        </w:tabs>
        <w:numPr>
          <w:ilvl w:val="0"/>
          <w:numId w:val="60"/>
        </w:numPr>
        <w:rPr>
          <w:rFonts w:ascii="Arial" w:cs="Arial" w:eastAsia="Arial" w:hAnsi="Arial"/>
          <w:sz w:val="11"/>
          <w:szCs w:val="11"/>
          <w:color w:val="auto"/>
        </w:rPr>
      </w:pPr>
      <w:r>
        <w:rPr>
          <w:rFonts w:ascii="Arial" w:cs="Arial" w:eastAsia="Arial" w:hAnsi="Arial"/>
          <w:sz w:val="11"/>
          <w:szCs w:val="11"/>
          <w:color w:val="auto"/>
        </w:rPr>
        <w:t>Ratios are annualized.</w:t>
      </w:r>
    </w:p>
    <w:p>
      <w:pPr>
        <w:spacing w:after="0" w:line="5" w:lineRule="exact"/>
        <w:rPr>
          <w:rFonts w:ascii="Arial" w:cs="Arial" w:eastAsia="Arial" w:hAnsi="Arial"/>
          <w:sz w:val="11"/>
          <w:szCs w:val="11"/>
          <w:color w:val="auto"/>
        </w:rPr>
      </w:pPr>
    </w:p>
    <w:p>
      <w:pPr>
        <w:ind w:left="1300" w:hanging="175"/>
        <w:spacing w:after="0" w:line="231" w:lineRule="auto"/>
        <w:tabs>
          <w:tab w:leader="none" w:pos="1300" w:val="left"/>
        </w:tabs>
        <w:numPr>
          <w:ilvl w:val="0"/>
          <w:numId w:val="60"/>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ind w:left="1120" w:right="1140" w:firstLine="5"/>
        <w:spacing w:after="0" w:line="231" w:lineRule="auto"/>
        <w:tabs>
          <w:tab w:leader="none" w:pos="1289"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1300" w:hanging="175"/>
        <w:spacing w:after="0" w:line="231" w:lineRule="auto"/>
        <w:tabs>
          <w:tab w:leader="none" w:pos="1300" w:val="left"/>
        </w:tabs>
        <w:numPr>
          <w:ilvl w:val="0"/>
          <w:numId w:val="60"/>
        </w:numPr>
        <w:rPr>
          <w:rFonts w:ascii="Arial" w:cs="Arial" w:eastAsia="Arial" w:hAnsi="Arial"/>
          <w:sz w:val="11"/>
          <w:szCs w:val="11"/>
          <w:color w:val="auto"/>
        </w:rPr>
      </w:pPr>
      <w:r>
        <w:rPr>
          <w:rFonts w:ascii="Arial" w:cs="Arial" w:eastAsia="Arial" w:hAnsi="Arial"/>
          <w:sz w:val="11"/>
          <w:szCs w:val="11"/>
          <w:color w:val="auto"/>
        </w:rPr>
        <w:t>Cost of risk: Annualized provision for loan losses / Total loans.</w:t>
      </w:r>
    </w:p>
    <w:p>
      <w:pPr>
        <w:ind w:left="1320" w:hanging="195"/>
        <w:spacing w:after="0"/>
        <w:tabs>
          <w:tab w:leader="none" w:pos="1320" w:val="left"/>
        </w:tabs>
        <w:numPr>
          <w:ilvl w:val="0"/>
          <w:numId w:val="60"/>
        </w:numPr>
        <w:rPr>
          <w:rFonts w:ascii="Arial" w:cs="Arial" w:eastAsia="Arial" w:hAnsi="Arial"/>
          <w:sz w:val="11"/>
          <w:szCs w:val="11"/>
          <w:color w:val="auto"/>
        </w:rPr>
      </w:pPr>
      <w:r>
        <w:rPr>
          <w:rFonts w:ascii="Arial" w:cs="Arial" w:eastAsia="Arial" w:hAnsi="Arial"/>
          <w:sz w:val="11"/>
          <w:szCs w:val="11"/>
          <w:color w:val="auto"/>
        </w:rPr>
        <w:t>Total income includes net interest income, fee income, net gain on foreign exchange transactions, result on exchange difference and net gain on derivatives. Operating</w:t>
      </w:r>
    </w:p>
    <w:p>
      <w:pPr>
        <w:spacing w:after="0" w:line="34"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expenses includes Salaries and social benefits, administrative, general and tax expenses and depreciation and amortization.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558"/>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22" w:right="31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6540" w:type="dxa"/>
            <w:vAlign w:val="bottom"/>
            <w:tcBorders>
              <w:left w:val="single" w:sz="8" w:color="auto"/>
            </w:tcBorders>
            <w:gridSpan w:val="3"/>
            <w:shd w:val="clear" w:color="auto" w:fill="000000"/>
          </w:tcPr>
          <w:p>
            <w:pPr>
              <w:ind w:left="27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820" w:type="dxa"/>
            <w:vAlign w:val="bottom"/>
            <w:shd w:val="clear" w:color="auto" w:fill="000000"/>
          </w:tcPr>
          <w:p>
            <w:pPr>
              <w:spacing w:after="0"/>
              <w:rPr>
                <w:sz w:val="24"/>
                <w:szCs w:val="24"/>
                <w:color w:val="auto"/>
              </w:rPr>
            </w:pPr>
          </w:p>
        </w:tc>
        <w:tc>
          <w:tcPr>
            <w:tcW w:w="3900" w:type="dxa"/>
            <w:vAlign w:val="bottom"/>
            <w:tcBorders>
              <w:right w:val="single" w:sz="8" w:color="auto"/>
            </w:tcBorders>
            <w:gridSpan w:val="3"/>
            <w:shd w:val="clear" w:color="auto" w:fill="000000"/>
          </w:tcPr>
          <w:p>
            <w:pPr>
              <w:ind w:left="160"/>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3780" w:type="dxa"/>
            <w:vAlign w:val="bottom"/>
            <w:tcBorders>
              <w:left w:val="single" w:sz="8" w:color="auto"/>
            </w:tcBorders>
            <w:shd w:val="clear" w:color="auto" w:fill="000000"/>
          </w:tcPr>
          <w:p>
            <w:pPr>
              <w:spacing w:after="0"/>
              <w:rPr>
                <w:sz w:val="17"/>
                <w:szCs w:val="17"/>
                <w:color w:val="auto"/>
              </w:rPr>
            </w:pPr>
          </w:p>
        </w:tc>
        <w:tc>
          <w:tcPr>
            <w:tcW w:w="1300" w:type="dxa"/>
            <w:vAlign w:val="bottom"/>
            <w:tcBorders>
              <w:right w:val="single" w:sz="8" w:color="auto"/>
            </w:tcBorders>
            <w:shd w:val="clear" w:color="auto" w:fill="000000"/>
          </w:tcPr>
          <w:p>
            <w:pPr>
              <w:spacing w:after="0"/>
              <w:rPr>
                <w:sz w:val="17"/>
                <w:szCs w:val="17"/>
                <w:color w:val="auto"/>
              </w:rPr>
            </w:pPr>
          </w:p>
        </w:tc>
        <w:tc>
          <w:tcPr>
            <w:tcW w:w="1460" w:type="dxa"/>
            <w:vAlign w:val="bottom"/>
            <w:shd w:val="clear" w:color="auto" w:fill="000000"/>
          </w:tcPr>
          <w:p>
            <w:pPr>
              <w:spacing w:after="0"/>
              <w:rPr>
                <w:sz w:val="17"/>
                <w:szCs w:val="17"/>
                <w:color w:val="auto"/>
              </w:rPr>
            </w:pPr>
          </w:p>
        </w:tc>
        <w:tc>
          <w:tcPr>
            <w:tcW w:w="820" w:type="dxa"/>
            <w:vAlign w:val="bottom"/>
            <w:shd w:val="clear" w:color="auto" w:fill="000000"/>
          </w:tcPr>
          <w:p>
            <w:pPr>
              <w:spacing w:after="0"/>
              <w:rPr>
                <w:sz w:val="17"/>
                <w:szCs w:val="17"/>
                <w:color w:val="auto"/>
              </w:rPr>
            </w:pPr>
          </w:p>
        </w:tc>
        <w:tc>
          <w:tcPr>
            <w:tcW w:w="1440" w:type="dxa"/>
            <w:vAlign w:val="bottom"/>
            <w:tcBorders>
              <w:right w:val="single" w:sz="8" w:color="auto"/>
            </w:tcBorders>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160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780" w:type="dxa"/>
            <w:vAlign w:val="bottom"/>
            <w:tcBorders>
              <w:left w:val="single" w:sz="8" w:color="E93BAB"/>
            </w:tcBorders>
            <w:shd w:val="clear" w:color="auto" w:fill="E93BAB"/>
          </w:tcPr>
          <w:p>
            <w:pPr>
              <w:ind w:left="40"/>
              <w:spacing w:after="0"/>
              <w:rPr>
                <w:sz w:val="20"/>
                <w:szCs w:val="20"/>
                <w:color w:val="auto"/>
              </w:rPr>
            </w:pPr>
            <w:r>
              <w:rPr>
                <w:rFonts w:ascii="Arial" w:cs="Arial" w:eastAsia="Arial" w:hAnsi="Arial"/>
                <w:sz w:val="18"/>
                <w:szCs w:val="18"/>
                <w:b w:val="1"/>
                <w:bCs w:val="1"/>
                <w:color w:val="FFFFFF"/>
              </w:rPr>
              <w:t>12. Appendix</w:t>
            </w:r>
          </w:p>
        </w:tc>
        <w:tc>
          <w:tcPr>
            <w:tcW w:w="1300" w:type="dxa"/>
            <w:vAlign w:val="bottom"/>
            <w:tcBorders>
              <w:right w:val="single" w:sz="8" w:color="E93BAB"/>
            </w:tcBorders>
            <w:shd w:val="clear" w:color="auto" w:fill="E93BAB"/>
          </w:tcPr>
          <w:p>
            <w:pPr>
              <w:spacing w:after="0"/>
              <w:rPr>
                <w:sz w:val="24"/>
                <w:szCs w:val="24"/>
                <w:color w:val="auto"/>
              </w:rPr>
            </w:pPr>
          </w:p>
        </w:tc>
        <w:tc>
          <w:tcPr>
            <w:tcW w:w="1460" w:type="dxa"/>
            <w:vAlign w:val="bottom"/>
            <w:shd w:val="clear" w:color="auto" w:fill="E93BAB"/>
          </w:tcPr>
          <w:p>
            <w:pPr>
              <w:spacing w:after="0"/>
              <w:rPr>
                <w:sz w:val="24"/>
                <w:szCs w:val="24"/>
                <w:color w:val="auto"/>
              </w:rPr>
            </w:pPr>
          </w:p>
        </w:tc>
        <w:tc>
          <w:tcPr>
            <w:tcW w:w="820" w:type="dxa"/>
            <w:vAlign w:val="bottom"/>
            <w:shd w:val="clear" w:color="auto" w:fill="E93BAB"/>
          </w:tcPr>
          <w:p>
            <w:pPr>
              <w:spacing w:after="0"/>
              <w:rPr>
                <w:sz w:val="24"/>
                <w:szCs w:val="24"/>
                <w:color w:val="auto"/>
              </w:rPr>
            </w:pPr>
          </w:p>
        </w:tc>
        <w:tc>
          <w:tcPr>
            <w:tcW w:w="1440" w:type="dxa"/>
            <w:vAlign w:val="bottom"/>
            <w:tcBorders>
              <w:right w:val="single" w:sz="8" w:color="E93BAB"/>
            </w:tcBorders>
            <w:shd w:val="clear" w:color="auto" w:fill="E93BAB"/>
          </w:tcPr>
          <w:p>
            <w:pPr>
              <w:spacing w:after="0"/>
              <w:rPr>
                <w:sz w:val="24"/>
                <w:szCs w:val="24"/>
                <w:color w:val="auto"/>
              </w:rPr>
            </w:pPr>
          </w:p>
        </w:tc>
        <w:tc>
          <w:tcPr>
            <w:tcW w:w="860" w:type="dxa"/>
            <w:vAlign w:val="bottom"/>
            <w:shd w:val="clear" w:color="auto" w:fill="E93BAB"/>
          </w:tcPr>
          <w:p>
            <w:pPr>
              <w:spacing w:after="0"/>
              <w:rPr>
                <w:sz w:val="24"/>
                <w:szCs w:val="24"/>
                <w:color w:val="auto"/>
              </w:rPr>
            </w:pPr>
          </w:p>
        </w:tc>
        <w:tc>
          <w:tcPr>
            <w:tcW w:w="1600" w:type="dxa"/>
            <w:vAlign w:val="bottom"/>
            <w:tcBorders>
              <w:right w:val="single" w:sz="8" w:color="E93BAB"/>
            </w:tcBorders>
            <w:shd w:val="clear" w:color="auto" w:fill="E93BAB"/>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780" w:type="dxa"/>
            <w:vAlign w:val="bottom"/>
            <w:tcBorders>
              <w:left w:val="single" w:sz="8" w:color="E93BAB"/>
            </w:tcBorders>
            <w:shd w:val="clear" w:color="auto" w:fill="E93BAB"/>
          </w:tcPr>
          <w:p>
            <w:pPr>
              <w:spacing w:after="0"/>
              <w:rPr>
                <w:sz w:val="5"/>
                <w:szCs w:val="5"/>
                <w:color w:val="auto"/>
              </w:rPr>
            </w:pPr>
          </w:p>
        </w:tc>
        <w:tc>
          <w:tcPr>
            <w:tcW w:w="1300" w:type="dxa"/>
            <w:vAlign w:val="bottom"/>
            <w:tcBorders>
              <w:right w:val="single" w:sz="8" w:color="E93BAB"/>
            </w:tcBorders>
            <w:shd w:val="clear" w:color="auto" w:fill="E93BAB"/>
          </w:tcPr>
          <w:p>
            <w:pPr>
              <w:spacing w:after="0"/>
              <w:rPr>
                <w:sz w:val="5"/>
                <w:szCs w:val="5"/>
                <w:color w:val="auto"/>
              </w:rPr>
            </w:pPr>
          </w:p>
        </w:tc>
        <w:tc>
          <w:tcPr>
            <w:tcW w:w="1460" w:type="dxa"/>
            <w:vAlign w:val="bottom"/>
            <w:shd w:val="clear" w:color="auto" w:fill="E93BAB"/>
          </w:tcPr>
          <w:p>
            <w:pPr>
              <w:spacing w:after="0"/>
              <w:rPr>
                <w:sz w:val="5"/>
                <w:szCs w:val="5"/>
                <w:color w:val="auto"/>
              </w:rPr>
            </w:pPr>
          </w:p>
        </w:tc>
        <w:tc>
          <w:tcPr>
            <w:tcW w:w="820" w:type="dxa"/>
            <w:vAlign w:val="bottom"/>
            <w:shd w:val="clear" w:color="auto" w:fill="E93BAB"/>
          </w:tcPr>
          <w:p>
            <w:pPr>
              <w:spacing w:after="0"/>
              <w:rPr>
                <w:sz w:val="5"/>
                <w:szCs w:val="5"/>
                <w:color w:val="auto"/>
              </w:rPr>
            </w:pPr>
          </w:p>
        </w:tc>
        <w:tc>
          <w:tcPr>
            <w:tcW w:w="1440" w:type="dxa"/>
            <w:vAlign w:val="bottom"/>
            <w:tcBorders>
              <w:right w:val="single" w:sz="8" w:color="E93BAB"/>
            </w:tcBorders>
            <w:shd w:val="clear" w:color="auto" w:fill="E93BAB"/>
          </w:tcPr>
          <w:p>
            <w:pPr>
              <w:spacing w:after="0"/>
              <w:rPr>
                <w:sz w:val="5"/>
                <w:szCs w:val="5"/>
                <w:color w:val="auto"/>
              </w:rPr>
            </w:pPr>
          </w:p>
        </w:tc>
        <w:tc>
          <w:tcPr>
            <w:tcW w:w="860" w:type="dxa"/>
            <w:vAlign w:val="bottom"/>
            <w:shd w:val="clear" w:color="auto" w:fill="E93BAB"/>
          </w:tcPr>
          <w:p>
            <w:pPr>
              <w:spacing w:after="0"/>
              <w:rPr>
                <w:sz w:val="5"/>
                <w:szCs w:val="5"/>
                <w:color w:val="auto"/>
              </w:rPr>
            </w:pPr>
          </w:p>
        </w:tc>
        <w:tc>
          <w:tcPr>
            <w:tcW w:w="1600" w:type="dxa"/>
            <w:vAlign w:val="bottom"/>
            <w:tcBorders>
              <w:right w:val="single" w:sz="8" w:color="E93BAB"/>
            </w:tcBorders>
            <w:shd w:val="clear" w:color="auto" w:fill="E93BAB"/>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6"/>
                <w:szCs w:val="16"/>
                <w:b w:val="1"/>
                <w:bCs w:val="1"/>
                <w:color w:val="auto"/>
              </w:rPr>
              <w:t>12.6.5. BCP Bolivia</w:t>
            </w:r>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780" w:type="dxa"/>
            <w:vAlign w:val="bottom"/>
          </w:tcPr>
          <w:p>
            <w:pPr>
              <w:spacing w:after="0"/>
              <w:rPr>
                <w:sz w:val="24"/>
                <w:szCs w:val="24"/>
                <w:color w:val="auto"/>
              </w:rPr>
            </w:pPr>
          </w:p>
        </w:tc>
        <w:tc>
          <w:tcPr>
            <w:tcW w:w="358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rPr>
              <w:t>Statement of Financial Position</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760" w:type="dxa"/>
            <w:vAlign w:val="bottom"/>
            <w:gridSpan w:val="2"/>
          </w:tcPr>
          <w:p>
            <w:pPr>
              <w:jc w:val="center"/>
              <w:ind w:left="839"/>
              <w:spacing w:after="0"/>
              <w:rPr>
                <w:sz w:val="20"/>
                <w:szCs w:val="20"/>
                <w:color w:val="auto"/>
              </w:rPr>
            </w:pPr>
            <w:r>
              <w:rPr>
                <w:rFonts w:ascii="Arial" w:cs="Arial" w:eastAsia="Arial" w:hAnsi="Arial"/>
                <w:sz w:val="16"/>
                <w:szCs w:val="16"/>
                <w:b w:val="1"/>
                <w:bCs w:val="1"/>
                <w:color w:val="auto"/>
              </w:rPr>
              <w:t>(S/ Thousands, IFRS)</w:t>
            </w:r>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78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460" w:type="dxa"/>
            <w:vAlign w:val="bottom"/>
            <w:vMerge w:val="restart"/>
            <w:shd w:val="clear" w:color="auto" w:fill="2AD2C9"/>
          </w:tcPr>
          <w:p>
            <w:pPr>
              <w:ind w:left="420"/>
              <w:spacing w:after="0"/>
              <w:rPr>
                <w:sz w:val="20"/>
                <w:szCs w:val="20"/>
                <w:color w:val="auto"/>
              </w:rPr>
            </w:pPr>
            <w:r>
              <w:rPr>
                <w:rFonts w:ascii="Arial" w:cs="Arial" w:eastAsia="Arial" w:hAnsi="Arial"/>
                <w:sz w:val="11"/>
                <w:szCs w:val="11"/>
                <w:b w:val="1"/>
                <w:bCs w:val="1"/>
                <w:color w:val="FFFFFF"/>
              </w:rPr>
              <w:t>Dec 22</w:t>
            </w:r>
          </w:p>
        </w:tc>
        <w:tc>
          <w:tcPr>
            <w:tcW w:w="820" w:type="dxa"/>
            <w:vAlign w:val="bottom"/>
            <w:shd w:val="clear" w:color="auto" w:fill="2AD2C9"/>
          </w:tcPr>
          <w:p>
            <w:pPr>
              <w:jc w:val="center"/>
              <w:ind w:right="3"/>
              <w:spacing w:after="0" w:line="99" w:lineRule="exact"/>
              <w:rPr>
                <w:sz w:val="20"/>
                <w:szCs w:val="20"/>
                <w:color w:val="auto"/>
              </w:rPr>
            </w:pPr>
            <w:r>
              <w:rPr>
                <w:rFonts w:ascii="Arial" w:cs="Arial" w:eastAsia="Arial" w:hAnsi="Arial"/>
                <w:sz w:val="11"/>
                <w:szCs w:val="11"/>
                <w:b w:val="1"/>
                <w:bCs w:val="1"/>
                <w:color w:val="FFFFFF"/>
              </w:rPr>
              <w:t>As of</w:t>
            </w:r>
          </w:p>
        </w:tc>
        <w:tc>
          <w:tcPr>
            <w:tcW w:w="1440" w:type="dxa"/>
            <w:vAlign w:val="bottom"/>
            <w:tcBorders>
              <w:right w:val="single" w:sz="8" w:color="auto"/>
            </w:tcBorders>
            <w:vMerge w:val="restart"/>
            <w:shd w:val="clear" w:color="auto" w:fill="2AD2C9"/>
          </w:tcPr>
          <w:p>
            <w:pPr>
              <w:ind w:left="620"/>
              <w:spacing w:after="0"/>
              <w:rPr>
                <w:sz w:val="20"/>
                <w:szCs w:val="20"/>
                <w:color w:val="auto"/>
              </w:rPr>
            </w:pPr>
            <w:r>
              <w:rPr>
                <w:rFonts w:ascii="Arial" w:cs="Arial" w:eastAsia="Arial" w:hAnsi="Arial"/>
                <w:sz w:val="11"/>
                <w:szCs w:val="11"/>
                <w:b w:val="1"/>
                <w:bCs w:val="1"/>
                <w:color w:val="FFFFFF"/>
              </w:rPr>
              <w:t>Dec 23</w:t>
            </w:r>
          </w:p>
        </w:tc>
        <w:tc>
          <w:tcPr>
            <w:tcW w:w="860" w:type="dxa"/>
            <w:vAlign w:val="bottom"/>
            <w:vMerge w:val="restart"/>
            <w:shd w:val="clear" w:color="auto" w:fill="2AD2C9"/>
          </w:tcPr>
          <w:p>
            <w:pPr>
              <w:ind w:left="480"/>
              <w:spacing w:after="0"/>
              <w:rPr>
                <w:sz w:val="20"/>
                <w:szCs w:val="20"/>
                <w:color w:val="auto"/>
              </w:rPr>
            </w:pPr>
            <w:r>
              <w:rPr>
                <w:rFonts w:ascii="Arial" w:cs="Arial" w:eastAsia="Arial" w:hAnsi="Arial"/>
                <w:sz w:val="11"/>
                <w:szCs w:val="11"/>
                <w:b w:val="1"/>
                <w:bCs w:val="1"/>
                <w:color w:val="FFFFFF"/>
              </w:rPr>
              <w:t>QoQ</w:t>
            </w:r>
          </w:p>
        </w:tc>
        <w:tc>
          <w:tcPr>
            <w:tcW w:w="1600" w:type="dxa"/>
            <w:vAlign w:val="bottom"/>
            <w:tcBorders>
              <w:right w:val="single" w:sz="8" w:color="auto"/>
            </w:tcBorders>
            <w:shd w:val="clear" w:color="auto" w:fill="2AD2C9"/>
          </w:tcPr>
          <w:p>
            <w:pPr>
              <w:ind w:left="80"/>
              <w:spacing w:after="0" w:line="99" w:lineRule="exact"/>
              <w:rPr>
                <w:sz w:val="20"/>
                <w:szCs w:val="20"/>
                <w:color w:val="auto"/>
              </w:rPr>
            </w:pPr>
            <w:r>
              <w:rPr>
                <w:rFonts w:ascii="Arial" w:cs="Arial" w:eastAsia="Arial" w:hAnsi="Arial"/>
                <w:sz w:val="11"/>
                <w:szCs w:val="11"/>
                <w:b w:val="1"/>
                <w:bCs w:val="1"/>
                <w:color w:val="FFFFFF"/>
              </w:rPr>
              <w:t>% change</w:t>
            </w:r>
          </w:p>
        </w:tc>
        <w:tc>
          <w:tcPr>
            <w:tcW w:w="0" w:type="dxa"/>
            <w:vAlign w:val="bottom"/>
          </w:tcPr>
          <w:p>
            <w:pPr>
              <w:spacing w:after="0"/>
              <w:rPr>
                <w:sz w:val="1"/>
                <w:szCs w:val="1"/>
                <w:color w:val="auto"/>
              </w:rPr>
            </w:pPr>
          </w:p>
        </w:tc>
      </w:tr>
      <w:tr>
        <w:trPr>
          <w:trHeight w:val="137"/>
        </w:trPr>
        <w:tc>
          <w:tcPr>
            <w:tcW w:w="378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tcBorders>
            <w:vMerge w:val="continue"/>
            <w:shd w:val="clear" w:color="auto" w:fill="2AD2C9"/>
          </w:tcPr>
          <w:p>
            <w:pPr>
              <w:spacing w:after="0"/>
              <w:rPr>
                <w:sz w:val="11"/>
                <w:szCs w:val="11"/>
                <w:color w:val="auto"/>
              </w:rPr>
            </w:pPr>
          </w:p>
        </w:tc>
        <w:tc>
          <w:tcPr>
            <w:tcW w:w="820" w:type="dxa"/>
            <w:vAlign w:val="bottom"/>
            <w:tcBorders>
              <w:bottom w:val="single" w:sz="8" w:color="auto"/>
            </w:tcBorders>
            <w:shd w:val="clear" w:color="auto" w:fill="2AD2C9"/>
          </w:tcPr>
          <w:p>
            <w:pPr>
              <w:jc w:val="center"/>
              <w:ind w:right="3"/>
              <w:spacing w:after="0"/>
              <w:rPr>
                <w:sz w:val="20"/>
                <w:szCs w:val="20"/>
                <w:color w:val="auto"/>
              </w:rPr>
            </w:pPr>
            <w:r>
              <w:rPr>
                <w:rFonts w:ascii="Arial" w:cs="Arial" w:eastAsia="Arial" w:hAnsi="Arial"/>
                <w:sz w:val="11"/>
                <w:szCs w:val="11"/>
                <w:b w:val="1"/>
                <w:bCs w:val="1"/>
                <w:color w:val="FFFFFF"/>
              </w:rPr>
              <w:t>Sep 23</w:t>
            </w:r>
          </w:p>
        </w:tc>
        <w:tc>
          <w:tcPr>
            <w:tcW w:w="144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860" w:type="dxa"/>
            <w:vAlign w:val="bottom"/>
            <w:tcBorders>
              <w:bottom w:val="single" w:sz="8" w:color="auto"/>
            </w:tcBorders>
            <w:vMerge w:val="continue"/>
            <w:shd w:val="clear" w:color="auto" w:fill="2AD2C9"/>
          </w:tcPr>
          <w:p>
            <w:pPr>
              <w:spacing w:after="0"/>
              <w:rPr>
                <w:sz w:val="11"/>
                <w:szCs w:val="11"/>
                <w:color w:val="auto"/>
              </w:rPr>
            </w:pPr>
          </w:p>
        </w:tc>
        <w:tc>
          <w:tcPr>
            <w:tcW w:w="1600" w:type="dxa"/>
            <w:vAlign w:val="bottom"/>
            <w:tcBorders>
              <w:bottom w:val="single" w:sz="8" w:color="auto"/>
              <w:right w:val="single" w:sz="8" w:color="auto"/>
            </w:tcBorders>
            <w:shd w:val="clear" w:color="auto" w:fill="2AD2C9"/>
          </w:tcPr>
          <w:p>
            <w:pPr>
              <w:ind w:left="860"/>
              <w:spacing w:after="0"/>
              <w:rPr>
                <w:sz w:val="20"/>
                <w:szCs w:val="20"/>
                <w:color w:val="auto"/>
              </w:rPr>
            </w:pPr>
            <w:r>
              <w:rPr>
                <w:rFonts w:ascii="Arial" w:cs="Arial" w:eastAsia="Arial" w:hAnsi="Arial"/>
                <w:sz w:val="11"/>
                <w:szCs w:val="11"/>
                <w:b w:val="1"/>
                <w:bCs w:val="1"/>
                <w:color w:val="FFFFFF"/>
              </w:rPr>
              <w:t>YoY</w:t>
            </w:r>
          </w:p>
        </w:tc>
        <w:tc>
          <w:tcPr>
            <w:tcW w:w="0" w:type="dxa"/>
            <w:vAlign w:val="bottom"/>
          </w:tcPr>
          <w:p>
            <w:pPr>
              <w:spacing w:after="0"/>
              <w:rPr>
                <w:sz w:val="1"/>
                <w:szCs w:val="1"/>
                <w:color w:val="auto"/>
              </w:rPr>
            </w:pPr>
          </w:p>
        </w:tc>
      </w:tr>
      <w:tr>
        <w:trPr>
          <w:trHeight w:val="99"/>
        </w:trPr>
        <w:tc>
          <w:tcPr>
            <w:tcW w:w="3780" w:type="dxa"/>
            <w:vAlign w:val="bottom"/>
            <w:tcBorders>
              <w:lef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ASSETS</w:t>
            </w:r>
          </w:p>
        </w:tc>
        <w:tc>
          <w:tcPr>
            <w:tcW w:w="1300" w:type="dxa"/>
            <w:vAlign w:val="bottom"/>
            <w:tcBorders>
              <w:right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Cash and due from banks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1,945,704</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2,514,710</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2,552,099</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1.5%</w:t>
            </w:r>
          </w:p>
        </w:tc>
        <w:tc>
          <w:tcPr>
            <w:tcW w:w="1600" w:type="dxa"/>
            <w:vAlign w:val="bottom"/>
            <w:tcBorders>
              <w:right w:val="single" w:sz="8" w:color="auto"/>
            </w:tcBorders>
          </w:tcPr>
          <w:p>
            <w:pPr>
              <w:jc w:val="center"/>
              <w:ind w:left="263"/>
              <w:spacing w:after="0" w:line="122" w:lineRule="exact"/>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Investments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1,526,954</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1,530,566</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1,522,673</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-0.5%</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Total loans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b w:val="1"/>
                <w:bCs w:val="1"/>
                <w:color w:val="auto"/>
              </w:rPr>
              <w:t>9,253,908</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rPr>
              <w:t>9,598,393</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b w:val="1"/>
                <w:bCs w:val="1"/>
                <w:color w:val="auto"/>
              </w:rPr>
              <w:t>9,401,800</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b w:val="1"/>
                <w:bCs w:val="1"/>
                <w:color w:val="auto"/>
              </w:rPr>
              <w:t>-2.0%</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b w:val="1"/>
                <w:bCs w:val="1"/>
                <w:color w:val="auto"/>
              </w:rPr>
              <w:t>1.6%</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260"/>
              <w:spacing w:after="0" w:line="122" w:lineRule="exact"/>
              <w:rPr>
                <w:sz w:val="20"/>
                <w:szCs w:val="20"/>
                <w:color w:val="auto"/>
              </w:rPr>
            </w:pPr>
            <w:r>
              <w:rPr>
                <w:rFonts w:ascii="Arial" w:cs="Arial" w:eastAsia="Arial" w:hAnsi="Arial"/>
                <w:sz w:val="11"/>
                <w:szCs w:val="11"/>
                <w:color w:val="auto"/>
              </w:rPr>
              <w:t>Current</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8,997,604</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9,299,719</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w w:val="97"/>
              </w:rPr>
              <w:t>9,112,231</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-2.0%</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260"/>
              <w:spacing w:after="0" w:line="122" w:lineRule="exact"/>
              <w:rPr>
                <w:sz w:val="20"/>
                <w:szCs w:val="20"/>
                <w:color w:val="auto"/>
              </w:rPr>
            </w:pPr>
            <w:r>
              <w:rPr>
                <w:rFonts w:ascii="Arial" w:cs="Arial" w:eastAsia="Arial" w:hAnsi="Arial"/>
                <w:sz w:val="11"/>
                <w:szCs w:val="11"/>
                <w:color w:val="auto"/>
              </w:rPr>
              <w:t>Internal overdue loans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231,247</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251,779</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240,528</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-4.5%</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260"/>
              <w:spacing w:after="0" w:line="122" w:lineRule="exact"/>
              <w:rPr>
                <w:sz w:val="20"/>
                <w:szCs w:val="20"/>
                <w:color w:val="auto"/>
              </w:rPr>
            </w:pPr>
            <w:r>
              <w:rPr>
                <w:rFonts w:ascii="Arial" w:cs="Arial" w:eastAsia="Arial" w:hAnsi="Arial"/>
                <w:sz w:val="11"/>
                <w:szCs w:val="11"/>
                <w:color w:val="auto"/>
              </w:rPr>
              <w:t>Refinanced</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25,057</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46,895</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49,040</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4.6%</w:t>
            </w:r>
          </w:p>
        </w:tc>
        <w:tc>
          <w:tcPr>
            <w:tcW w:w="1600" w:type="dxa"/>
            <w:vAlign w:val="bottom"/>
            <w:tcBorders>
              <w:right w:val="single" w:sz="8" w:color="auto"/>
            </w:tcBorders>
          </w:tcPr>
          <w:p>
            <w:pPr>
              <w:jc w:val="center"/>
              <w:ind w:left="263"/>
              <w:spacing w:after="0" w:line="122" w:lineRule="exact"/>
              <w:rPr>
                <w:sz w:val="20"/>
                <w:szCs w:val="20"/>
                <w:color w:val="auto"/>
              </w:rPr>
            </w:pPr>
            <w:r>
              <w:rPr>
                <w:rFonts w:ascii="Arial" w:cs="Arial" w:eastAsia="Arial" w:hAnsi="Arial"/>
                <w:sz w:val="11"/>
                <w:szCs w:val="11"/>
                <w:color w:val="auto"/>
              </w:rPr>
              <w:t>95.7%</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260"/>
              <w:spacing w:after="0" w:line="122" w:lineRule="exact"/>
              <w:rPr>
                <w:sz w:val="20"/>
                <w:szCs w:val="20"/>
                <w:color w:val="auto"/>
              </w:rPr>
            </w:pPr>
            <w:r>
              <w:rPr>
                <w:rFonts w:ascii="Arial" w:cs="Arial" w:eastAsia="Arial" w:hAnsi="Arial"/>
                <w:sz w:val="11"/>
                <w:szCs w:val="11"/>
                <w:color w:val="auto"/>
              </w:rPr>
              <w:t>Allowance for loan losses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203"/>
              <w:spacing w:after="0" w:line="122" w:lineRule="exact"/>
              <w:rPr>
                <w:sz w:val="20"/>
                <w:szCs w:val="20"/>
                <w:color w:val="auto"/>
              </w:rPr>
            </w:pPr>
            <w:r>
              <w:rPr>
                <w:rFonts w:ascii="Arial" w:cs="Arial" w:eastAsia="Arial" w:hAnsi="Arial"/>
                <w:sz w:val="11"/>
                <w:szCs w:val="11"/>
                <w:color w:val="auto"/>
              </w:rPr>
              <w:t>(397,602)</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(377,842)</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(351,688)</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-6.9%</w:t>
            </w:r>
          </w:p>
        </w:tc>
        <w:tc>
          <w:tcPr>
            <w:tcW w:w="1600" w:type="dxa"/>
            <w:vAlign w:val="bottom"/>
            <w:tcBorders>
              <w:right w:val="single" w:sz="8" w:color="auto"/>
            </w:tcBorders>
          </w:tcPr>
          <w:p>
            <w:pPr>
              <w:jc w:val="center"/>
              <w:ind w:left="263"/>
              <w:spacing w:after="0" w:line="122" w:lineRule="exact"/>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Net loans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b w:val="1"/>
                <w:bCs w:val="1"/>
                <w:color w:val="auto"/>
              </w:rPr>
              <w:t>8,856,305</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rPr>
              <w:t>9,220,551</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b w:val="1"/>
                <w:bCs w:val="1"/>
                <w:color w:val="auto"/>
                <w:w w:val="97"/>
              </w:rPr>
              <w:t>9,050,112</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b w:val="1"/>
                <w:bCs w:val="1"/>
                <w:color w:val="auto"/>
              </w:rPr>
              <w:t>-1.8%</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b w:val="1"/>
                <w:bCs w:val="1"/>
                <w:color w:val="auto"/>
              </w:rPr>
              <w:t>2.2%</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Property, plant and equipment, net</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63,957</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65,194</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66,129</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1.4%</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Other assets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304,873</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270,614</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309,865</w:t>
            </w:r>
          </w:p>
        </w:tc>
        <w:tc>
          <w:tcPr>
            <w:tcW w:w="86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14.5%</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5"/>
        </w:trPr>
        <w:tc>
          <w:tcPr>
            <w:tcW w:w="3780" w:type="dxa"/>
            <w:vAlign w:val="bottom"/>
            <w:tcBorders>
              <w:left w:val="single" w:sz="8" w:color="auto"/>
            </w:tcBorders>
          </w:tcPr>
          <w:p>
            <w:pPr>
              <w:ind w:left="2200"/>
              <w:spacing w:after="0"/>
              <w:rPr>
                <w:sz w:val="20"/>
                <w:szCs w:val="20"/>
                <w:color w:val="auto"/>
              </w:rPr>
            </w:pPr>
            <w:r>
              <w:rPr>
                <w:rFonts w:ascii="Arial" w:cs="Arial" w:eastAsia="Arial" w:hAnsi="Arial"/>
                <w:sz w:val="11"/>
                <w:szCs w:val="11"/>
                <w:b w:val="1"/>
                <w:bCs w:val="1"/>
                <w:color w:val="auto"/>
              </w:rPr>
              <w:t>Total assets</w:t>
            </w:r>
          </w:p>
        </w:tc>
        <w:tc>
          <w:tcPr>
            <w:tcW w:w="1300" w:type="dxa"/>
            <w:vAlign w:val="bottom"/>
            <w:tcBorders>
              <w:right w:val="single" w:sz="8" w:color="auto"/>
            </w:tcBorders>
          </w:tcPr>
          <w:p>
            <w:pPr>
              <w:spacing w:after="0"/>
              <w:rPr>
                <w:sz w:val="13"/>
                <w:szCs w:val="13"/>
                <w:color w:val="auto"/>
              </w:rPr>
            </w:pPr>
          </w:p>
        </w:tc>
        <w:tc>
          <w:tcPr>
            <w:tcW w:w="1460" w:type="dxa"/>
            <w:vAlign w:val="bottom"/>
          </w:tcPr>
          <w:p>
            <w:pPr>
              <w:jc w:val="center"/>
              <w:ind w:right="203"/>
              <w:spacing w:after="0"/>
              <w:rPr>
                <w:sz w:val="20"/>
                <w:szCs w:val="20"/>
                <w:color w:val="auto"/>
              </w:rPr>
            </w:pPr>
            <w:r>
              <w:rPr>
                <w:rFonts w:ascii="Arial" w:cs="Arial" w:eastAsia="Arial" w:hAnsi="Arial"/>
                <w:sz w:val="11"/>
                <w:szCs w:val="11"/>
                <w:b w:val="1"/>
                <w:bCs w:val="1"/>
                <w:color w:val="auto"/>
              </w:rPr>
              <w:t>12,697,793</w:t>
            </w:r>
          </w:p>
        </w:tc>
        <w:tc>
          <w:tcPr>
            <w:tcW w:w="820" w:type="dxa"/>
            <w:vAlign w:val="bottom"/>
          </w:tcPr>
          <w:p>
            <w:pPr>
              <w:jc w:val="center"/>
              <w:ind w:right="3"/>
              <w:spacing w:after="0"/>
              <w:rPr>
                <w:sz w:val="20"/>
                <w:szCs w:val="20"/>
                <w:color w:val="auto"/>
              </w:rPr>
            </w:pPr>
            <w:r>
              <w:rPr>
                <w:rFonts w:ascii="Arial" w:cs="Arial" w:eastAsia="Arial" w:hAnsi="Arial"/>
                <w:sz w:val="11"/>
                <w:szCs w:val="11"/>
                <w:b w:val="1"/>
                <w:bCs w:val="1"/>
                <w:color w:val="auto"/>
              </w:rPr>
              <w:t>13,601,635</w:t>
            </w:r>
          </w:p>
        </w:tc>
        <w:tc>
          <w:tcPr>
            <w:tcW w:w="144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b w:val="1"/>
                <w:bCs w:val="1"/>
                <w:color w:val="auto"/>
              </w:rPr>
              <w:t>13,500,877</w:t>
            </w:r>
          </w:p>
        </w:tc>
        <w:tc>
          <w:tcPr>
            <w:tcW w:w="860" w:type="dxa"/>
            <w:vAlign w:val="bottom"/>
          </w:tcPr>
          <w:p>
            <w:pPr>
              <w:jc w:val="center"/>
              <w:ind w:left="263"/>
              <w:spacing w:after="0"/>
              <w:rPr>
                <w:sz w:val="20"/>
                <w:szCs w:val="20"/>
                <w:color w:val="auto"/>
              </w:rPr>
            </w:pPr>
            <w:r>
              <w:rPr>
                <w:rFonts w:ascii="Arial" w:cs="Arial" w:eastAsia="Arial" w:hAnsi="Arial"/>
                <w:sz w:val="11"/>
                <w:szCs w:val="11"/>
                <w:b w:val="1"/>
                <w:bCs w:val="1"/>
                <w:color w:val="auto"/>
              </w:rPr>
              <w:t>-0.7%</w:t>
            </w:r>
          </w:p>
        </w:tc>
        <w:tc>
          <w:tcPr>
            <w:tcW w:w="1600" w:type="dxa"/>
            <w:vAlign w:val="bottom"/>
            <w:tcBorders>
              <w:right w:val="single" w:sz="8" w:color="auto"/>
            </w:tcBorders>
          </w:tcPr>
          <w:p>
            <w:pPr>
              <w:jc w:val="center"/>
              <w:ind w:left="283"/>
              <w:spacing w:after="0"/>
              <w:rPr>
                <w:sz w:val="20"/>
                <w:szCs w:val="20"/>
                <w:color w:val="auto"/>
              </w:rPr>
            </w:pPr>
            <w:r>
              <w:rPr>
                <w:rFonts w:ascii="Arial" w:cs="Arial" w:eastAsia="Arial" w:hAnsi="Arial"/>
                <w:sz w:val="11"/>
                <w:szCs w:val="11"/>
                <w:b w:val="1"/>
                <w:bCs w:val="1"/>
                <w:color w:val="auto"/>
              </w:rPr>
              <w:t>6.3%</w:t>
            </w:r>
          </w:p>
        </w:tc>
        <w:tc>
          <w:tcPr>
            <w:tcW w:w="0" w:type="dxa"/>
            <w:vAlign w:val="bottom"/>
          </w:tcPr>
          <w:p>
            <w:pPr>
              <w:spacing w:after="0"/>
              <w:rPr>
                <w:sz w:val="1"/>
                <w:szCs w:val="1"/>
                <w:color w:val="auto"/>
              </w:rPr>
            </w:pPr>
          </w:p>
        </w:tc>
      </w:tr>
      <w:tr>
        <w:trPr>
          <w:trHeight w:val="211"/>
        </w:trPr>
        <w:tc>
          <w:tcPr>
            <w:tcW w:w="378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LIABILITIES AND NET SHAREHOLDERS’ EQUITY</w:t>
            </w:r>
          </w:p>
        </w:tc>
        <w:tc>
          <w:tcPr>
            <w:tcW w:w="130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Deposits and obligations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203"/>
              <w:spacing w:after="0" w:line="122" w:lineRule="exact"/>
              <w:rPr>
                <w:sz w:val="20"/>
                <w:szCs w:val="20"/>
                <w:color w:val="auto"/>
              </w:rPr>
            </w:pPr>
            <w:r>
              <w:rPr>
                <w:rFonts w:ascii="Arial" w:cs="Arial" w:eastAsia="Arial" w:hAnsi="Arial"/>
                <w:sz w:val="11"/>
                <w:szCs w:val="11"/>
                <w:color w:val="auto"/>
              </w:rPr>
              <w:t>10,985,892</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11,422,221</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11,482,143</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0.5%</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Due to banks and correspondents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77,909</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91,033</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78,296</w:t>
            </w:r>
          </w:p>
        </w:tc>
        <w:tc>
          <w:tcPr>
            <w:tcW w:w="86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-14.0%</w:t>
            </w:r>
          </w:p>
        </w:tc>
        <w:tc>
          <w:tcPr>
            <w:tcW w:w="1600" w:type="dxa"/>
            <w:vAlign w:val="bottom"/>
            <w:tcBorders>
              <w:right w:val="single" w:sz="8" w:color="auto"/>
            </w:tcBorders>
          </w:tcPr>
          <w:p>
            <w:pPr>
              <w:jc w:val="center"/>
              <w:ind w:left="283"/>
              <w:spacing w:after="0" w:line="122" w:lineRule="exact"/>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Bonds and subordinated debt</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99,065</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162,809</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161,916</w:t>
            </w:r>
          </w:p>
        </w:tc>
        <w:tc>
          <w:tcPr>
            <w:tcW w:w="860" w:type="dxa"/>
            <w:vAlign w:val="bottom"/>
          </w:tcPr>
          <w:p>
            <w:pPr>
              <w:jc w:val="center"/>
              <w:ind w:left="263"/>
              <w:spacing w:after="0" w:line="122" w:lineRule="exact"/>
              <w:rPr>
                <w:sz w:val="20"/>
                <w:szCs w:val="20"/>
                <w:color w:val="auto"/>
              </w:rPr>
            </w:pPr>
            <w:r>
              <w:rPr>
                <w:rFonts w:ascii="Arial" w:cs="Arial" w:eastAsia="Arial" w:hAnsi="Arial"/>
                <w:sz w:val="11"/>
                <w:szCs w:val="11"/>
                <w:color w:val="auto"/>
              </w:rPr>
              <w:t>-0.5%</w:t>
            </w:r>
          </w:p>
        </w:tc>
        <w:tc>
          <w:tcPr>
            <w:tcW w:w="1600" w:type="dxa"/>
            <w:vAlign w:val="bottom"/>
            <w:tcBorders>
              <w:right w:val="single" w:sz="8" w:color="auto"/>
            </w:tcBorders>
          </w:tcPr>
          <w:p>
            <w:pPr>
              <w:jc w:val="center"/>
              <w:ind w:left="263"/>
              <w:spacing w:after="0" w:line="122" w:lineRule="exact"/>
              <w:rPr>
                <w:sz w:val="20"/>
                <w:szCs w:val="20"/>
                <w:color w:val="auto"/>
              </w:rPr>
            </w:pPr>
            <w:r>
              <w:rPr>
                <w:rFonts w:ascii="Arial" w:cs="Arial" w:eastAsia="Arial" w:hAnsi="Arial"/>
                <w:sz w:val="11"/>
                <w:szCs w:val="11"/>
                <w:color w:val="auto"/>
              </w:rPr>
              <w:t>63.4%</w:t>
            </w:r>
          </w:p>
        </w:tc>
        <w:tc>
          <w:tcPr>
            <w:tcW w:w="0" w:type="dxa"/>
            <w:vAlign w:val="bottom"/>
          </w:tcPr>
          <w:p>
            <w:pPr>
              <w:spacing w:after="0"/>
              <w:rPr>
                <w:sz w:val="1"/>
                <w:szCs w:val="1"/>
                <w:color w:val="auto"/>
              </w:rPr>
            </w:pPr>
          </w:p>
        </w:tc>
      </w:tr>
      <w:tr>
        <w:trPr>
          <w:trHeight w:val="122"/>
        </w:trPr>
        <w:tc>
          <w:tcPr>
            <w:tcW w:w="378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Other liabilities</w:t>
            </w:r>
          </w:p>
        </w:tc>
        <w:tc>
          <w:tcPr>
            <w:tcW w:w="1300" w:type="dxa"/>
            <w:vAlign w:val="bottom"/>
            <w:tcBorders>
              <w:right w:val="single" w:sz="8" w:color="auto"/>
            </w:tcBorders>
          </w:tcPr>
          <w:p>
            <w:pPr>
              <w:spacing w:after="0"/>
              <w:rPr>
                <w:sz w:val="10"/>
                <w:szCs w:val="10"/>
                <w:color w:val="auto"/>
              </w:rPr>
            </w:pPr>
          </w:p>
        </w:tc>
        <w:tc>
          <w:tcPr>
            <w:tcW w:w="1460" w:type="dxa"/>
            <w:vAlign w:val="bottom"/>
          </w:tcPr>
          <w:p>
            <w:pPr>
              <w:jc w:val="center"/>
              <w:ind w:right="183"/>
              <w:spacing w:after="0" w:line="122" w:lineRule="exact"/>
              <w:rPr>
                <w:sz w:val="20"/>
                <w:szCs w:val="20"/>
                <w:color w:val="auto"/>
              </w:rPr>
            </w:pPr>
            <w:r>
              <w:rPr>
                <w:rFonts w:ascii="Arial" w:cs="Arial" w:eastAsia="Arial" w:hAnsi="Arial"/>
                <w:sz w:val="11"/>
                <w:szCs w:val="11"/>
                <w:color w:val="auto"/>
              </w:rPr>
              <w:t>675,099</w:t>
            </w:r>
          </w:p>
        </w:tc>
        <w:tc>
          <w:tcPr>
            <w:tcW w:w="820" w:type="dxa"/>
            <w:vAlign w:val="bottom"/>
          </w:tcPr>
          <w:p>
            <w:pPr>
              <w:jc w:val="center"/>
              <w:ind w:right="3"/>
              <w:spacing w:after="0" w:line="122" w:lineRule="exact"/>
              <w:rPr>
                <w:sz w:val="20"/>
                <w:szCs w:val="20"/>
                <w:color w:val="auto"/>
              </w:rPr>
            </w:pPr>
            <w:r>
              <w:rPr>
                <w:rFonts w:ascii="Arial" w:cs="Arial" w:eastAsia="Arial" w:hAnsi="Arial"/>
                <w:sz w:val="11"/>
                <w:szCs w:val="11"/>
                <w:color w:val="auto"/>
              </w:rPr>
              <w:t>1,035,891</w:t>
            </w:r>
          </w:p>
        </w:tc>
        <w:tc>
          <w:tcPr>
            <w:tcW w:w="1440" w:type="dxa"/>
            <w:vAlign w:val="bottom"/>
            <w:tcBorders>
              <w:right w:val="single" w:sz="8" w:color="auto"/>
            </w:tcBorders>
          </w:tcPr>
          <w:p>
            <w:pPr>
              <w:jc w:val="center"/>
              <w:ind w:left="102"/>
              <w:spacing w:after="0" w:line="122" w:lineRule="exact"/>
              <w:rPr>
                <w:sz w:val="20"/>
                <w:szCs w:val="20"/>
                <w:color w:val="auto"/>
              </w:rPr>
            </w:pPr>
            <w:r>
              <w:rPr>
                <w:rFonts w:ascii="Arial" w:cs="Arial" w:eastAsia="Arial" w:hAnsi="Arial"/>
                <w:sz w:val="11"/>
                <w:szCs w:val="11"/>
                <w:color w:val="auto"/>
              </w:rPr>
              <w:t>889,949</w:t>
            </w:r>
          </w:p>
        </w:tc>
        <w:tc>
          <w:tcPr>
            <w:tcW w:w="860" w:type="dxa"/>
            <w:vAlign w:val="bottom"/>
          </w:tcPr>
          <w:p>
            <w:pPr>
              <w:jc w:val="center"/>
              <w:ind w:left="283"/>
              <w:spacing w:after="0" w:line="122" w:lineRule="exact"/>
              <w:rPr>
                <w:sz w:val="20"/>
                <w:szCs w:val="20"/>
                <w:color w:val="auto"/>
              </w:rPr>
            </w:pPr>
            <w:r>
              <w:rPr>
                <w:rFonts w:ascii="Arial" w:cs="Arial" w:eastAsia="Arial" w:hAnsi="Arial"/>
                <w:sz w:val="11"/>
                <w:szCs w:val="11"/>
                <w:color w:val="auto"/>
              </w:rPr>
              <w:t>-14.1%</w:t>
            </w:r>
          </w:p>
        </w:tc>
        <w:tc>
          <w:tcPr>
            <w:tcW w:w="1600" w:type="dxa"/>
            <w:vAlign w:val="bottom"/>
            <w:tcBorders>
              <w:right w:val="single" w:sz="8" w:color="auto"/>
            </w:tcBorders>
          </w:tcPr>
          <w:p>
            <w:pPr>
              <w:jc w:val="center"/>
              <w:ind w:left="263"/>
              <w:spacing w:after="0" w:line="122" w:lineRule="exact"/>
              <w:rPr>
                <w:sz w:val="20"/>
                <w:szCs w:val="20"/>
                <w:color w:val="auto"/>
              </w:rPr>
            </w:pPr>
            <w:r>
              <w:rPr>
                <w:rFonts w:ascii="Arial" w:cs="Arial" w:eastAsia="Arial" w:hAnsi="Arial"/>
                <w:sz w:val="11"/>
                <w:szCs w:val="11"/>
                <w:color w:val="auto"/>
              </w:rPr>
              <w:t>31.8%</w:t>
            </w:r>
          </w:p>
        </w:tc>
        <w:tc>
          <w:tcPr>
            <w:tcW w:w="0" w:type="dxa"/>
            <w:vAlign w:val="bottom"/>
          </w:tcPr>
          <w:p>
            <w:pPr>
              <w:spacing w:after="0"/>
              <w:rPr>
                <w:sz w:val="1"/>
                <w:szCs w:val="1"/>
                <w:color w:val="auto"/>
              </w:rPr>
            </w:pPr>
          </w:p>
        </w:tc>
      </w:tr>
      <w:tr>
        <w:trPr>
          <w:trHeight w:val="155"/>
        </w:trPr>
        <w:tc>
          <w:tcPr>
            <w:tcW w:w="3780" w:type="dxa"/>
            <w:vAlign w:val="bottom"/>
            <w:tcBorders>
              <w:left w:val="single" w:sz="8" w:color="auto"/>
            </w:tcBorders>
          </w:tcPr>
          <w:p>
            <w:pPr>
              <w:ind w:left="2140"/>
              <w:spacing w:after="0"/>
              <w:rPr>
                <w:sz w:val="20"/>
                <w:szCs w:val="20"/>
                <w:color w:val="auto"/>
              </w:rPr>
            </w:pPr>
            <w:r>
              <w:rPr>
                <w:rFonts w:ascii="Arial" w:cs="Arial" w:eastAsia="Arial" w:hAnsi="Arial"/>
                <w:sz w:val="11"/>
                <w:szCs w:val="11"/>
                <w:b w:val="1"/>
                <w:bCs w:val="1"/>
                <w:color w:val="auto"/>
              </w:rPr>
              <w:t>Total liabilities</w:t>
            </w:r>
          </w:p>
        </w:tc>
        <w:tc>
          <w:tcPr>
            <w:tcW w:w="1300" w:type="dxa"/>
            <w:vAlign w:val="bottom"/>
            <w:tcBorders>
              <w:right w:val="single" w:sz="8" w:color="auto"/>
            </w:tcBorders>
          </w:tcPr>
          <w:p>
            <w:pPr>
              <w:spacing w:after="0"/>
              <w:rPr>
                <w:sz w:val="13"/>
                <w:szCs w:val="13"/>
                <w:color w:val="auto"/>
              </w:rPr>
            </w:pPr>
          </w:p>
        </w:tc>
        <w:tc>
          <w:tcPr>
            <w:tcW w:w="1460" w:type="dxa"/>
            <w:vAlign w:val="bottom"/>
          </w:tcPr>
          <w:p>
            <w:pPr>
              <w:jc w:val="center"/>
              <w:ind w:right="203"/>
              <w:spacing w:after="0"/>
              <w:rPr>
                <w:sz w:val="20"/>
                <w:szCs w:val="20"/>
                <w:color w:val="auto"/>
              </w:rPr>
            </w:pPr>
            <w:r>
              <w:rPr>
                <w:rFonts w:ascii="Arial" w:cs="Arial" w:eastAsia="Arial" w:hAnsi="Arial"/>
                <w:sz w:val="11"/>
                <w:szCs w:val="11"/>
                <w:b w:val="1"/>
                <w:bCs w:val="1"/>
                <w:color w:val="auto"/>
              </w:rPr>
              <w:t>11,837,965</w:t>
            </w:r>
          </w:p>
        </w:tc>
        <w:tc>
          <w:tcPr>
            <w:tcW w:w="820" w:type="dxa"/>
            <w:vAlign w:val="bottom"/>
          </w:tcPr>
          <w:p>
            <w:pPr>
              <w:jc w:val="center"/>
              <w:ind w:right="3"/>
              <w:spacing w:after="0"/>
              <w:rPr>
                <w:sz w:val="20"/>
                <w:szCs w:val="20"/>
                <w:color w:val="auto"/>
              </w:rPr>
            </w:pPr>
            <w:r>
              <w:rPr>
                <w:rFonts w:ascii="Arial" w:cs="Arial" w:eastAsia="Arial" w:hAnsi="Arial"/>
                <w:sz w:val="11"/>
                <w:szCs w:val="11"/>
                <w:b w:val="1"/>
                <w:bCs w:val="1"/>
                <w:color w:val="auto"/>
              </w:rPr>
              <w:t>12,711,954</w:t>
            </w:r>
          </w:p>
        </w:tc>
        <w:tc>
          <w:tcPr>
            <w:tcW w:w="144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b w:val="1"/>
                <w:bCs w:val="1"/>
                <w:color w:val="auto"/>
              </w:rPr>
              <w:t>12,612,305</w:t>
            </w:r>
          </w:p>
        </w:tc>
        <w:tc>
          <w:tcPr>
            <w:tcW w:w="860" w:type="dxa"/>
            <w:vAlign w:val="bottom"/>
          </w:tcPr>
          <w:p>
            <w:pPr>
              <w:jc w:val="center"/>
              <w:ind w:left="263"/>
              <w:spacing w:after="0"/>
              <w:rPr>
                <w:sz w:val="20"/>
                <w:szCs w:val="20"/>
                <w:color w:val="auto"/>
              </w:rPr>
            </w:pPr>
            <w:r>
              <w:rPr>
                <w:rFonts w:ascii="Arial" w:cs="Arial" w:eastAsia="Arial" w:hAnsi="Arial"/>
                <w:sz w:val="11"/>
                <w:szCs w:val="11"/>
                <w:b w:val="1"/>
                <w:bCs w:val="1"/>
                <w:color w:val="auto"/>
              </w:rPr>
              <w:t>-0.8%</w:t>
            </w:r>
          </w:p>
        </w:tc>
        <w:tc>
          <w:tcPr>
            <w:tcW w:w="1600" w:type="dxa"/>
            <w:vAlign w:val="bottom"/>
            <w:tcBorders>
              <w:right w:val="single" w:sz="8" w:color="auto"/>
            </w:tcBorders>
          </w:tcPr>
          <w:p>
            <w:pPr>
              <w:jc w:val="center"/>
              <w:ind w:left="283"/>
              <w:spacing w:after="0"/>
              <w:rPr>
                <w:sz w:val="20"/>
                <w:szCs w:val="20"/>
                <w:color w:val="auto"/>
              </w:rPr>
            </w:pPr>
            <w:r>
              <w:rPr>
                <w:rFonts w:ascii="Arial" w:cs="Arial" w:eastAsia="Arial" w:hAnsi="Arial"/>
                <w:sz w:val="11"/>
                <w:szCs w:val="11"/>
                <w:b w:val="1"/>
                <w:bCs w:val="1"/>
                <w:color w:val="auto"/>
              </w:rPr>
              <w:t>6.5%</w:t>
            </w:r>
          </w:p>
        </w:tc>
        <w:tc>
          <w:tcPr>
            <w:tcW w:w="0" w:type="dxa"/>
            <w:vAlign w:val="bottom"/>
          </w:tcPr>
          <w:p>
            <w:pPr>
              <w:spacing w:after="0"/>
              <w:rPr>
                <w:sz w:val="1"/>
                <w:szCs w:val="1"/>
                <w:color w:val="auto"/>
              </w:rPr>
            </w:pPr>
          </w:p>
        </w:tc>
      </w:tr>
      <w:tr>
        <w:trPr>
          <w:trHeight w:val="244"/>
        </w:trPr>
        <w:tc>
          <w:tcPr>
            <w:tcW w:w="378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Net equity</w:t>
            </w:r>
          </w:p>
        </w:tc>
        <w:tc>
          <w:tcPr>
            <w:tcW w:w="1300" w:type="dxa"/>
            <w:vAlign w:val="bottom"/>
            <w:tcBorders>
              <w:right w:val="single" w:sz="8" w:color="auto"/>
            </w:tcBorders>
          </w:tcPr>
          <w:p>
            <w:pPr>
              <w:spacing w:after="0"/>
              <w:rPr>
                <w:sz w:val="21"/>
                <w:szCs w:val="21"/>
                <w:color w:val="auto"/>
              </w:rPr>
            </w:pPr>
          </w:p>
        </w:tc>
        <w:tc>
          <w:tcPr>
            <w:tcW w:w="1460" w:type="dxa"/>
            <w:vAlign w:val="bottom"/>
          </w:tcPr>
          <w:p>
            <w:pPr>
              <w:jc w:val="center"/>
              <w:ind w:right="183"/>
              <w:spacing w:after="0"/>
              <w:rPr>
                <w:sz w:val="20"/>
                <w:szCs w:val="20"/>
                <w:color w:val="auto"/>
              </w:rPr>
            </w:pPr>
            <w:r>
              <w:rPr>
                <w:rFonts w:ascii="Arial" w:cs="Arial" w:eastAsia="Arial" w:hAnsi="Arial"/>
                <w:sz w:val="11"/>
                <w:szCs w:val="11"/>
                <w:b w:val="1"/>
                <w:bCs w:val="1"/>
                <w:color w:val="auto"/>
              </w:rPr>
              <w:t>859,828</w:t>
            </w:r>
          </w:p>
        </w:tc>
        <w:tc>
          <w:tcPr>
            <w:tcW w:w="820" w:type="dxa"/>
            <w:vAlign w:val="bottom"/>
          </w:tcPr>
          <w:p>
            <w:pPr>
              <w:jc w:val="center"/>
              <w:ind w:right="3"/>
              <w:spacing w:after="0"/>
              <w:rPr>
                <w:sz w:val="20"/>
                <w:szCs w:val="20"/>
                <w:color w:val="auto"/>
              </w:rPr>
            </w:pPr>
            <w:r>
              <w:rPr>
                <w:rFonts w:ascii="Arial" w:cs="Arial" w:eastAsia="Arial" w:hAnsi="Arial"/>
                <w:sz w:val="11"/>
                <w:szCs w:val="11"/>
                <w:b w:val="1"/>
                <w:bCs w:val="1"/>
                <w:color w:val="auto"/>
              </w:rPr>
              <w:t>889,682</w:t>
            </w:r>
          </w:p>
        </w:tc>
        <w:tc>
          <w:tcPr>
            <w:tcW w:w="1440" w:type="dxa"/>
            <w:vAlign w:val="bottom"/>
            <w:tcBorders>
              <w:right w:val="single" w:sz="8" w:color="auto"/>
            </w:tcBorders>
          </w:tcPr>
          <w:p>
            <w:pPr>
              <w:jc w:val="center"/>
              <w:ind w:left="102"/>
              <w:spacing w:after="0"/>
              <w:rPr>
                <w:sz w:val="20"/>
                <w:szCs w:val="20"/>
                <w:color w:val="auto"/>
              </w:rPr>
            </w:pPr>
            <w:r>
              <w:rPr>
                <w:rFonts w:ascii="Arial" w:cs="Arial" w:eastAsia="Arial" w:hAnsi="Arial"/>
                <w:sz w:val="11"/>
                <w:szCs w:val="11"/>
                <w:b w:val="1"/>
                <w:bCs w:val="1"/>
                <w:color w:val="auto"/>
              </w:rPr>
              <w:t>888,573</w:t>
            </w:r>
          </w:p>
        </w:tc>
        <w:tc>
          <w:tcPr>
            <w:tcW w:w="860" w:type="dxa"/>
            <w:vAlign w:val="bottom"/>
          </w:tcPr>
          <w:p>
            <w:pPr>
              <w:jc w:val="center"/>
              <w:ind w:left="263"/>
              <w:spacing w:after="0"/>
              <w:rPr>
                <w:sz w:val="20"/>
                <w:szCs w:val="20"/>
                <w:color w:val="auto"/>
              </w:rPr>
            </w:pPr>
            <w:r>
              <w:rPr>
                <w:rFonts w:ascii="Arial" w:cs="Arial" w:eastAsia="Arial" w:hAnsi="Arial"/>
                <w:sz w:val="11"/>
                <w:szCs w:val="11"/>
                <w:b w:val="1"/>
                <w:bCs w:val="1"/>
                <w:color w:val="auto"/>
              </w:rPr>
              <w:t>-0.1%</w:t>
            </w:r>
          </w:p>
        </w:tc>
        <w:tc>
          <w:tcPr>
            <w:tcW w:w="1600" w:type="dxa"/>
            <w:vAlign w:val="bottom"/>
            <w:tcBorders>
              <w:right w:val="single" w:sz="8" w:color="auto"/>
            </w:tcBorders>
          </w:tcPr>
          <w:p>
            <w:pPr>
              <w:jc w:val="center"/>
              <w:ind w:left="283"/>
              <w:spacing w:after="0"/>
              <w:rPr>
                <w:sz w:val="20"/>
                <w:szCs w:val="20"/>
                <w:color w:val="auto"/>
              </w:rPr>
            </w:pPr>
            <w:r>
              <w:rPr>
                <w:rFonts w:ascii="Arial" w:cs="Arial" w:eastAsia="Arial" w:hAnsi="Arial"/>
                <w:sz w:val="11"/>
                <w:szCs w:val="11"/>
                <w:b w:val="1"/>
                <w:bCs w:val="1"/>
                <w:color w:val="auto"/>
              </w:rPr>
              <w:t>3.3%</w:t>
            </w:r>
          </w:p>
        </w:tc>
        <w:tc>
          <w:tcPr>
            <w:tcW w:w="0" w:type="dxa"/>
            <w:vAlign w:val="bottom"/>
          </w:tcPr>
          <w:p>
            <w:pPr>
              <w:spacing w:after="0"/>
              <w:rPr>
                <w:sz w:val="1"/>
                <w:szCs w:val="1"/>
                <w:color w:val="auto"/>
              </w:rPr>
            </w:pPr>
          </w:p>
        </w:tc>
      </w:tr>
      <w:tr>
        <w:trPr>
          <w:trHeight w:val="226"/>
        </w:trPr>
        <w:tc>
          <w:tcPr>
            <w:tcW w:w="37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b w:val="1"/>
                <w:bCs w:val="1"/>
                <w:color w:val="auto"/>
              </w:rPr>
              <w:t>TOTAL LIABILITIES AND NET SHAREHOLDERS’ EQUITY</w:t>
            </w:r>
          </w:p>
        </w:tc>
        <w:tc>
          <w:tcPr>
            <w:tcW w:w="13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03"/>
              <w:spacing w:after="0"/>
              <w:rPr>
                <w:sz w:val="20"/>
                <w:szCs w:val="20"/>
                <w:color w:val="auto"/>
              </w:rPr>
            </w:pPr>
            <w:r>
              <w:rPr>
                <w:rFonts w:ascii="Arial" w:cs="Arial" w:eastAsia="Arial" w:hAnsi="Arial"/>
                <w:sz w:val="11"/>
                <w:szCs w:val="11"/>
                <w:b w:val="1"/>
                <w:bCs w:val="1"/>
                <w:color w:val="auto"/>
              </w:rPr>
              <w:t>12,697,793</w:t>
            </w:r>
          </w:p>
        </w:tc>
        <w:tc>
          <w:tcPr>
            <w:tcW w:w="82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13,601,635</w:t>
            </w:r>
          </w:p>
        </w:tc>
        <w:tc>
          <w:tcPr>
            <w:tcW w:w="144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1"/>
                <w:szCs w:val="11"/>
                <w:b w:val="1"/>
                <w:bCs w:val="1"/>
                <w:color w:val="auto"/>
              </w:rPr>
              <w:t>13,500,877</w:t>
            </w:r>
          </w:p>
        </w:tc>
        <w:tc>
          <w:tcPr>
            <w:tcW w:w="860" w:type="dxa"/>
            <w:vAlign w:val="bottom"/>
            <w:tcBorders>
              <w:bottom w:val="single" w:sz="8" w:color="auto"/>
            </w:tcBorders>
          </w:tcPr>
          <w:p>
            <w:pPr>
              <w:jc w:val="center"/>
              <w:ind w:left="263"/>
              <w:spacing w:after="0"/>
              <w:rPr>
                <w:sz w:val="20"/>
                <w:szCs w:val="20"/>
                <w:color w:val="auto"/>
              </w:rPr>
            </w:pPr>
            <w:r>
              <w:rPr>
                <w:rFonts w:ascii="Arial" w:cs="Arial" w:eastAsia="Arial" w:hAnsi="Arial"/>
                <w:sz w:val="11"/>
                <w:szCs w:val="11"/>
                <w:b w:val="1"/>
                <w:bCs w:val="1"/>
                <w:color w:val="auto"/>
              </w:rPr>
              <w:t>-0.7%</w:t>
            </w:r>
          </w:p>
        </w:tc>
        <w:tc>
          <w:tcPr>
            <w:tcW w:w="1600" w:type="dxa"/>
            <w:vAlign w:val="bottom"/>
            <w:tcBorders>
              <w:bottom w:val="single" w:sz="8" w:color="auto"/>
              <w:right w:val="single" w:sz="8" w:color="auto"/>
            </w:tcBorders>
          </w:tcPr>
          <w:p>
            <w:pPr>
              <w:jc w:val="center"/>
              <w:ind w:left="283"/>
              <w:spacing w:after="0"/>
              <w:rPr>
                <w:sz w:val="20"/>
                <w:szCs w:val="20"/>
                <w:color w:val="auto"/>
              </w:rPr>
            </w:pPr>
            <w:r>
              <w:rPr>
                <w:rFonts w:ascii="Arial" w:cs="Arial" w:eastAsia="Arial" w:hAnsi="Arial"/>
                <w:sz w:val="11"/>
                <w:szCs w:val="11"/>
                <w:b w:val="1"/>
                <w:bCs w:val="1"/>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-3072765</wp:posOffset>
            </wp:positionV>
            <wp:extent cx="1161415" cy="1390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6"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Statement of Income</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 Thousands, IFRS)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19"/>
        </w:trPr>
        <w:tc>
          <w:tcPr>
            <w:tcW w:w="3840" w:type="dxa"/>
            <w:vAlign w:val="bottom"/>
            <w:tcBorders>
              <w:right w:val="single" w:sz="8" w:color="auto"/>
            </w:tcBorders>
          </w:tcPr>
          <w:p>
            <w:pPr>
              <w:spacing w:after="0"/>
              <w:rPr>
                <w:sz w:val="10"/>
                <w:szCs w:val="10"/>
                <w:color w:val="auto"/>
              </w:rPr>
            </w:pPr>
          </w:p>
        </w:tc>
        <w:tc>
          <w:tcPr>
            <w:tcW w:w="660" w:type="dxa"/>
            <w:vAlign w:val="bottom"/>
            <w:tcBorders>
              <w:top w:val="single" w:sz="8" w:color="auto"/>
            </w:tcBorders>
            <w:vMerge w:val="restart"/>
            <w:shd w:val="clear" w:color="auto" w:fill="2AD2C9"/>
          </w:tcPr>
          <w:p>
            <w:pPr>
              <w:jc w:val="center"/>
              <w:ind w:left="163"/>
              <w:spacing w:after="0"/>
              <w:rPr>
                <w:sz w:val="20"/>
                <w:szCs w:val="20"/>
                <w:color w:val="auto"/>
              </w:rPr>
            </w:pPr>
            <w:r>
              <w:rPr>
                <w:rFonts w:ascii="Arial" w:cs="Arial" w:eastAsia="Arial" w:hAnsi="Arial"/>
                <w:sz w:val="11"/>
                <w:szCs w:val="11"/>
                <w:b w:val="1"/>
                <w:bCs w:val="1"/>
                <w:color w:val="FFFFFF"/>
              </w:rPr>
              <w:t>4Q22</w:t>
            </w:r>
          </w:p>
        </w:tc>
        <w:tc>
          <w:tcPr>
            <w:tcW w:w="1140" w:type="dxa"/>
            <w:vAlign w:val="bottom"/>
            <w:tcBorders>
              <w:top w:val="single" w:sz="8" w:color="auto"/>
            </w:tcBorders>
            <w:shd w:val="clear" w:color="auto" w:fill="2AD2C9"/>
          </w:tcPr>
          <w:p>
            <w:pPr>
              <w:ind w:left="480"/>
              <w:spacing w:after="0" w:line="119" w:lineRule="exact"/>
              <w:rPr>
                <w:sz w:val="20"/>
                <w:szCs w:val="20"/>
                <w:color w:val="auto"/>
              </w:rPr>
            </w:pPr>
            <w:r>
              <w:rPr>
                <w:rFonts w:ascii="Arial" w:cs="Arial" w:eastAsia="Arial" w:hAnsi="Arial"/>
                <w:sz w:val="11"/>
                <w:szCs w:val="11"/>
                <w:b w:val="1"/>
                <w:bCs w:val="1"/>
                <w:color w:val="FFFFFF"/>
              </w:rPr>
              <w:t>Quarter</w:t>
            </w:r>
          </w:p>
        </w:tc>
        <w:tc>
          <w:tcPr>
            <w:tcW w:w="92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200" w:type="dxa"/>
            <w:vAlign w:val="bottom"/>
            <w:tcBorders>
              <w:top w:val="single" w:sz="8" w:color="auto"/>
            </w:tcBorders>
            <w:shd w:val="clear" w:color="auto" w:fill="2AD2C9"/>
          </w:tcPr>
          <w:p>
            <w:pPr>
              <w:spacing w:after="0"/>
              <w:rPr>
                <w:sz w:val="10"/>
                <w:szCs w:val="10"/>
                <w:color w:val="auto"/>
              </w:rPr>
            </w:pPr>
          </w:p>
        </w:tc>
        <w:tc>
          <w:tcPr>
            <w:tcW w:w="940" w:type="dxa"/>
            <w:vAlign w:val="bottom"/>
            <w:tcBorders>
              <w:top w:val="single" w:sz="8" w:color="auto"/>
            </w:tcBorders>
            <w:shd w:val="clear" w:color="auto" w:fill="2AD2C9"/>
          </w:tcPr>
          <w:p>
            <w:pPr>
              <w:ind w:left="420"/>
              <w:spacing w:after="0" w:line="119" w:lineRule="exact"/>
              <w:rPr>
                <w:sz w:val="20"/>
                <w:szCs w:val="20"/>
                <w:color w:val="auto"/>
              </w:rPr>
            </w:pPr>
            <w:r>
              <w:rPr>
                <w:rFonts w:ascii="Arial" w:cs="Arial" w:eastAsia="Arial" w:hAnsi="Arial"/>
                <w:sz w:val="11"/>
                <w:szCs w:val="11"/>
                <w:b w:val="1"/>
                <w:bCs w:val="1"/>
                <w:color w:val="FFFFFF"/>
                <w:w w:val="97"/>
              </w:rPr>
              <w:t>% change</w:t>
            </w:r>
          </w:p>
        </w:tc>
        <w:tc>
          <w:tcPr>
            <w:tcW w:w="660" w:type="dxa"/>
            <w:vAlign w:val="bottom"/>
            <w:tcBorders>
              <w:top w:val="single" w:sz="8" w:color="auto"/>
              <w:right w:val="single" w:sz="8" w:color="auto"/>
            </w:tcBorders>
            <w:vMerge w:val="restart"/>
            <w:shd w:val="clear" w:color="auto" w:fill="2AD2C9"/>
          </w:tcPr>
          <w:p>
            <w:pPr>
              <w:ind w:left="80"/>
              <w:spacing w:after="0"/>
              <w:rPr>
                <w:sz w:val="20"/>
                <w:szCs w:val="20"/>
                <w:color w:val="auto"/>
              </w:rPr>
            </w:pPr>
            <w:r>
              <w:rPr>
                <w:rFonts w:ascii="Arial" w:cs="Arial" w:eastAsia="Arial" w:hAnsi="Arial"/>
                <w:sz w:val="11"/>
                <w:szCs w:val="11"/>
                <w:b w:val="1"/>
                <w:bCs w:val="1"/>
                <w:color w:val="FFFFFF"/>
              </w:rPr>
              <w:t>YoY</w:t>
            </w:r>
          </w:p>
        </w:tc>
        <w:tc>
          <w:tcPr>
            <w:tcW w:w="700" w:type="dxa"/>
            <w:vAlign w:val="bottom"/>
            <w:tcBorders>
              <w:top w:val="single" w:sz="8" w:color="auto"/>
            </w:tcBorders>
            <w:vMerge w:val="restart"/>
            <w:shd w:val="clear" w:color="auto" w:fill="2AD2C9"/>
          </w:tcPr>
          <w:p>
            <w:pPr>
              <w:ind w:left="240"/>
              <w:spacing w:after="0"/>
              <w:rPr>
                <w:sz w:val="20"/>
                <w:szCs w:val="20"/>
                <w:color w:val="auto"/>
              </w:rPr>
            </w:pPr>
            <w:r>
              <w:rPr>
                <w:rFonts w:ascii="Arial" w:cs="Arial" w:eastAsia="Arial" w:hAnsi="Arial"/>
                <w:sz w:val="11"/>
                <w:szCs w:val="11"/>
                <w:b w:val="1"/>
                <w:bCs w:val="1"/>
                <w:color w:val="FFFFFF"/>
              </w:rPr>
              <w:t>Dec 22</w:t>
            </w:r>
          </w:p>
        </w:tc>
        <w:tc>
          <w:tcPr>
            <w:tcW w:w="1080" w:type="dxa"/>
            <w:vAlign w:val="bottom"/>
            <w:tcBorders>
              <w:top w:val="single" w:sz="8" w:color="auto"/>
              <w:right w:val="single" w:sz="8" w:color="auto"/>
            </w:tcBorders>
            <w:shd w:val="clear" w:color="auto" w:fill="2AD2C9"/>
          </w:tcPr>
          <w:p>
            <w:pPr>
              <w:ind w:left="20"/>
              <w:spacing w:after="0" w:line="119" w:lineRule="exact"/>
              <w:rPr>
                <w:sz w:val="20"/>
                <w:szCs w:val="20"/>
                <w:color w:val="auto"/>
              </w:rPr>
            </w:pPr>
            <w:r>
              <w:rPr>
                <w:rFonts w:ascii="Arial" w:cs="Arial" w:eastAsia="Arial" w:hAnsi="Arial"/>
                <w:sz w:val="11"/>
                <w:szCs w:val="11"/>
                <w:b w:val="1"/>
                <w:bCs w:val="1"/>
                <w:color w:val="FFFFFF"/>
              </w:rPr>
              <w:t>Up to</w:t>
            </w:r>
          </w:p>
        </w:tc>
        <w:tc>
          <w:tcPr>
            <w:tcW w:w="1120" w:type="dxa"/>
            <w:vAlign w:val="bottom"/>
            <w:tcBorders>
              <w:top w:val="single" w:sz="8" w:color="auto"/>
              <w:right w:val="single" w:sz="8" w:color="auto"/>
            </w:tcBorders>
            <w:shd w:val="clear" w:color="auto" w:fill="2AD2C9"/>
          </w:tcPr>
          <w:p>
            <w:pPr>
              <w:jc w:val="center"/>
              <w:spacing w:after="0" w:line="119" w:lineRule="exact"/>
              <w:rPr>
                <w:sz w:val="20"/>
                <w:szCs w:val="20"/>
                <w:color w:val="auto"/>
              </w:rPr>
            </w:pPr>
            <w:r>
              <w:rPr>
                <w:rFonts w:ascii="Arial" w:cs="Arial" w:eastAsia="Arial" w:hAnsi="Arial"/>
                <w:sz w:val="11"/>
                <w:szCs w:val="11"/>
                <w:b w:val="1"/>
                <w:bCs w:val="1"/>
                <w:color w:val="FFFFFF"/>
              </w:rPr>
              <w:t>% change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vMerge w:val="continue"/>
            <w:shd w:val="clear" w:color="auto" w:fill="2AD2C9"/>
          </w:tcPr>
          <w:p>
            <w:pPr>
              <w:spacing w:after="0"/>
              <w:rPr>
                <w:sz w:val="11"/>
                <w:szCs w:val="11"/>
                <w:color w:val="auto"/>
              </w:rPr>
            </w:pPr>
          </w:p>
        </w:tc>
        <w:tc>
          <w:tcPr>
            <w:tcW w:w="1140" w:type="dxa"/>
            <w:vAlign w:val="bottom"/>
            <w:tcBorders>
              <w:bottom w:val="single" w:sz="8" w:color="auto"/>
            </w:tcBorders>
            <w:shd w:val="clear" w:color="auto" w:fill="2AD2C9"/>
          </w:tcPr>
          <w:p>
            <w:pPr>
              <w:jc w:val="center"/>
              <w:ind w:left="162"/>
              <w:spacing w:after="0"/>
              <w:rPr>
                <w:sz w:val="20"/>
                <w:szCs w:val="20"/>
                <w:color w:val="auto"/>
              </w:rPr>
            </w:pPr>
            <w:r>
              <w:rPr>
                <w:rFonts w:ascii="Arial" w:cs="Arial" w:eastAsia="Arial" w:hAnsi="Arial"/>
                <w:sz w:val="11"/>
                <w:szCs w:val="11"/>
                <w:b w:val="1"/>
                <w:bCs w:val="1"/>
                <w:color w:val="FFFFFF"/>
              </w:rPr>
              <w:t>3Q23</w:t>
            </w:r>
          </w:p>
        </w:tc>
        <w:tc>
          <w:tcPr>
            <w:tcW w:w="92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200" w:type="dxa"/>
            <w:vAlign w:val="bottom"/>
            <w:tcBorders>
              <w:bottom w:val="single" w:sz="8" w:color="auto"/>
            </w:tcBorders>
            <w:shd w:val="clear" w:color="auto" w:fill="2AD2C9"/>
          </w:tcPr>
          <w:p>
            <w:pPr>
              <w:spacing w:after="0"/>
              <w:rPr>
                <w:sz w:val="11"/>
                <w:szCs w:val="11"/>
                <w:color w:val="auto"/>
              </w:rPr>
            </w:pPr>
          </w:p>
        </w:tc>
        <w:tc>
          <w:tcPr>
            <w:tcW w:w="94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QoQ</w:t>
            </w:r>
          </w:p>
        </w:tc>
        <w:tc>
          <w:tcPr>
            <w:tcW w:w="66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700" w:type="dxa"/>
            <w:vAlign w:val="bottom"/>
            <w:tcBorders>
              <w:bottom w:val="single" w:sz="8" w:color="auto"/>
            </w:tcBorders>
            <w:vMerge w:val="continue"/>
            <w:shd w:val="clear" w:color="auto" w:fill="2AD2C9"/>
          </w:tcPr>
          <w:p>
            <w:pPr>
              <w:spacing w:after="0"/>
              <w:rPr>
                <w:sz w:val="11"/>
                <w:szCs w:val="11"/>
                <w:color w:val="auto"/>
              </w:rPr>
            </w:pPr>
          </w:p>
        </w:tc>
        <w:tc>
          <w:tcPr>
            <w:tcW w:w="108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Arial" w:cs="Arial" w:eastAsia="Arial" w:hAnsi="Arial"/>
                <w:sz w:val="11"/>
                <w:szCs w:val="11"/>
                <w:b w:val="1"/>
                <w:bCs w:val="1"/>
                <w:color w:val="FFFFFF"/>
              </w:rPr>
              <w:t>Dec 23</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Dec 23 / Dec 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84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color w:val="auto"/>
              </w:rPr>
              <w:t>Net interest income</w:t>
            </w:r>
          </w:p>
        </w:tc>
        <w:tc>
          <w:tcPr>
            <w:tcW w:w="660" w:type="dxa"/>
            <w:vAlign w:val="bottom"/>
          </w:tcPr>
          <w:p>
            <w:pPr>
              <w:jc w:val="center"/>
              <w:ind w:left="163"/>
              <w:spacing w:after="0" w:line="99" w:lineRule="exact"/>
              <w:rPr>
                <w:sz w:val="20"/>
                <w:szCs w:val="20"/>
                <w:color w:val="auto"/>
              </w:rPr>
            </w:pPr>
            <w:r>
              <w:rPr>
                <w:rFonts w:ascii="Arial" w:cs="Arial" w:eastAsia="Arial" w:hAnsi="Arial"/>
                <w:sz w:val="11"/>
                <w:szCs w:val="11"/>
                <w:color w:val="auto"/>
              </w:rPr>
              <w:t>78,977</w:t>
            </w:r>
          </w:p>
        </w:tc>
        <w:tc>
          <w:tcPr>
            <w:tcW w:w="1140" w:type="dxa"/>
            <w:vAlign w:val="bottom"/>
          </w:tcPr>
          <w:p>
            <w:pPr>
              <w:jc w:val="center"/>
              <w:ind w:left="162"/>
              <w:spacing w:after="0" w:line="99" w:lineRule="exact"/>
              <w:rPr>
                <w:sz w:val="20"/>
                <w:szCs w:val="20"/>
                <w:color w:val="auto"/>
              </w:rPr>
            </w:pPr>
            <w:r>
              <w:rPr>
                <w:rFonts w:ascii="Arial" w:cs="Arial" w:eastAsia="Arial" w:hAnsi="Arial"/>
                <w:sz w:val="11"/>
                <w:szCs w:val="11"/>
                <w:color w:val="auto"/>
              </w:rPr>
              <w:t>83,227</w:t>
            </w:r>
          </w:p>
        </w:tc>
        <w:tc>
          <w:tcPr>
            <w:tcW w:w="9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84,160</w:t>
            </w:r>
          </w:p>
        </w:tc>
        <w:tc>
          <w:tcPr>
            <w:tcW w:w="200" w:type="dxa"/>
            <w:vAlign w:val="bottom"/>
          </w:tcPr>
          <w:p>
            <w:pPr>
              <w:spacing w:after="0"/>
              <w:rPr>
                <w:sz w:val="8"/>
                <w:szCs w:val="8"/>
                <w:color w:val="auto"/>
              </w:rPr>
            </w:pPr>
          </w:p>
        </w:tc>
        <w:tc>
          <w:tcPr>
            <w:tcW w:w="940" w:type="dxa"/>
            <w:vAlign w:val="bottom"/>
          </w:tcPr>
          <w:p>
            <w:pPr>
              <w:jc w:val="center"/>
              <w:ind w:right="423"/>
              <w:spacing w:after="0" w:line="99" w:lineRule="exact"/>
              <w:rPr>
                <w:sz w:val="20"/>
                <w:szCs w:val="20"/>
                <w:color w:val="auto"/>
              </w:rPr>
            </w:pPr>
            <w:r>
              <w:rPr>
                <w:rFonts w:ascii="Arial" w:cs="Arial" w:eastAsia="Arial" w:hAnsi="Arial"/>
                <w:sz w:val="11"/>
                <w:szCs w:val="11"/>
                <w:color w:val="auto"/>
              </w:rPr>
              <w:t>1.1%</w:t>
            </w:r>
          </w:p>
        </w:tc>
        <w:tc>
          <w:tcPr>
            <w:tcW w:w="660" w:type="dxa"/>
            <w:vAlign w:val="bottom"/>
            <w:tcBorders>
              <w:right w:val="single" w:sz="8" w:color="auto"/>
            </w:tcBorders>
          </w:tcPr>
          <w:p>
            <w:pPr>
              <w:jc w:val="center"/>
              <w:ind w:right="223"/>
              <w:spacing w:after="0" w:line="99" w:lineRule="exact"/>
              <w:rPr>
                <w:sz w:val="20"/>
                <w:szCs w:val="20"/>
                <w:color w:val="auto"/>
              </w:rPr>
            </w:pPr>
            <w:r>
              <w:rPr>
                <w:rFonts w:ascii="Arial" w:cs="Arial" w:eastAsia="Arial" w:hAnsi="Arial"/>
                <w:sz w:val="11"/>
                <w:szCs w:val="11"/>
                <w:color w:val="auto"/>
              </w:rPr>
              <w:t>6.6%</w:t>
            </w:r>
          </w:p>
        </w:tc>
        <w:tc>
          <w:tcPr>
            <w:tcW w:w="700" w:type="dxa"/>
            <w:vAlign w:val="bottom"/>
          </w:tcPr>
          <w:p>
            <w:pPr>
              <w:jc w:val="center"/>
              <w:ind w:left="103"/>
              <w:spacing w:after="0" w:line="99" w:lineRule="exact"/>
              <w:rPr>
                <w:sz w:val="20"/>
                <w:szCs w:val="20"/>
                <w:color w:val="auto"/>
              </w:rPr>
            </w:pPr>
            <w:r>
              <w:rPr>
                <w:rFonts w:ascii="Arial" w:cs="Arial" w:eastAsia="Arial" w:hAnsi="Arial"/>
                <w:sz w:val="11"/>
                <w:szCs w:val="11"/>
                <w:color w:val="auto"/>
              </w:rPr>
              <w:t>324,626</w:t>
            </w:r>
          </w:p>
        </w:tc>
        <w:tc>
          <w:tcPr>
            <w:tcW w:w="1080" w:type="dxa"/>
            <w:vAlign w:val="bottom"/>
            <w:tcBorders>
              <w:right w:val="single" w:sz="8" w:color="auto"/>
            </w:tcBorders>
          </w:tcPr>
          <w:p>
            <w:pPr>
              <w:jc w:val="center"/>
              <w:ind w:left="83"/>
              <w:spacing w:after="0" w:line="99" w:lineRule="exact"/>
              <w:rPr>
                <w:sz w:val="20"/>
                <w:szCs w:val="20"/>
                <w:color w:val="auto"/>
              </w:rPr>
            </w:pPr>
            <w:r>
              <w:rPr>
                <w:rFonts w:ascii="Arial" w:cs="Arial" w:eastAsia="Arial" w:hAnsi="Arial"/>
                <w:sz w:val="11"/>
                <w:szCs w:val="11"/>
                <w:color w:val="auto"/>
              </w:rPr>
              <w:t>332,337</w:t>
            </w:r>
          </w:p>
        </w:tc>
        <w:tc>
          <w:tcPr>
            <w:tcW w:w="11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Provision for loan losses, net of recoveries</w:t>
            </w:r>
          </w:p>
        </w:tc>
        <w:tc>
          <w:tcPr>
            <w:tcW w:w="660" w:type="dxa"/>
            <w:vAlign w:val="bottom"/>
          </w:tcPr>
          <w:p>
            <w:pPr>
              <w:jc w:val="center"/>
              <w:ind w:left="183"/>
              <w:spacing w:after="0" w:line="122" w:lineRule="exact"/>
              <w:rPr>
                <w:sz w:val="20"/>
                <w:szCs w:val="20"/>
                <w:color w:val="auto"/>
              </w:rPr>
            </w:pPr>
            <w:r>
              <w:rPr>
                <w:rFonts w:ascii="Arial" w:cs="Arial" w:eastAsia="Arial" w:hAnsi="Arial"/>
                <w:sz w:val="11"/>
                <w:szCs w:val="11"/>
                <w:color w:val="auto"/>
              </w:rPr>
              <w:t>(17,126)</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w w:val="97"/>
              </w:rPr>
              <w:t>(11,497)</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(27,530)</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139.5%</w:t>
            </w:r>
          </w:p>
        </w:tc>
        <w:tc>
          <w:tcPr>
            <w:tcW w:w="660" w:type="dxa"/>
            <w:vAlign w:val="bottom"/>
            <w:tcBorders>
              <w:right w:val="single" w:sz="8" w:color="auto"/>
            </w:tcBorders>
          </w:tcPr>
          <w:p>
            <w:pPr>
              <w:jc w:val="center"/>
              <w:ind w:right="243"/>
              <w:spacing w:after="0" w:line="122" w:lineRule="exact"/>
              <w:rPr>
                <w:sz w:val="20"/>
                <w:szCs w:val="20"/>
                <w:color w:val="auto"/>
              </w:rPr>
            </w:pPr>
            <w:r>
              <w:rPr>
                <w:rFonts w:ascii="Arial" w:cs="Arial" w:eastAsia="Arial" w:hAnsi="Arial"/>
                <w:sz w:val="11"/>
                <w:szCs w:val="11"/>
                <w:color w:val="auto"/>
              </w:rPr>
              <w:t>60.8%</w:t>
            </w:r>
          </w:p>
        </w:tc>
        <w:tc>
          <w:tcPr>
            <w:tcW w:w="7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(52,119)</w:t>
            </w:r>
          </w:p>
        </w:tc>
        <w:tc>
          <w:tcPr>
            <w:tcW w:w="1080" w:type="dxa"/>
            <w:vAlign w:val="bottom"/>
            <w:tcBorders>
              <w:right w:val="single" w:sz="8" w:color="auto"/>
            </w:tcBorders>
          </w:tcPr>
          <w:p>
            <w:pPr>
              <w:jc w:val="center"/>
              <w:ind w:left="83"/>
              <w:spacing w:after="0" w:line="122" w:lineRule="exact"/>
              <w:rPr>
                <w:sz w:val="20"/>
                <w:szCs w:val="20"/>
                <w:color w:val="auto"/>
              </w:rPr>
            </w:pPr>
            <w:r>
              <w:rPr>
                <w:rFonts w:ascii="Arial" w:cs="Arial" w:eastAsia="Arial" w:hAnsi="Arial"/>
                <w:sz w:val="11"/>
                <w:szCs w:val="11"/>
                <w:color w:val="auto"/>
              </w:rPr>
              <w:t>(38,040)</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Net interest income after provisions</w:t>
            </w:r>
          </w:p>
        </w:tc>
        <w:tc>
          <w:tcPr>
            <w:tcW w:w="660" w:type="dxa"/>
            <w:vAlign w:val="bottom"/>
          </w:tcPr>
          <w:p>
            <w:pPr>
              <w:jc w:val="center"/>
              <w:ind w:left="163"/>
              <w:spacing w:after="0" w:line="122" w:lineRule="exact"/>
              <w:rPr>
                <w:sz w:val="20"/>
                <w:szCs w:val="20"/>
                <w:color w:val="auto"/>
              </w:rPr>
            </w:pPr>
            <w:r>
              <w:rPr>
                <w:rFonts w:ascii="Arial" w:cs="Arial" w:eastAsia="Arial" w:hAnsi="Arial"/>
                <w:sz w:val="11"/>
                <w:szCs w:val="11"/>
                <w:b w:val="1"/>
                <w:bCs w:val="1"/>
                <w:color w:val="auto"/>
              </w:rPr>
              <w:t>61,850</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b w:val="1"/>
                <w:bCs w:val="1"/>
                <w:color w:val="auto"/>
              </w:rPr>
              <w:t>71,730</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56,630</w:t>
            </w:r>
          </w:p>
        </w:tc>
        <w:tc>
          <w:tcPr>
            <w:tcW w:w="200" w:type="dxa"/>
            <w:vAlign w:val="bottom"/>
          </w:tcPr>
          <w:p>
            <w:pPr>
              <w:spacing w:after="0"/>
              <w:rPr>
                <w:sz w:val="10"/>
                <w:szCs w:val="10"/>
                <w:color w:val="auto"/>
              </w:rPr>
            </w:pPr>
          </w:p>
        </w:tc>
        <w:tc>
          <w:tcPr>
            <w:tcW w:w="940" w:type="dxa"/>
            <w:vAlign w:val="bottom"/>
          </w:tcPr>
          <w:p>
            <w:pPr>
              <w:jc w:val="center"/>
              <w:ind w:right="443"/>
              <w:spacing w:after="0" w:line="122" w:lineRule="exact"/>
              <w:rPr>
                <w:sz w:val="20"/>
                <w:szCs w:val="20"/>
                <w:color w:val="auto"/>
              </w:rPr>
            </w:pPr>
            <w:r>
              <w:rPr>
                <w:rFonts w:ascii="Arial" w:cs="Arial" w:eastAsia="Arial" w:hAnsi="Arial"/>
                <w:sz w:val="11"/>
                <w:szCs w:val="11"/>
                <w:b w:val="1"/>
                <w:bCs w:val="1"/>
                <w:color w:val="auto"/>
              </w:rPr>
              <w:t>-21.1%</w:t>
            </w:r>
          </w:p>
        </w:tc>
        <w:tc>
          <w:tcPr>
            <w:tcW w:w="660" w:type="dxa"/>
            <w:vAlign w:val="bottom"/>
            <w:tcBorders>
              <w:right w:val="single" w:sz="8" w:color="auto"/>
            </w:tcBorders>
          </w:tcPr>
          <w:p>
            <w:pPr>
              <w:jc w:val="center"/>
              <w:ind w:right="223"/>
              <w:spacing w:after="0" w:line="122" w:lineRule="exact"/>
              <w:rPr>
                <w:sz w:val="20"/>
                <w:szCs w:val="20"/>
                <w:color w:val="auto"/>
              </w:rPr>
            </w:pPr>
            <w:r>
              <w:rPr>
                <w:rFonts w:ascii="Arial" w:cs="Arial" w:eastAsia="Arial" w:hAnsi="Arial"/>
                <w:sz w:val="11"/>
                <w:szCs w:val="11"/>
                <w:b w:val="1"/>
                <w:bCs w:val="1"/>
                <w:color w:val="auto"/>
              </w:rPr>
              <w:t>-8.4%</w:t>
            </w:r>
          </w:p>
        </w:tc>
        <w:tc>
          <w:tcPr>
            <w:tcW w:w="700" w:type="dxa"/>
            <w:vAlign w:val="bottom"/>
          </w:tcPr>
          <w:p>
            <w:pPr>
              <w:jc w:val="center"/>
              <w:ind w:left="103"/>
              <w:spacing w:after="0" w:line="122" w:lineRule="exact"/>
              <w:rPr>
                <w:sz w:val="20"/>
                <w:szCs w:val="20"/>
                <w:color w:val="auto"/>
              </w:rPr>
            </w:pPr>
            <w:r>
              <w:rPr>
                <w:rFonts w:ascii="Arial" w:cs="Arial" w:eastAsia="Arial" w:hAnsi="Arial"/>
                <w:sz w:val="11"/>
                <w:szCs w:val="11"/>
                <w:b w:val="1"/>
                <w:bCs w:val="1"/>
                <w:color w:val="auto"/>
              </w:rPr>
              <w:t>353,664</w:t>
            </w:r>
          </w:p>
        </w:tc>
        <w:tc>
          <w:tcPr>
            <w:tcW w:w="1080" w:type="dxa"/>
            <w:vAlign w:val="bottom"/>
            <w:tcBorders>
              <w:right w:val="single" w:sz="8" w:color="auto"/>
            </w:tcBorders>
          </w:tcPr>
          <w:p>
            <w:pPr>
              <w:jc w:val="center"/>
              <w:ind w:left="83"/>
              <w:spacing w:after="0" w:line="122" w:lineRule="exact"/>
              <w:rPr>
                <w:sz w:val="20"/>
                <w:szCs w:val="20"/>
                <w:color w:val="auto"/>
              </w:rPr>
            </w:pPr>
            <w:r>
              <w:rPr>
                <w:rFonts w:ascii="Arial" w:cs="Arial" w:eastAsia="Arial" w:hAnsi="Arial"/>
                <w:sz w:val="11"/>
                <w:szCs w:val="11"/>
                <w:b w:val="1"/>
                <w:bCs w:val="1"/>
                <w:color w:val="auto"/>
              </w:rPr>
              <w:t>294,297</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Non-financial income</w:t>
            </w:r>
          </w:p>
        </w:tc>
        <w:tc>
          <w:tcPr>
            <w:tcW w:w="660" w:type="dxa"/>
            <w:vAlign w:val="bottom"/>
          </w:tcPr>
          <w:p>
            <w:pPr>
              <w:jc w:val="center"/>
              <w:ind w:left="163"/>
              <w:spacing w:after="0" w:line="122" w:lineRule="exact"/>
              <w:rPr>
                <w:sz w:val="20"/>
                <w:szCs w:val="20"/>
                <w:color w:val="auto"/>
              </w:rPr>
            </w:pPr>
            <w:r>
              <w:rPr>
                <w:rFonts w:ascii="Arial" w:cs="Arial" w:eastAsia="Arial" w:hAnsi="Arial"/>
                <w:sz w:val="11"/>
                <w:szCs w:val="11"/>
                <w:color w:val="auto"/>
              </w:rPr>
              <w:t>46,134</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rPr>
              <w:t>59,541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48,427</w:t>
            </w:r>
          </w:p>
        </w:tc>
        <w:tc>
          <w:tcPr>
            <w:tcW w:w="200" w:type="dxa"/>
            <w:vAlign w:val="bottom"/>
          </w:tcPr>
          <w:p>
            <w:pPr>
              <w:spacing w:after="0"/>
              <w:rPr>
                <w:sz w:val="10"/>
                <w:szCs w:val="10"/>
                <w:color w:val="auto"/>
              </w:rPr>
            </w:pPr>
          </w:p>
        </w:tc>
        <w:tc>
          <w:tcPr>
            <w:tcW w:w="940" w:type="dxa"/>
            <w:vAlign w:val="bottom"/>
          </w:tcPr>
          <w:p>
            <w:pPr>
              <w:jc w:val="center"/>
              <w:ind w:right="443"/>
              <w:spacing w:after="0" w:line="122" w:lineRule="exact"/>
              <w:rPr>
                <w:sz w:val="20"/>
                <w:szCs w:val="20"/>
                <w:color w:val="auto"/>
              </w:rPr>
            </w:pPr>
            <w:r>
              <w:rPr>
                <w:rFonts w:ascii="Arial" w:cs="Arial" w:eastAsia="Arial" w:hAnsi="Arial"/>
                <w:sz w:val="11"/>
                <w:szCs w:val="11"/>
                <w:color w:val="auto"/>
              </w:rPr>
              <w:t>-18.7%</w:t>
            </w:r>
          </w:p>
        </w:tc>
        <w:tc>
          <w:tcPr>
            <w:tcW w:w="660" w:type="dxa"/>
            <w:vAlign w:val="bottom"/>
            <w:tcBorders>
              <w:right w:val="single" w:sz="8" w:color="auto"/>
            </w:tcBorders>
          </w:tcPr>
          <w:p>
            <w:pPr>
              <w:jc w:val="center"/>
              <w:ind w:right="223"/>
              <w:spacing w:after="0" w:line="122" w:lineRule="exact"/>
              <w:rPr>
                <w:sz w:val="20"/>
                <w:szCs w:val="20"/>
                <w:color w:val="auto"/>
              </w:rPr>
            </w:pPr>
            <w:r>
              <w:rPr>
                <w:rFonts w:ascii="Arial" w:cs="Arial" w:eastAsia="Arial" w:hAnsi="Arial"/>
                <w:sz w:val="11"/>
                <w:szCs w:val="11"/>
                <w:color w:val="auto"/>
              </w:rPr>
              <w:t>5.0%</w:t>
            </w:r>
          </w:p>
        </w:tc>
        <w:tc>
          <w:tcPr>
            <w:tcW w:w="7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216,446</w:t>
            </w:r>
          </w:p>
        </w:tc>
        <w:tc>
          <w:tcPr>
            <w:tcW w:w="1080" w:type="dxa"/>
            <w:vAlign w:val="bottom"/>
            <w:tcBorders>
              <w:right w:val="single" w:sz="8" w:color="auto"/>
            </w:tcBorders>
          </w:tcPr>
          <w:p>
            <w:pPr>
              <w:jc w:val="center"/>
              <w:ind w:left="83"/>
              <w:spacing w:after="0" w:line="122" w:lineRule="exact"/>
              <w:rPr>
                <w:sz w:val="20"/>
                <w:szCs w:val="20"/>
                <w:color w:val="auto"/>
              </w:rPr>
            </w:pPr>
            <w:r>
              <w:rPr>
                <w:rFonts w:ascii="Arial" w:cs="Arial" w:eastAsia="Arial" w:hAnsi="Arial"/>
                <w:sz w:val="11"/>
                <w:szCs w:val="11"/>
                <w:color w:val="auto"/>
              </w:rPr>
              <w:t>210,717</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Total expenses</w:t>
            </w:r>
          </w:p>
        </w:tc>
        <w:tc>
          <w:tcPr>
            <w:tcW w:w="660" w:type="dxa"/>
            <w:vAlign w:val="bottom"/>
          </w:tcPr>
          <w:p>
            <w:pPr>
              <w:jc w:val="center"/>
              <w:ind w:left="183"/>
              <w:spacing w:after="0" w:line="122" w:lineRule="exact"/>
              <w:rPr>
                <w:sz w:val="20"/>
                <w:szCs w:val="20"/>
                <w:color w:val="auto"/>
              </w:rPr>
            </w:pPr>
            <w:r>
              <w:rPr>
                <w:rFonts w:ascii="Arial" w:cs="Arial" w:eastAsia="Arial" w:hAnsi="Arial"/>
                <w:sz w:val="11"/>
                <w:szCs w:val="11"/>
                <w:color w:val="auto"/>
              </w:rPr>
              <w:t>(84,186)</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rPr>
              <w:t>(91,978)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(82,730)</w:t>
            </w:r>
          </w:p>
        </w:tc>
        <w:tc>
          <w:tcPr>
            <w:tcW w:w="200" w:type="dxa"/>
            <w:vAlign w:val="bottom"/>
          </w:tcPr>
          <w:p>
            <w:pPr>
              <w:spacing w:after="0"/>
              <w:rPr>
                <w:sz w:val="10"/>
                <w:szCs w:val="10"/>
                <w:color w:val="auto"/>
              </w:rPr>
            </w:pPr>
          </w:p>
        </w:tc>
        <w:tc>
          <w:tcPr>
            <w:tcW w:w="940" w:type="dxa"/>
            <w:vAlign w:val="bottom"/>
          </w:tcPr>
          <w:p>
            <w:pPr>
              <w:jc w:val="center"/>
              <w:ind w:right="443"/>
              <w:spacing w:after="0" w:line="122" w:lineRule="exact"/>
              <w:rPr>
                <w:sz w:val="20"/>
                <w:szCs w:val="20"/>
                <w:color w:val="auto"/>
              </w:rPr>
            </w:pPr>
            <w:r>
              <w:rPr>
                <w:rFonts w:ascii="Arial" w:cs="Arial" w:eastAsia="Arial" w:hAnsi="Arial"/>
                <w:sz w:val="11"/>
                <w:szCs w:val="11"/>
                <w:color w:val="auto"/>
              </w:rPr>
              <w:t>-10.1%</w:t>
            </w:r>
          </w:p>
        </w:tc>
        <w:tc>
          <w:tcPr>
            <w:tcW w:w="660" w:type="dxa"/>
            <w:vAlign w:val="bottom"/>
            <w:tcBorders>
              <w:right w:val="single" w:sz="8" w:color="auto"/>
            </w:tcBorders>
          </w:tcPr>
          <w:p>
            <w:pPr>
              <w:jc w:val="center"/>
              <w:ind w:right="223"/>
              <w:spacing w:after="0" w:line="122" w:lineRule="exact"/>
              <w:rPr>
                <w:sz w:val="20"/>
                <w:szCs w:val="20"/>
                <w:color w:val="auto"/>
              </w:rPr>
            </w:pPr>
            <w:r>
              <w:rPr>
                <w:rFonts w:ascii="Arial" w:cs="Arial" w:eastAsia="Arial" w:hAnsi="Arial"/>
                <w:sz w:val="11"/>
                <w:szCs w:val="11"/>
                <w:color w:val="auto"/>
              </w:rPr>
              <w:t>-1.7%</w:t>
            </w:r>
          </w:p>
        </w:tc>
        <w:tc>
          <w:tcPr>
            <w:tcW w:w="7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(339,458)</w:t>
            </w:r>
          </w:p>
        </w:tc>
        <w:tc>
          <w:tcPr>
            <w:tcW w:w="1080" w:type="dxa"/>
            <w:vAlign w:val="bottom"/>
            <w:tcBorders>
              <w:right w:val="single" w:sz="8" w:color="auto"/>
            </w:tcBorders>
          </w:tcPr>
          <w:p>
            <w:pPr>
              <w:jc w:val="center"/>
              <w:ind w:left="103"/>
              <w:spacing w:after="0" w:line="122" w:lineRule="exact"/>
              <w:rPr>
                <w:sz w:val="20"/>
                <w:szCs w:val="20"/>
                <w:color w:val="auto"/>
              </w:rPr>
            </w:pPr>
            <w:r>
              <w:rPr>
                <w:rFonts w:ascii="Arial" w:cs="Arial" w:eastAsia="Arial" w:hAnsi="Arial"/>
                <w:sz w:val="11"/>
                <w:szCs w:val="11"/>
                <w:color w:val="auto"/>
              </w:rPr>
              <w:t>(359,811)</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Translation result</w:t>
            </w:r>
          </w:p>
        </w:tc>
        <w:tc>
          <w:tcPr>
            <w:tcW w:w="660" w:type="dxa"/>
            <w:vAlign w:val="bottom"/>
          </w:tcPr>
          <w:p>
            <w:pPr>
              <w:jc w:val="center"/>
              <w:ind w:left="163"/>
              <w:spacing w:after="0" w:line="122" w:lineRule="exact"/>
              <w:rPr>
                <w:sz w:val="20"/>
                <w:szCs w:val="20"/>
                <w:color w:val="auto"/>
              </w:rPr>
            </w:pPr>
            <w:r>
              <w:rPr>
                <w:rFonts w:ascii="Arial" w:cs="Arial" w:eastAsia="Arial" w:hAnsi="Arial"/>
                <w:sz w:val="11"/>
                <w:szCs w:val="11"/>
                <w:color w:val="auto"/>
              </w:rPr>
              <w:t>188</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rPr>
              <w:t>(31)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190</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-717.4%</w:t>
            </w:r>
          </w:p>
        </w:tc>
        <w:tc>
          <w:tcPr>
            <w:tcW w:w="660" w:type="dxa"/>
            <w:vAlign w:val="bottom"/>
            <w:tcBorders>
              <w:right w:val="single" w:sz="8" w:color="auto"/>
            </w:tcBorders>
          </w:tcPr>
          <w:p>
            <w:pPr>
              <w:jc w:val="center"/>
              <w:ind w:right="223"/>
              <w:spacing w:after="0" w:line="122" w:lineRule="exact"/>
              <w:rPr>
                <w:sz w:val="20"/>
                <w:szCs w:val="20"/>
                <w:color w:val="auto"/>
              </w:rPr>
            </w:pPr>
            <w:r>
              <w:rPr>
                <w:rFonts w:ascii="Arial" w:cs="Arial" w:eastAsia="Arial" w:hAnsi="Arial"/>
                <w:sz w:val="11"/>
                <w:szCs w:val="11"/>
                <w:color w:val="auto"/>
              </w:rPr>
              <w:t>1.0%</w:t>
            </w:r>
          </w:p>
        </w:tc>
        <w:tc>
          <w:tcPr>
            <w:tcW w:w="700" w:type="dxa"/>
            <w:vAlign w:val="bottom"/>
          </w:tcPr>
          <w:p>
            <w:pPr>
              <w:jc w:val="center"/>
              <w:ind w:left="103"/>
              <w:spacing w:after="0" w:line="122" w:lineRule="exact"/>
              <w:rPr>
                <w:sz w:val="20"/>
                <w:szCs w:val="20"/>
                <w:color w:val="auto"/>
              </w:rPr>
            </w:pPr>
            <w:r>
              <w:rPr>
                <w:rFonts w:ascii="Arial" w:cs="Arial" w:eastAsia="Arial" w:hAnsi="Arial"/>
                <w:sz w:val="11"/>
                <w:szCs w:val="11"/>
                <w:color w:val="auto"/>
                <w:w w:val="97"/>
              </w:rPr>
              <w:t>112</w:t>
            </w:r>
          </w:p>
        </w:tc>
        <w:tc>
          <w:tcPr>
            <w:tcW w:w="1080" w:type="dxa"/>
            <w:vAlign w:val="bottom"/>
            <w:tcBorders>
              <w:right w:val="single" w:sz="8" w:color="auto"/>
            </w:tcBorders>
          </w:tcPr>
          <w:p>
            <w:pPr>
              <w:jc w:val="center"/>
              <w:ind w:left="83"/>
              <w:spacing w:after="0" w:line="122" w:lineRule="exact"/>
              <w:rPr>
                <w:sz w:val="20"/>
                <w:szCs w:val="20"/>
                <w:color w:val="auto"/>
              </w:rPr>
            </w:pPr>
            <w:r>
              <w:rPr>
                <w:rFonts w:ascii="Arial" w:cs="Arial" w:eastAsia="Arial" w:hAnsi="Arial"/>
                <w:sz w:val="11"/>
                <w:szCs w:val="11"/>
                <w:color w:val="auto"/>
              </w:rPr>
              <w:t>50</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Income taxes</w:t>
            </w:r>
          </w:p>
        </w:tc>
        <w:tc>
          <w:tcPr>
            <w:tcW w:w="660" w:type="dxa"/>
            <w:vAlign w:val="bottom"/>
          </w:tcPr>
          <w:p>
            <w:pPr>
              <w:jc w:val="center"/>
              <w:ind w:left="163"/>
              <w:spacing w:after="0" w:line="122" w:lineRule="exact"/>
              <w:rPr>
                <w:sz w:val="20"/>
                <w:szCs w:val="20"/>
                <w:color w:val="auto"/>
              </w:rPr>
            </w:pPr>
            <w:r>
              <w:rPr>
                <w:rFonts w:ascii="Arial" w:cs="Arial" w:eastAsia="Arial" w:hAnsi="Arial"/>
                <w:sz w:val="11"/>
                <w:szCs w:val="11"/>
                <w:color w:val="auto"/>
              </w:rPr>
              <w:t>(7,228)</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rPr>
              <w:t>(18,203)</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(2,865)</w:t>
            </w:r>
          </w:p>
        </w:tc>
        <w:tc>
          <w:tcPr>
            <w:tcW w:w="200" w:type="dxa"/>
            <w:vAlign w:val="bottom"/>
          </w:tcPr>
          <w:p>
            <w:pPr>
              <w:spacing w:after="0"/>
              <w:rPr>
                <w:sz w:val="10"/>
                <w:szCs w:val="10"/>
                <w:color w:val="auto"/>
              </w:rPr>
            </w:pPr>
          </w:p>
        </w:tc>
        <w:tc>
          <w:tcPr>
            <w:tcW w:w="940" w:type="dxa"/>
            <w:vAlign w:val="bottom"/>
          </w:tcPr>
          <w:p>
            <w:pPr>
              <w:jc w:val="center"/>
              <w:ind w:right="443"/>
              <w:spacing w:after="0" w:line="122" w:lineRule="exact"/>
              <w:rPr>
                <w:sz w:val="20"/>
                <w:szCs w:val="20"/>
                <w:color w:val="auto"/>
              </w:rPr>
            </w:pPr>
            <w:r>
              <w:rPr>
                <w:rFonts w:ascii="Arial" w:cs="Arial" w:eastAsia="Arial" w:hAnsi="Arial"/>
                <w:sz w:val="11"/>
                <w:szCs w:val="11"/>
                <w:color w:val="auto"/>
              </w:rPr>
              <w:t>-84.3%</w:t>
            </w:r>
          </w:p>
        </w:tc>
        <w:tc>
          <w:tcPr>
            <w:tcW w:w="660" w:type="dxa"/>
            <w:vAlign w:val="bottom"/>
            <w:tcBorders>
              <w:right w:val="single" w:sz="8" w:color="auto"/>
            </w:tcBorders>
          </w:tcPr>
          <w:p>
            <w:pPr>
              <w:jc w:val="center"/>
              <w:ind w:right="243"/>
              <w:spacing w:after="0" w:line="122" w:lineRule="exact"/>
              <w:rPr>
                <w:sz w:val="20"/>
                <w:szCs w:val="20"/>
                <w:color w:val="auto"/>
              </w:rPr>
            </w:pPr>
            <w:r>
              <w:rPr>
                <w:rFonts w:ascii="Arial" w:cs="Arial" w:eastAsia="Arial" w:hAnsi="Arial"/>
                <w:sz w:val="11"/>
                <w:szCs w:val="11"/>
                <w:color w:val="auto"/>
              </w:rPr>
              <w:t>-60.4%</w:t>
            </w:r>
          </w:p>
        </w:tc>
        <w:tc>
          <w:tcPr>
            <w:tcW w:w="700" w:type="dxa"/>
            <w:vAlign w:val="bottom"/>
          </w:tcPr>
          <w:p>
            <w:pPr>
              <w:jc w:val="center"/>
              <w:ind w:left="103"/>
              <w:spacing w:after="0" w:line="122" w:lineRule="exact"/>
              <w:rPr>
                <w:sz w:val="20"/>
                <w:szCs w:val="20"/>
                <w:color w:val="auto"/>
              </w:rPr>
            </w:pPr>
            <w:r>
              <w:rPr>
                <w:rFonts w:ascii="Arial" w:cs="Arial" w:eastAsia="Arial" w:hAnsi="Arial"/>
                <w:sz w:val="11"/>
                <w:szCs w:val="11"/>
                <w:color w:val="auto"/>
              </w:rPr>
              <w:t>(142,278)</w:t>
            </w:r>
          </w:p>
        </w:tc>
        <w:tc>
          <w:tcPr>
            <w:tcW w:w="1080" w:type="dxa"/>
            <w:vAlign w:val="bottom"/>
            <w:tcBorders>
              <w:right w:val="single" w:sz="8" w:color="auto"/>
            </w:tcBorders>
          </w:tcPr>
          <w:p>
            <w:pPr>
              <w:jc w:val="center"/>
              <w:ind w:left="83"/>
              <w:spacing w:after="0" w:line="122" w:lineRule="exact"/>
              <w:rPr>
                <w:sz w:val="20"/>
                <w:szCs w:val="20"/>
                <w:color w:val="auto"/>
              </w:rPr>
            </w:pPr>
            <w:r>
              <w:rPr>
                <w:rFonts w:ascii="Arial" w:cs="Arial" w:eastAsia="Arial" w:hAnsi="Arial"/>
                <w:sz w:val="11"/>
                <w:szCs w:val="11"/>
                <w:color w:val="auto"/>
              </w:rPr>
              <w:t>(62,202)</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income</w:t>
            </w:r>
          </w:p>
        </w:tc>
        <w:tc>
          <w:tcPr>
            <w:tcW w:w="660" w:type="dxa"/>
            <w:vAlign w:val="bottom"/>
            <w:tcBorders>
              <w:bottom w:val="single" w:sz="8" w:color="auto"/>
            </w:tcBorders>
          </w:tcPr>
          <w:p>
            <w:pPr>
              <w:jc w:val="center"/>
              <w:ind w:left="163"/>
              <w:spacing w:after="0"/>
              <w:rPr>
                <w:sz w:val="20"/>
                <w:szCs w:val="20"/>
                <w:color w:val="auto"/>
              </w:rPr>
            </w:pPr>
            <w:r>
              <w:rPr>
                <w:rFonts w:ascii="Arial" w:cs="Arial" w:eastAsia="Arial" w:hAnsi="Arial"/>
                <w:sz w:val="11"/>
                <w:szCs w:val="11"/>
                <w:b w:val="1"/>
                <w:bCs w:val="1"/>
                <w:color w:val="auto"/>
              </w:rPr>
              <w:t>16,759</w:t>
            </w:r>
          </w:p>
        </w:tc>
        <w:tc>
          <w:tcPr>
            <w:tcW w:w="1140" w:type="dxa"/>
            <w:vAlign w:val="bottom"/>
            <w:tcBorders>
              <w:bottom w:val="single" w:sz="8" w:color="auto"/>
            </w:tcBorders>
          </w:tcPr>
          <w:p>
            <w:pPr>
              <w:jc w:val="center"/>
              <w:ind w:left="162"/>
              <w:spacing w:after="0"/>
              <w:rPr>
                <w:sz w:val="20"/>
                <w:szCs w:val="20"/>
                <w:color w:val="auto"/>
              </w:rPr>
            </w:pPr>
            <w:r>
              <w:rPr>
                <w:rFonts w:ascii="Arial" w:cs="Arial" w:eastAsia="Arial" w:hAnsi="Arial"/>
                <w:sz w:val="11"/>
                <w:szCs w:val="11"/>
                <w:b w:val="1"/>
                <w:bCs w:val="1"/>
                <w:color w:val="auto"/>
              </w:rPr>
              <w:t>21,059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19,652</w:t>
            </w: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23"/>
              <w:spacing w:after="0"/>
              <w:rPr>
                <w:sz w:val="20"/>
                <w:szCs w:val="20"/>
                <w:color w:val="auto"/>
              </w:rPr>
            </w:pPr>
            <w:r>
              <w:rPr>
                <w:rFonts w:ascii="Arial" w:cs="Arial" w:eastAsia="Arial" w:hAnsi="Arial"/>
                <w:sz w:val="11"/>
                <w:szCs w:val="11"/>
                <w:b w:val="1"/>
                <w:bCs w:val="1"/>
                <w:color w:val="auto"/>
              </w:rPr>
              <w:t>-6.7%</w:t>
            </w:r>
          </w:p>
        </w:tc>
        <w:tc>
          <w:tcPr>
            <w:tcW w:w="660" w:type="dxa"/>
            <w:vAlign w:val="bottom"/>
            <w:tcBorders>
              <w:bottom w:val="single" w:sz="8" w:color="auto"/>
              <w:right w:val="single" w:sz="8" w:color="auto"/>
            </w:tcBorders>
          </w:tcPr>
          <w:p>
            <w:pPr>
              <w:jc w:val="center"/>
              <w:ind w:right="243"/>
              <w:spacing w:after="0"/>
              <w:rPr>
                <w:sz w:val="20"/>
                <w:szCs w:val="20"/>
                <w:color w:val="auto"/>
              </w:rPr>
            </w:pPr>
            <w:r>
              <w:rPr>
                <w:rFonts w:ascii="Arial" w:cs="Arial" w:eastAsia="Arial" w:hAnsi="Arial"/>
                <w:sz w:val="11"/>
                <w:szCs w:val="11"/>
                <w:b w:val="1"/>
                <w:bCs w:val="1"/>
                <w:color w:val="auto"/>
              </w:rPr>
              <w:t>17.3%</w:t>
            </w:r>
          </w:p>
        </w:tc>
        <w:tc>
          <w:tcPr>
            <w:tcW w:w="700" w:type="dxa"/>
            <w:vAlign w:val="bottom"/>
            <w:tcBorders>
              <w:bottom w:val="single" w:sz="8" w:color="auto"/>
            </w:tcBorders>
          </w:tcPr>
          <w:p>
            <w:pPr>
              <w:jc w:val="center"/>
              <w:ind w:left="103"/>
              <w:spacing w:after="0"/>
              <w:rPr>
                <w:sz w:val="20"/>
                <w:szCs w:val="20"/>
                <w:color w:val="auto"/>
              </w:rPr>
            </w:pPr>
            <w:r>
              <w:rPr>
                <w:rFonts w:ascii="Arial" w:cs="Arial" w:eastAsia="Arial" w:hAnsi="Arial"/>
                <w:sz w:val="11"/>
                <w:szCs w:val="11"/>
                <w:b w:val="1"/>
                <w:bCs w:val="1"/>
                <w:color w:val="auto"/>
              </w:rPr>
              <w:t>88,487</w:t>
            </w:r>
          </w:p>
        </w:tc>
        <w:tc>
          <w:tcPr>
            <w:tcW w:w="1080" w:type="dxa"/>
            <w:vAlign w:val="bottom"/>
            <w:tcBorders>
              <w:bottom w:val="single" w:sz="8" w:color="auto"/>
              <w:right w:val="single" w:sz="8" w:color="auto"/>
            </w:tcBorders>
          </w:tcPr>
          <w:p>
            <w:pPr>
              <w:jc w:val="center"/>
              <w:ind w:left="83"/>
              <w:spacing w:after="0"/>
              <w:rPr>
                <w:sz w:val="20"/>
                <w:szCs w:val="20"/>
                <w:color w:val="auto"/>
              </w:rPr>
            </w:pPr>
            <w:r>
              <w:rPr>
                <w:rFonts w:ascii="Arial" w:cs="Arial" w:eastAsia="Arial" w:hAnsi="Arial"/>
                <w:sz w:val="11"/>
                <w:szCs w:val="11"/>
                <w:b w:val="1"/>
                <w:bCs w:val="1"/>
                <w:color w:val="auto"/>
              </w:rPr>
              <w:t>83,051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Selected Financial Indicators</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840" w:type="dxa"/>
            <w:vAlign w:val="bottom"/>
            <w:tcBorders>
              <w:right w:val="single" w:sz="8" w:color="auto"/>
            </w:tcBorders>
          </w:tcPr>
          <w:p>
            <w:pPr>
              <w:spacing w:after="0"/>
              <w:rPr>
                <w:sz w:val="8"/>
                <w:szCs w:val="8"/>
                <w:color w:val="auto"/>
              </w:rPr>
            </w:pPr>
          </w:p>
        </w:tc>
        <w:tc>
          <w:tcPr>
            <w:tcW w:w="660" w:type="dxa"/>
            <w:vAlign w:val="bottom"/>
            <w:vMerge w:val="restart"/>
            <w:shd w:val="clear" w:color="auto" w:fill="2AD2C9"/>
          </w:tcPr>
          <w:p>
            <w:pPr>
              <w:jc w:val="center"/>
              <w:ind w:left="163"/>
              <w:spacing w:after="0"/>
              <w:rPr>
                <w:sz w:val="20"/>
                <w:szCs w:val="20"/>
                <w:color w:val="auto"/>
              </w:rPr>
            </w:pPr>
            <w:r>
              <w:rPr>
                <w:rFonts w:ascii="Arial" w:cs="Arial" w:eastAsia="Arial" w:hAnsi="Arial"/>
                <w:sz w:val="11"/>
                <w:szCs w:val="11"/>
                <w:b w:val="1"/>
                <w:bCs w:val="1"/>
                <w:color w:val="FFFFFF"/>
              </w:rPr>
              <w:t>4Q22</w:t>
            </w:r>
          </w:p>
        </w:tc>
        <w:tc>
          <w:tcPr>
            <w:tcW w:w="1140" w:type="dxa"/>
            <w:vAlign w:val="bottom"/>
            <w:shd w:val="clear" w:color="auto" w:fill="2AD2C9"/>
          </w:tcPr>
          <w:p>
            <w:pPr>
              <w:ind w:left="480"/>
              <w:spacing w:after="0" w:line="99" w:lineRule="exact"/>
              <w:rPr>
                <w:sz w:val="20"/>
                <w:szCs w:val="20"/>
                <w:color w:val="auto"/>
              </w:rPr>
            </w:pPr>
            <w:r>
              <w:rPr>
                <w:rFonts w:ascii="Arial" w:cs="Arial" w:eastAsia="Arial" w:hAnsi="Arial"/>
                <w:sz w:val="11"/>
                <w:szCs w:val="11"/>
                <w:b w:val="1"/>
                <w:bCs w:val="1"/>
                <w:color w:val="FFFFFF"/>
              </w:rPr>
              <w:t>Quarter</w:t>
            </w:r>
          </w:p>
        </w:tc>
        <w:tc>
          <w:tcPr>
            <w:tcW w:w="92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rPr>
              <w:t>4Q23</w:t>
            </w:r>
          </w:p>
        </w:tc>
        <w:tc>
          <w:tcPr>
            <w:tcW w:w="200" w:type="dxa"/>
            <w:vAlign w:val="bottom"/>
            <w:shd w:val="clear" w:color="auto" w:fill="2AD2C9"/>
          </w:tcPr>
          <w:p>
            <w:pPr>
              <w:spacing w:after="0"/>
              <w:rPr>
                <w:sz w:val="8"/>
                <w:szCs w:val="8"/>
                <w:color w:val="auto"/>
              </w:rPr>
            </w:pPr>
          </w:p>
        </w:tc>
        <w:tc>
          <w:tcPr>
            <w:tcW w:w="940" w:type="dxa"/>
            <w:vAlign w:val="bottom"/>
            <w:shd w:val="clear" w:color="auto" w:fill="2AD2C9"/>
          </w:tcPr>
          <w:p>
            <w:pPr>
              <w:ind w:left="420"/>
              <w:spacing w:after="0" w:line="99" w:lineRule="exact"/>
              <w:rPr>
                <w:sz w:val="20"/>
                <w:szCs w:val="20"/>
                <w:color w:val="auto"/>
              </w:rPr>
            </w:pPr>
            <w:r>
              <w:rPr>
                <w:rFonts w:ascii="Arial" w:cs="Arial" w:eastAsia="Arial" w:hAnsi="Arial"/>
                <w:sz w:val="11"/>
                <w:szCs w:val="11"/>
                <w:b w:val="1"/>
                <w:bCs w:val="1"/>
                <w:color w:val="FFFFFF"/>
                <w:w w:val="97"/>
              </w:rPr>
              <w:t>% change</w:t>
            </w:r>
          </w:p>
        </w:tc>
        <w:tc>
          <w:tcPr>
            <w:tcW w:w="660" w:type="dxa"/>
            <w:vAlign w:val="bottom"/>
            <w:tcBorders>
              <w:right w:val="single" w:sz="8" w:color="auto"/>
            </w:tcBorders>
            <w:vMerge w:val="restart"/>
            <w:shd w:val="clear" w:color="auto" w:fill="2AD2C9"/>
          </w:tcPr>
          <w:p>
            <w:pPr>
              <w:ind w:left="80"/>
              <w:spacing w:after="0"/>
              <w:rPr>
                <w:sz w:val="20"/>
                <w:szCs w:val="20"/>
                <w:color w:val="auto"/>
              </w:rPr>
            </w:pPr>
            <w:r>
              <w:rPr>
                <w:rFonts w:ascii="Arial" w:cs="Arial" w:eastAsia="Arial" w:hAnsi="Arial"/>
                <w:sz w:val="11"/>
                <w:szCs w:val="11"/>
                <w:b w:val="1"/>
                <w:bCs w:val="1"/>
                <w:color w:val="FFFFFF"/>
              </w:rPr>
              <w:t>YoY</w:t>
            </w:r>
          </w:p>
        </w:tc>
        <w:tc>
          <w:tcPr>
            <w:tcW w:w="700" w:type="dxa"/>
            <w:vAlign w:val="bottom"/>
            <w:vMerge w:val="restart"/>
            <w:shd w:val="clear" w:color="auto" w:fill="2AD2C9"/>
          </w:tcPr>
          <w:p>
            <w:pPr>
              <w:ind w:left="240"/>
              <w:spacing w:after="0"/>
              <w:rPr>
                <w:sz w:val="20"/>
                <w:szCs w:val="20"/>
                <w:color w:val="auto"/>
              </w:rPr>
            </w:pPr>
            <w:r>
              <w:rPr>
                <w:rFonts w:ascii="Arial" w:cs="Arial" w:eastAsia="Arial" w:hAnsi="Arial"/>
                <w:sz w:val="11"/>
                <w:szCs w:val="11"/>
                <w:b w:val="1"/>
                <w:bCs w:val="1"/>
                <w:color w:val="FFFFFF"/>
              </w:rPr>
              <w:t>Dec 22</w:t>
            </w:r>
          </w:p>
        </w:tc>
        <w:tc>
          <w:tcPr>
            <w:tcW w:w="1080" w:type="dxa"/>
            <w:vAlign w:val="bottom"/>
            <w:tcBorders>
              <w:right w:val="single" w:sz="8" w:color="auto"/>
            </w:tcBorders>
            <w:shd w:val="clear" w:color="auto" w:fill="2AD2C9"/>
          </w:tcPr>
          <w:p>
            <w:pPr>
              <w:ind w:left="40"/>
              <w:spacing w:after="0" w:line="99" w:lineRule="exact"/>
              <w:rPr>
                <w:sz w:val="20"/>
                <w:szCs w:val="20"/>
                <w:color w:val="auto"/>
              </w:rPr>
            </w:pPr>
            <w:r>
              <w:rPr>
                <w:rFonts w:ascii="Arial" w:cs="Arial" w:eastAsia="Arial" w:hAnsi="Arial"/>
                <w:sz w:val="11"/>
                <w:szCs w:val="11"/>
                <w:b w:val="1"/>
                <w:bCs w:val="1"/>
                <w:color w:val="FFFFFF"/>
              </w:rPr>
              <w:t>As of</w:t>
            </w:r>
          </w:p>
        </w:tc>
        <w:tc>
          <w:tcPr>
            <w:tcW w:w="1120" w:type="dxa"/>
            <w:vAlign w:val="bottom"/>
            <w:tcBorders>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 change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vMerge w:val="continue"/>
            <w:shd w:val="clear" w:color="auto" w:fill="2AD2C9"/>
          </w:tcPr>
          <w:p>
            <w:pPr>
              <w:spacing w:after="0"/>
              <w:rPr>
                <w:sz w:val="11"/>
                <w:szCs w:val="11"/>
                <w:color w:val="auto"/>
              </w:rPr>
            </w:pPr>
          </w:p>
        </w:tc>
        <w:tc>
          <w:tcPr>
            <w:tcW w:w="1140" w:type="dxa"/>
            <w:vAlign w:val="bottom"/>
            <w:tcBorders>
              <w:bottom w:val="single" w:sz="8" w:color="auto"/>
            </w:tcBorders>
            <w:shd w:val="clear" w:color="auto" w:fill="2AD2C9"/>
          </w:tcPr>
          <w:p>
            <w:pPr>
              <w:jc w:val="center"/>
              <w:ind w:left="162"/>
              <w:spacing w:after="0"/>
              <w:rPr>
                <w:sz w:val="20"/>
                <w:szCs w:val="20"/>
                <w:color w:val="auto"/>
              </w:rPr>
            </w:pPr>
            <w:r>
              <w:rPr>
                <w:rFonts w:ascii="Arial" w:cs="Arial" w:eastAsia="Arial" w:hAnsi="Arial"/>
                <w:sz w:val="11"/>
                <w:szCs w:val="11"/>
                <w:b w:val="1"/>
                <w:bCs w:val="1"/>
                <w:color w:val="FFFFFF"/>
              </w:rPr>
              <w:t>3Q23</w:t>
            </w:r>
          </w:p>
        </w:tc>
        <w:tc>
          <w:tcPr>
            <w:tcW w:w="92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200" w:type="dxa"/>
            <w:vAlign w:val="bottom"/>
            <w:tcBorders>
              <w:bottom w:val="single" w:sz="8" w:color="auto"/>
            </w:tcBorders>
            <w:shd w:val="clear" w:color="auto" w:fill="2AD2C9"/>
          </w:tcPr>
          <w:p>
            <w:pPr>
              <w:spacing w:after="0"/>
              <w:rPr>
                <w:sz w:val="11"/>
                <w:szCs w:val="11"/>
                <w:color w:val="auto"/>
              </w:rPr>
            </w:pPr>
          </w:p>
        </w:tc>
        <w:tc>
          <w:tcPr>
            <w:tcW w:w="94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color w:val="FFFFFF"/>
              </w:rPr>
              <w:t>QoQ</w:t>
            </w:r>
          </w:p>
        </w:tc>
        <w:tc>
          <w:tcPr>
            <w:tcW w:w="66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700" w:type="dxa"/>
            <w:vAlign w:val="bottom"/>
            <w:tcBorders>
              <w:bottom w:val="single" w:sz="8" w:color="auto"/>
            </w:tcBorders>
            <w:vMerge w:val="continue"/>
            <w:shd w:val="clear" w:color="auto" w:fill="2AD2C9"/>
          </w:tcPr>
          <w:p>
            <w:pPr>
              <w:spacing w:after="0"/>
              <w:rPr>
                <w:sz w:val="11"/>
                <w:szCs w:val="11"/>
                <w:color w:val="auto"/>
              </w:rPr>
            </w:pPr>
          </w:p>
        </w:tc>
        <w:tc>
          <w:tcPr>
            <w:tcW w:w="108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Arial" w:cs="Arial" w:eastAsia="Arial" w:hAnsi="Arial"/>
                <w:sz w:val="11"/>
                <w:szCs w:val="11"/>
                <w:b w:val="1"/>
                <w:bCs w:val="1"/>
                <w:color w:val="FFFFFF"/>
              </w:rPr>
              <w:t>Dec 23</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Dec 23 / Dec 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84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color w:val="auto"/>
              </w:rPr>
              <w:t>Efficiency ratio</w:t>
            </w:r>
          </w:p>
        </w:tc>
        <w:tc>
          <w:tcPr>
            <w:tcW w:w="660" w:type="dxa"/>
            <w:vAlign w:val="bottom"/>
          </w:tcPr>
          <w:p>
            <w:pPr>
              <w:jc w:val="center"/>
              <w:ind w:left="163"/>
              <w:spacing w:after="0" w:line="99" w:lineRule="exact"/>
              <w:rPr>
                <w:sz w:val="20"/>
                <w:szCs w:val="20"/>
                <w:color w:val="auto"/>
              </w:rPr>
            </w:pPr>
            <w:r>
              <w:rPr>
                <w:rFonts w:ascii="Arial" w:cs="Arial" w:eastAsia="Arial" w:hAnsi="Arial"/>
                <w:sz w:val="11"/>
                <w:szCs w:val="11"/>
                <w:color w:val="auto"/>
              </w:rPr>
              <w:t>64.5%</w:t>
            </w:r>
          </w:p>
        </w:tc>
        <w:tc>
          <w:tcPr>
            <w:tcW w:w="1140" w:type="dxa"/>
            <w:vAlign w:val="bottom"/>
          </w:tcPr>
          <w:p>
            <w:pPr>
              <w:jc w:val="center"/>
              <w:ind w:left="162"/>
              <w:spacing w:after="0" w:line="99" w:lineRule="exact"/>
              <w:rPr>
                <w:sz w:val="20"/>
                <w:szCs w:val="20"/>
                <w:color w:val="auto"/>
              </w:rPr>
            </w:pPr>
            <w:r>
              <w:rPr>
                <w:rFonts w:ascii="Arial" w:cs="Arial" w:eastAsia="Arial" w:hAnsi="Arial"/>
                <w:sz w:val="11"/>
                <w:szCs w:val="11"/>
                <w:color w:val="auto"/>
              </w:rPr>
              <w:t>65.3%</w:t>
            </w:r>
          </w:p>
        </w:tc>
        <w:tc>
          <w:tcPr>
            <w:tcW w:w="9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59.0%</w:t>
            </w:r>
          </w:p>
        </w:tc>
        <w:tc>
          <w:tcPr>
            <w:tcW w:w="200" w:type="dxa"/>
            <w:vAlign w:val="bottom"/>
          </w:tcPr>
          <w:p>
            <w:pPr>
              <w:spacing w:after="0"/>
              <w:rPr>
                <w:sz w:val="8"/>
                <w:szCs w:val="8"/>
                <w:color w:val="auto"/>
              </w:rPr>
            </w:pPr>
          </w:p>
        </w:tc>
        <w:tc>
          <w:tcPr>
            <w:tcW w:w="940" w:type="dxa"/>
            <w:vAlign w:val="bottom"/>
          </w:tcPr>
          <w:p>
            <w:pPr>
              <w:jc w:val="center"/>
              <w:ind w:right="423"/>
              <w:spacing w:after="0" w:line="99" w:lineRule="exact"/>
              <w:rPr>
                <w:sz w:val="20"/>
                <w:szCs w:val="20"/>
                <w:color w:val="auto"/>
              </w:rPr>
            </w:pPr>
            <w:r>
              <w:rPr>
                <w:rFonts w:ascii="Arial" w:cs="Arial" w:eastAsia="Arial" w:hAnsi="Arial"/>
                <w:sz w:val="11"/>
                <w:szCs w:val="11"/>
                <w:color w:val="auto"/>
              </w:rPr>
              <w:t>-9.7%</w:t>
            </w:r>
          </w:p>
        </w:tc>
        <w:tc>
          <w:tcPr>
            <w:tcW w:w="660" w:type="dxa"/>
            <w:vAlign w:val="bottom"/>
            <w:tcBorders>
              <w:right w:val="single" w:sz="8" w:color="auto"/>
            </w:tcBorders>
          </w:tcPr>
          <w:p>
            <w:pPr>
              <w:jc w:val="center"/>
              <w:ind w:right="223"/>
              <w:spacing w:after="0" w:line="99" w:lineRule="exact"/>
              <w:rPr>
                <w:sz w:val="20"/>
                <w:szCs w:val="20"/>
                <w:color w:val="auto"/>
              </w:rPr>
            </w:pPr>
            <w:r>
              <w:rPr>
                <w:rFonts w:ascii="Arial" w:cs="Arial" w:eastAsia="Arial" w:hAnsi="Arial"/>
                <w:sz w:val="11"/>
                <w:szCs w:val="11"/>
                <w:color w:val="auto"/>
              </w:rPr>
              <w:t>-8.5%</w:t>
            </w:r>
          </w:p>
        </w:tc>
        <w:tc>
          <w:tcPr>
            <w:tcW w:w="700" w:type="dxa"/>
            <w:vAlign w:val="bottom"/>
          </w:tcPr>
          <w:p>
            <w:pPr>
              <w:jc w:val="center"/>
              <w:ind w:left="103"/>
              <w:spacing w:after="0" w:line="99" w:lineRule="exact"/>
              <w:rPr>
                <w:sz w:val="20"/>
                <w:szCs w:val="20"/>
                <w:color w:val="auto"/>
              </w:rPr>
            </w:pPr>
            <w:r>
              <w:rPr>
                <w:rFonts w:ascii="Arial" w:cs="Arial" w:eastAsia="Arial" w:hAnsi="Arial"/>
                <w:sz w:val="11"/>
                <w:szCs w:val="11"/>
                <w:color w:val="auto"/>
              </w:rPr>
              <w:t>60.90%</w:t>
            </w:r>
          </w:p>
        </w:tc>
        <w:tc>
          <w:tcPr>
            <w:tcW w:w="1080" w:type="dxa"/>
            <w:vAlign w:val="bottom"/>
            <w:tcBorders>
              <w:right w:val="single" w:sz="8" w:color="auto"/>
            </w:tcBorders>
          </w:tcPr>
          <w:p>
            <w:pPr>
              <w:jc w:val="center"/>
              <w:ind w:left="83"/>
              <w:spacing w:after="0" w:line="99" w:lineRule="exact"/>
              <w:rPr>
                <w:sz w:val="20"/>
                <w:szCs w:val="20"/>
                <w:color w:val="auto"/>
              </w:rPr>
            </w:pPr>
            <w:r>
              <w:rPr>
                <w:rFonts w:ascii="Arial" w:cs="Arial" w:eastAsia="Arial" w:hAnsi="Arial"/>
                <w:sz w:val="11"/>
                <w:szCs w:val="11"/>
                <w:color w:val="auto"/>
              </w:rPr>
              <w:t>61.32%</w:t>
            </w:r>
          </w:p>
        </w:tc>
        <w:tc>
          <w:tcPr>
            <w:tcW w:w="11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40 bps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ROAE</w:t>
            </w:r>
          </w:p>
        </w:tc>
        <w:tc>
          <w:tcPr>
            <w:tcW w:w="660" w:type="dxa"/>
            <w:vAlign w:val="bottom"/>
          </w:tcPr>
          <w:p>
            <w:pPr>
              <w:jc w:val="center"/>
              <w:ind w:left="183"/>
              <w:spacing w:after="0" w:line="122" w:lineRule="exact"/>
              <w:rPr>
                <w:sz w:val="20"/>
                <w:szCs w:val="20"/>
                <w:color w:val="auto"/>
              </w:rPr>
            </w:pPr>
            <w:r>
              <w:rPr>
                <w:rFonts w:ascii="Arial" w:cs="Arial" w:eastAsia="Arial" w:hAnsi="Arial"/>
                <w:sz w:val="11"/>
                <w:szCs w:val="11"/>
                <w:color w:val="auto"/>
              </w:rPr>
              <w:t>7.7%</w:t>
            </w:r>
          </w:p>
        </w:tc>
        <w:tc>
          <w:tcPr>
            <w:tcW w:w="1140" w:type="dxa"/>
            <w:vAlign w:val="bottom"/>
          </w:tcPr>
          <w:p>
            <w:pPr>
              <w:jc w:val="center"/>
              <w:ind w:left="142"/>
              <w:spacing w:after="0" w:line="122" w:lineRule="exact"/>
              <w:rPr>
                <w:sz w:val="20"/>
                <w:szCs w:val="20"/>
                <w:color w:val="auto"/>
              </w:rPr>
            </w:pPr>
            <w:r>
              <w:rPr>
                <w:rFonts w:ascii="Arial" w:cs="Arial" w:eastAsia="Arial" w:hAnsi="Arial"/>
                <w:sz w:val="11"/>
                <w:szCs w:val="11"/>
                <w:color w:val="auto"/>
              </w:rPr>
              <w:t>9.7%</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8.8%</w:t>
            </w:r>
          </w:p>
        </w:tc>
        <w:tc>
          <w:tcPr>
            <w:tcW w:w="200" w:type="dxa"/>
            <w:vAlign w:val="bottom"/>
          </w:tcPr>
          <w:p>
            <w:pPr>
              <w:spacing w:after="0"/>
              <w:rPr>
                <w:sz w:val="11"/>
                <w:szCs w:val="11"/>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-8.4%</w:t>
            </w:r>
          </w:p>
        </w:tc>
        <w:tc>
          <w:tcPr>
            <w:tcW w:w="660" w:type="dxa"/>
            <w:vAlign w:val="bottom"/>
            <w:tcBorders>
              <w:right w:val="single" w:sz="8" w:color="auto"/>
            </w:tcBorders>
          </w:tcPr>
          <w:p>
            <w:pPr>
              <w:jc w:val="center"/>
              <w:ind w:right="243"/>
              <w:spacing w:after="0" w:line="122" w:lineRule="exact"/>
              <w:rPr>
                <w:sz w:val="20"/>
                <w:szCs w:val="20"/>
                <w:color w:val="auto"/>
              </w:rPr>
            </w:pPr>
            <w:r>
              <w:rPr>
                <w:rFonts w:ascii="Arial" w:cs="Arial" w:eastAsia="Arial" w:hAnsi="Arial"/>
                <w:sz w:val="11"/>
                <w:szCs w:val="11"/>
                <w:color w:val="auto"/>
              </w:rPr>
              <w:t>14.2%</w:t>
            </w:r>
          </w:p>
        </w:tc>
        <w:tc>
          <w:tcPr>
            <w:tcW w:w="700" w:type="dxa"/>
            <w:vAlign w:val="bottom"/>
            <w:tcBorders>
              <w:bottom w:val="single" w:sz="8" w:color="auto"/>
            </w:tcBorders>
          </w:tcPr>
          <w:p>
            <w:pPr>
              <w:jc w:val="center"/>
              <w:ind w:left="103"/>
              <w:spacing w:after="0" w:line="122" w:lineRule="exact"/>
              <w:rPr>
                <w:sz w:val="20"/>
                <w:szCs w:val="20"/>
                <w:color w:val="auto"/>
              </w:rPr>
            </w:pPr>
            <w:r>
              <w:rPr>
                <w:rFonts w:ascii="Arial" w:cs="Arial" w:eastAsia="Arial" w:hAnsi="Arial"/>
                <w:sz w:val="11"/>
                <w:szCs w:val="11"/>
                <w:color w:val="auto"/>
              </w:rPr>
              <w:t>18.04%</w:t>
            </w:r>
          </w:p>
        </w:tc>
        <w:tc>
          <w:tcPr>
            <w:tcW w:w="1080" w:type="dxa"/>
            <w:vAlign w:val="bottom"/>
            <w:tcBorders>
              <w:bottom w:val="single" w:sz="8" w:color="auto"/>
              <w:right w:val="single" w:sz="8" w:color="auto"/>
            </w:tcBorders>
          </w:tcPr>
          <w:p>
            <w:pPr>
              <w:jc w:val="center"/>
              <w:ind w:left="83"/>
              <w:spacing w:after="0" w:line="122" w:lineRule="exact"/>
              <w:rPr>
                <w:sz w:val="20"/>
                <w:szCs w:val="20"/>
                <w:color w:val="auto"/>
              </w:rPr>
            </w:pPr>
            <w:r>
              <w:rPr>
                <w:rFonts w:ascii="Arial" w:cs="Arial" w:eastAsia="Arial" w:hAnsi="Arial"/>
                <w:sz w:val="11"/>
                <w:szCs w:val="11"/>
                <w:color w:val="auto"/>
              </w:rPr>
              <w:t>19.75%</w:t>
            </w:r>
          </w:p>
        </w:tc>
        <w:tc>
          <w:tcPr>
            <w:tcW w:w="1120" w:type="dxa"/>
            <w:vAlign w:val="bottom"/>
            <w:tcBorders>
              <w:bottom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180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840" w:type="dxa"/>
            <w:vAlign w:val="bottom"/>
            <w:tcBorders>
              <w:left w:val="single" w:sz="8" w:color="auto"/>
              <w:right w:val="single" w:sz="8" w:color="auto"/>
            </w:tcBorders>
          </w:tcPr>
          <w:p>
            <w:pPr>
              <w:ind w:left="100"/>
              <w:spacing w:after="0" w:line="107" w:lineRule="exact"/>
              <w:rPr>
                <w:sz w:val="20"/>
                <w:szCs w:val="20"/>
                <w:color w:val="auto"/>
              </w:rPr>
            </w:pPr>
            <w:r>
              <w:rPr>
                <w:rFonts w:ascii="Arial" w:cs="Arial" w:eastAsia="Arial" w:hAnsi="Arial"/>
                <w:sz w:val="11"/>
                <w:szCs w:val="11"/>
                <w:color w:val="auto"/>
              </w:rPr>
              <w:t>L/D ratio</w:t>
            </w:r>
          </w:p>
        </w:tc>
        <w:tc>
          <w:tcPr>
            <w:tcW w:w="660" w:type="dxa"/>
            <w:vAlign w:val="bottom"/>
          </w:tcPr>
          <w:p>
            <w:pPr>
              <w:jc w:val="center"/>
              <w:ind w:left="163"/>
              <w:spacing w:after="0" w:line="107" w:lineRule="exact"/>
              <w:rPr>
                <w:sz w:val="20"/>
                <w:szCs w:val="20"/>
                <w:color w:val="auto"/>
              </w:rPr>
            </w:pPr>
            <w:r>
              <w:rPr>
                <w:rFonts w:ascii="Arial" w:cs="Arial" w:eastAsia="Arial" w:hAnsi="Arial"/>
                <w:sz w:val="11"/>
                <w:szCs w:val="11"/>
                <w:color w:val="auto"/>
              </w:rPr>
              <w:t>84.2%</w:t>
            </w:r>
          </w:p>
        </w:tc>
        <w:tc>
          <w:tcPr>
            <w:tcW w:w="1140" w:type="dxa"/>
            <w:vAlign w:val="bottom"/>
          </w:tcPr>
          <w:p>
            <w:pPr>
              <w:jc w:val="center"/>
              <w:ind w:left="162"/>
              <w:spacing w:after="0" w:line="107" w:lineRule="exact"/>
              <w:rPr>
                <w:sz w:val="20"/>
                <w:szCs w:val="20"/>
                <w:color w:val="auto"/>
              </w:rPr>
            </w:pPr>
            <w:r>
              <w:rPr>
                <w:rFonts w:ascii="Arial" w:cs="Arial" w:eastAsia="Arial" w:hAnsi="Arial"/>
                <w:sz w:val="11"/>
                <w:szCs w:val="11"/>
                <w:color w:val="auto"/>
              </w:rPr>
              <w:t>84.0%</w:t>
            </w:r>
          </w:p>
        </w:tc>
        <w:tc>
          <w:tcPr>
            <w:tcW w:w="9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rPr>
              <w:t>81.9%</w:t>
            </w:r>
          </w:p>
        </w:tc>
        <w:tc>
          <w:tcPr>
            <w:tcW w:w="200" w:type="dxa"/>
            <w:vAlign w:val="bottom"/>
          </w:tcPr>
          <w:p>
            <w:pPr>
              <w:spacing w:after="0"/>
              <w:rPr>
                <w:sz w:val="9"/>
                <w:szCs w:val="9"/>
                <w:color w:val="auto"/>
              </w:rPr>
            </w:pPr>
          </w:p>
        </w:tc>
        <w:tc>
          <w:tcPr>
            <w:tcW w:w="940" w:type="dxa"/>
            <w:vAlign w:val="bottom"/>
          </w:tcPr>
          <w:p>
            <w:pPr>
              <w:jc w:val="center"/>
              <w:ind w:right="423"/>
              <w:spacing w:after="0" w:line="107" w:lineRule="exact"/>
              <w:rPr>
                <w:sz w:val="20"/>
                <w:szCs w:val="20"/>
                <w:color w:val="auto"/>
              </w:rPr>
            </w:pPr>
            <w:r>
              <w:rPr>
                <w:rFonts w:ascii="Arial" w:cs="Arial" w:eastAsia="Arial" w:hAnsi="Arial"/>
                <w:sz w:val="11"/>
                <w:szCs w:val="11"/>
                <w:color w:val="auto"/>
              </w:rPr>
              <w:t>-2.6%</w:t>
            </w:r>
          </w:p>
        </w:tc>
        <w:tc>
          <w:tcPr>
            <w:tcW w:w="660" w:type="dxa"/>
            <w:vAlign w:val="bottom"/>
            <w:tcBorders>
              <w:right w:val="single" w:sz="8" w:color="auto"/>
            </w:tcBorders>
          </w:tcPr>
          <w:p>
            <w:pPr>
              <w:jc w:val="center"/>
              <w:ind w:right="223"/>
              <w:spacing w:after="0" w:line="107" w:lineRule="exact"/>
              <w:rPr>
                <w:sz w:val="20"/>
                <w:szCs w:val="20"/>
                <w:color w:val="auto"/>
              </w:rPr>
            </w:pPr>
            <w:r>
              <w:rPr>
                <w:rFonts w:ascii="Arial" w:cs="Arial" w:eastAsia="Arial" w:hAnsi="Arial"/>
                <w:sz w:val="11"/>
                <w:szCs w:val="11"/>
                <w:color w:val="auto"/>
              </w:rPr>
              <w:t>-2.8%</w:t>
            </w: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IOL ratio</w:t>
            </w:r>
          </w:p>
        </w:tc>
        <w:tc>
          <w:tcPr>
            <w:tcW w:w="660" w:type="dxa"/>
            <w:vAlign w:val="bottom"/>
          </w:tcPr>
          <w:p>
            <w:pPr>
              <w:jc w:val="center"/>
              <w:ind w:left="183"/>
              <w:spacing w:after="0" w:line="122" w:lineRule="exact"/>
              <w:rPr>
                <w:sz w:val="20"/>
                <w:szCs w:val="20"/>
                <w:color w:val="auto"/>
              </w:rPr>
            </w:pPr>
            <w:r>
              <w:rPr>
                <w:rFonts w:ascii="Arial" w:cs="Arial" w:eastAsia="Arial" w:hAnsi="Arial"/>
                <w:sz w:val="11"/>
                <w:szCs w:val="11"/>
                <w:color w:val="auto"/>
              </w:rPr>
              <w:t>2.5%</w:t>
            </w:r>
          </w:p>
        </w:tc>
        <w:tc>
          <w:tcPr>
            <w:tcW w:w="1140" w:type="dxa"/>
            <w:vAlign w:val="bottom"/>
          </w:tcPr>
          <w:p>
            <w:pPr>
              <w:jc w:val="center"/>
              <w:ind w:left="142"/>
              <w:spacing w:after="0" w:line="122" w:lineRule="exact"/>
              <w:rPr>
                <w:sz w:val="20"/>
                <w:szCs w:val="20"/>
                <w:color w:val="auto"/>
              </w:rPr>
            </w:pPr>
            <w:r>
              <w:rPr>
                <w:rFonts w:ascii="Arial" w:cs="Arial" w:eastAsia="Arial" w:hAnsi="Arial"/>
                <w:sz w:val="11"/>
                <w:szCs w:val="11"/>
                <w:color w:val="auto"/>
              </w:rPr>
              <w:t>2.6%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-2.5%</w:t>
            </w:r>
          </w:p>
        </w:tc>
        <w:tc>
          <w:tcPr>
            <w:tcW w:w="660" w:type="dxa"/>
            <w:vAlign w:val="bottom"/>
            <w:tcBorders>
              <w:right w:val="single" w:sz="8" w:color="auto"/>
            </w:tcBorders>
          </w:tcPr>
          <w:p>
            <w:pPr>
              <w:jc w:val="center"/>
              <w:ind w:right="223"/>
              <w:spacing w:after="0" w:line="122" w:lineRule="exact"/>
              <w:rPr>
                <w:sz w:val="20"/>
                <w:szCs w:val="20"/>
                <w:color w:val="auto"/>
              </w:rPr>
            </w:pPr>
            <w:r>
              <w:rPr>
                <w:rFonts w:ascii="Arial" w:cs="Arial" w:eastAsia="Arial" w:hAnsi="Arial"/>
                <w:sz w:val="11"/>
                <w:szCs w:val="11"/>
                <w:color w:val="auto"/>
              </w:rPr>
              <w:t>2.4%</w:t>
            </w: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NPL ratio</w:t>
            </w:r>
          </w:p>
        </w:tc>
        <w:tc>
          <w:tcPr>
            <w:tcW w:w="660" w:type="dxa"/>
            <w:vAlign w:val="bottom"/>
          </w:tcPr>
          <w:p>
            <w:pPr>
              <w:jc w:val="center"/>
              <w:ind w:left="183"/>
              <w:spacing w:after="0" w:line="122" w:lineRule="exact"/>
              <w:rPr>
                <w:sz w:val="20"/>
                <w:szCs w:val="20"/>
                <w:color w:val="auto"/>
              </w:rPr>
            </w:pPr>
            <w:r>
              <w:rPr>
                <w:rFonts w:ascii="Arial" w:cs="Arial" w:eastAsia="Arial" w:hAnsi="Arial"/>
                <w:sz w:val="11"/>
                <w:szCs w:val="11"/>
                <w:color w:val="auto"/>
              </w:rPr>
              <w:t>2.8%</w:t>
            </w:r>
          </w:p>
        </w:tc>
        <w:tc>
          <w:tcPr>
            <w:tcW w:w="1140" w:type="dxa"/>
            <w:vAlign w:val="bottom"/>
          </w:tcPr>
          <w:p>
            <w:pPr>
              <w:jc w:val="center"/>
              <w:ind w:left="142"/>
              <w:spacing w:after="0" w:line="122" w:lineRule="exact"/>
              <w:rPr>
                <w:sz w:val="20"/>
                <w:szCs w:val="20"/>
                <w:color w:val="auto"/>
              </w:rPr>
            </w:pPr>
            <w:r>
              <w:rPr>
                <w:rFonts w:ascii="Arial" w:cs="Arial" w:eastAsia="Arial" w:hAnsi="Arial"/>
                <w:sz w:val="11"/>
                <w:szCs w:val="11"/>
                <w:color w:val="auto"/>
              </w:rPr>
              <w:t>3.1%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3.1%</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-1.0%</w:t>
            </w:r>
          </w:p>
        </w:tc>
        <w:tc>
          <w:tcPr>
            <w:tcW w:w="660" w:type="dxa"/>
            <w:vAlign w:val="bottom"/>
            <w:tcBorders>
              <w:right w:val="single" w:sz="8" w:color="auto"/>
            </w:tcBorders>
          </w:tcPr>
          <w:p>
            <w:pPr>
              <w:jc w:val="center"/>
              <w:ind w:right="243"/>
              <w:spacing w:after="0" w:line="122" w:lineRule="exact"/>
              <w:rPr>
                <w:sz w:val="20"/>
                <w:szCs w:val="20"/>
                <w:color w:val="auto"/>
              </w:rPr>
            </w:pPr>
            <w:r>
              <w:rPr>
                <w:rFonts w:ascii="Arial" w:cs="Arial" w:eastAsia="Arial" w:hAnsi="Arial"/>
                <w:sz w:val="11"/>
                <w:szCs w:val="11"/>
                <w:color w:val="auto"/>
              </w:rPr>
              <w:t>11.2%</w:t>
            </w: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Coverage of IOLs</w:t>
            </w:r>
          </w:p>
        </w:tc>
        <w:tc>
          <w:tcPr>
            <w:tcW w:w="660" w:type="dxa"/>
            <w:vAlign w:val="bottom"/>
          </w:tcPr>
          <w:p>
            <w:pPr>
              <w:jc w:val="center"/>
              <w:ind w:left="183"/>
              <w:spacing w:after="0" w:line="122" w:lineRule="exact"/>
              <w:rPr>
                <w:sz w:val="20"/>
                <w:szCs w:val="20"/>
                <w:color w:val="auto"/>
              </w:rPr>
            </w:pPr>
            <w:r>
              <w:rPr>
                <w:rFonts w:ascii="Arial" w:cs="Arial" w:eastAsia="Arial" w:hAnsi="Arial"/>
                <w:sz w:val="11"/>
                <w:szCs w:val="11"/>
                <w:color w:val="auto"/>
              </w:rPr>
              <w:t>171.9%</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rPr>
              <w:t>150.1%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146.2%</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-2.6%</w:t>
            </w:r>
          </w:p>
        </w:tc>
        <w:tc>
          <w:tcPr>
            <w:tcW w:w="660" w:type="dxa"/>
            <w:vAlign w:val="bottom"/>
            <w:tcBorders>
              <w:right w:val="single" w:sz="8" w:color="auto"/>
            </w:tcBorders>
          </w:tcPr>
          <w:p>
            <w:pPr>
              <w:jc w:val="center"/>
              <w:ind w:right="243"/>
              <w:spacing w:after="0" w:line="122" w:lineRule="exact"/>
              <w:rPr>
                <w:sz w:val="20"/>
                <w:szCs w:val="20"/>
                <w:color w:val="auto"/>
              </w:rPr>
            </w:pPr>
            <w:r>
              <w:rPr>
                <w:rFonts w:ascii="Arial" w:cs="Arial" w:eastAsia="Arial" w:hAnsi="Arial"/>
                <w:sz w:val="11"/>
                <w:szCs w:val="11"/>
                <w:color w:val="auto"/>
              </w:rPr>
              <w:t>-15.0%</w:t>
            </w: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Coverage of NPLs</w:t>
            </w:r>
          </w:p>
        </w:tc>
        <w:tc>
          <w:tcPr>
            <w:tcW w:w="660" w:type="dxa"/>
            <w:vAlign w:val="bottom"/>
          </w:tcPr>
          <w:p>
            <w:pPr>
              <w:jc w:val="center"/>
              <w:ind w:left="183"/>
              <w:spacing w:after="0" w:line="122" w:lineRule="exact"/>
              <w:rPr>
                <w:sz w:val="20"/>
                <w:szCs w:val="20"/>
                <w:color w:val="auto"/>
              </w:rPr>
            </w:pPr>
            <w:r>
              <w:rPr>
                <w:rFonts w:ascii="Arial" w:cs="Arial" w:eastAsia="Arial" w:hAnsi="Arial"/>
                <w:sz w:val="11"/>
                <w:szCs w:val="11"/>
                <w:color w:val="auto"/>
              </w:rPr>
              <w:t>155.1%</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rPr>
              <w:t>126.5%</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121.5%</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-4.0%</w:t>
            </w:r>
          </w:p>
        </w:tc>
        <w:tc>
          <w:tcPr>
            <w:tcW w:w="660" w:type="dxa"/>
            <w:vAlign w:val="bottom"/>
            <w:tcBorders>
              <w:right w:val="single" w:sz="8" w:color="auto"/>
            </w:tcBorders>
          </w:tcPr>
          <w:p>
            <w:pPr>
              <w:jc w:val="center"/>
              <w:ind w:right="243"/>
              <w:spacing w:after="0" w:line="122" w:lineRule="exact"/>
              <w:rPr>
                <w:sz w:val="20"/>
                <w:szCs w:val="20"/>
                <w:color w:val="auto"/>
              </w:rPr>
            </w:pPr>
            <w:r>
              <w:rPr>
                <w:rFonts w:ascii="Arial" w:cs="Arial" w:eastAsia="Arial" w:hAnsi="Arial"/>
                <w:sz w:val="11"/>
                <w:szCs w:val="11"/>
                <w:color w:val="auto"/>
              </w:rPr>
              <w:t>-21.7%</w:t>
            </w: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Branches</w:t>
            </w:r>
          </w:p>
        </w:tc>
        <w:tc>
          <w:tcPr>
            <w:tcW w:w="660" w:type="dxa"/>
            <w:vAlign w:val="bottom"/>
          </w:tcPr>
          <w:p>
            <w:pPr>
              <w:jc w:val="center"/>
              <w:ind w:left="163"/>
              <w:spacing w:after="0" w:line="122" w:lineRule="exact"/>
              <w:rPr>
                <w:sz w:val="20"/>
                <w:szCs w:val="20"/>
                <w:color w:val="auto"/>
              </w:rPr>
            </w:pPr>
            <w:r>
              <w:rPr>
                <w:rFonts w:ascii="Arial" w:cs="Arial" w:eastAsia="Arial" w:hAnsi="Arial"/>
                <w:sz w:val="11"/>
                <w:szCs w:val="11"/>
                <w:color w:val="auto"/>
                <w:w w:val="97"/>
              </w:rPr>
              <w:t>45</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w w:val="97"/>
              </w:rPr>
              <w:t>46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46</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0.0%</w:t>
            </w:r>
          </w:p>
        </w:tc>
        <w:tc>
          <w:tcPr>
            <w:tcW w:w="660" w:type="dxa"/>
            <w:vAlign w:val="bottom"/>
            <w:tcBorders>
              <w:right w:val="single" w:sz="8" w:color="auto"/>
            </w:tcBorders>
          </w:tcPr>
          <w:p>
            <w:pPr>
              <w:jc w:val="center"/>
              <w:ind w:right="223"/>
              <w:spacing w:after="0" w:line="122" w:lineRule="exact"/>
              <w:rPr>
                <w:sz w:val="20"/>
                <w:szCs w:val="20"/>
                <w:color w:val="auto"/>
              </w:rPr>
            </w:pPr>
            <w:r>
              <w:rPr>
                <w:rFonts w:ascii="Arial" w:cs="Arial" w:eastAsia="Arial" w:hAnsi="Arial"/>
                <w:sz w:val="11"/>
                <w:szCs w:val="11"/>
                <w:color w:val="auto"/>
              </w:rPr>
              <w:t>2.2%</w:t>
            </w: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Agentes</w:t>
            </w:r>
          </w:p>
        </w:tc>
        <w:tc>
          <w:tcPr>
            <w:tcW w:w="660" w:type="dxa"/>
            <w:vAlign w:val="bottom"/>
          </w:tcPr>
          <w:p>
            <w:pPr>
              <w:jc w:val="center"/>
              <w:ind w:left="163"/>
              <w:spacing w:after="0" w:line="122" w:lineRule="exact"/>
              <w:rPr>
                <w:sz w:val="20"/>
                <w:szCs w:val="20"/>
                <w:color w:val="auto"/>
              </w:rPr>
            </w:pPr>
            <w:r>
              <w:rPr>
                <w:rFonts w:ascii="Arial" w:cs="Arial" w:eastAsia="Arial" w:hAnsi="Arial"/>
                <w:sz w:val="11"/>
                <w:szCs w:val="11"/>
                <w:color w:val="auto"/>
              </w:rPr>
              <w:t>1,355</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rPr>
              <w:t>1,351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1,350</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-0.1%</w:t>
            </w:r>
          </w:p>
        </w:tc>
        <w:tc>
          <w:tcPr>
            <w:tcW w:w="660" w:type="dxa"/>
            <w:vAlign w:val="bottom"/>
            <w:tcBorders>
              <w:right w:val="single" w:sz="8" w:color="auto"/>
            </w:tcBorders>
          </w:tcPr>
          <w:p>
            <w:pPr>
              <w:jc w:val="center"/>
              <w:ind w:right="223"/>
              <w:spacing w:after="0" w:line="122" w:lineRule="exact"/>
              <w:rPr>
                <w:sz w:val="20"/>
                <w:szCs w:val="20"/>
                <w:color w:val="auto"/>
              </w:rPr>
            </w:pPr>
            <w:r>
              <w:rPr>
                <w:rFonts w:ascii="Arial" w:cs="Arial" w:eastAsia="Arial" w:hAnsi="Arial"/>
                <w:sz w:val="11"/>
                <w:szCs w:val="11"/>
                <w:color w:val="auto"/>
              </w:rPr>
              <w:t>-0.4%</w:t>
            </w: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ATMs</w:t>
            </w:r>
          </w:p>
        </w:tc>
        <w:tc>
          <w:tcPr>
            <w:tcW w:w="660" w:type="dxa"/>
            <w:vAlign w:val="bottom"/>
          </w:tcPr>
          <w:p>
            <w:pPr>
              <w:jc w:val="center"/>
              <w:ind w:left="163"/>
              <w:spacing w:after="0" w:line="122" w:lineRule="exact"/>
              <w:rPr>
                <w:sz w:val="20"/>
                <w:szCs w:val="20"/>
                <w:color w:val="auto"/>
              </w:rPr>
            </w:pPr>
            <w:r>
              <w:rPr>
                <w:rFonts w:ascii="Arial" w:cs="Arial" w:eastAsia="Arial" w:hAnsi="Arial"/>
                <w:sz w:val="11"/>
                <w:szCs w:val="11"/>
                <w:color w:val="auto"/>
              </w:rPr>
              <w:t>312</w:t>
            </w:r>
          </w:p>
        </w:tc>
        <w:tc>
          <w:tcPr>
            <w:tcW w:w="1140" w:type="dxa"/>
            <w:vAlign w:val="bottom"/>
          </w:tcPr>
          <w:p>
            <w:pPr>
              <w:jc w:val="center"/>
              <w:ind w:left="162"/>
              <w:spacing w:after="0" w:line="122" w:lineRule="exact"/>
              <w:rPr>
                <w:sz w:val="20"/>
                <w:szCs w:val="20"/>
                <w:color w:val="auto"/>
              </w:rPr>
            </w:pPr>
            <w:r>
              <w:rPr>
                <w:rFonts w:ascii="Arial" w:cs="Arial" w:eastAsia="Arial" w:hAnsi="Arial"/>
                <w:sz w:val="11"/>
                <w:szCs w:val="11"/>
                <w:color w:val="auto"/>
              </w:rPr>
              <w:t>314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315</w:t>
            </w:r>
          </w:p>
        </w:tc>
        <w:tc>
          <w:tcPr>
            <w:tcW w:w="200" w:type="dxa"/>
            <w:vAlign w:val="bottom"/>
          </w:tcPr>
          <w:p>
            <w:pPr>
              <w:spacing w:after="0"/>
              <w:rPr>
                <w:sz w:val="10"/>
                <w:szCs w:val="10"/>
                <w:color w:val="auto"/>
              </w:rPr>
            </w:pPr>
          </w:p>
        </w:tc>
        <w:tc>
          <w:tcPr>
            <w:tcW w:w="940" w:type="dxa"/>
            <w:vAlign w:val="bottom"/>
          </w:tcPr>
          <w:p>
            <w:pPr>
              <w:jc w:val="center"/>
              <w:ind w:right="423"/>
              <w:spacing w:after="0" w:line="122" w:lineRule="exact"/>
              <w:rPr>
                <w:sz w:val="20"/>
                <w:szCs w:val="20"/>
                <w:color w:val="auto"/>
              </w:rPr>
            </w:pPr>
            <w:r>
              <w:rPr>
                <w:rFonts w:ascii="Arial" w:cs="Arial" w:eastAsia="Arial" w:hAnsi="Arial"/>
                <w:sz w:val="11"/>
                <w:szCs w:val="11"/>
                <w:color w:val="auto"/>
              </w:rPr>
              <w:t>0.3%</w:t>
            </w:r>
          </w:p>
        </w:tc>
        <w:tc>
          <w:tcPr>
            <w:tcW w:w="660" w:type="dxa"/>
            <w:vAlign w:val="bottom"/>
            <w:tcBorders>
              <w:right w:val="single" w:sz="8" w:color="auto"/>
            </w:tcBorders>
          </w:tcPr>
          <w:p>
            <w:pPr>
              <w:jc w:val="center"/>
              <w:ind w:right="223"/>
              <w:spacing w:after="0" w:line="122" w:lineRule="exact"/>
              <w:rPr>
                <w:sz w:val="20"/>
                <w:szCs w:val="20"/>
                <w:color w:val="auto"/>
              </w:rPr>
            </w:pPr>
            <w:r>
              <w:rPr>
                <w:rFonts w:ascii="Arial" w:cs="Arial" w:eastAsia="Arial" w:hAnsi="Arial"/>
                <w:sz w:val="11"/>
                <w:szCs w:val="11"/>
                <w:color w:val="auto"/>
              </w:rPr>
              <w:t>1.0%</w:t>
            </w: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Employees</w:t>
            </w:r>
          </w:p>
        </w:tc>
        <w:tc>
          <w:tcPr>
            <w:tcW w:w="660" w:type="dxa"/>
            <w:vAlign w:val="bottom"/>
            <w:tcBorders>
              <w:bottom w:val="single" w:sz="8" w:color="auto"/>
            </w:tcBorders>
          </w:tcPr>
          <w:p>
            <w:pPr>
              <w:jc w:val="center"/>
              <w:ind w:left="163"/>
              <w:spacing w:after="0"/>
              <w:rPr>
                <w:sz w:val="20"/>
                <w:szCs w:val="20"/>
                <w:color w:val="auto"/>
              </w:rPr>
            </w:pPr>
            <w:r>
              <w:rPr>
                <w:rFonts w:ascii="Arial" w:cs="Arial" w:eastAsia="Arial" w:hAnsi="Arial"/>
                <w:sz w:val="11"/>
                <w:szCs w:val="11"/>
                <w:color w:val="auto"/>
              </w:rPr>
              <w:t>1,696</w:t>
            </w:r>
          </w:p>
        </w:tc>
        <w:tc>
          <w:tcPr>
            <w:tcW w:w="1140" w:type="dxa"/>
            <w:vAlign w:val="bottom"/>
            <w:tcBorders>
              <w:bottom w:val="single" w:sz="8" w:color="auto"/>
            </w:tcBorders>
          </w:tcPr>
          <w:p>
            <w:pPr>
              <w:jc w:val="center"/>
              <w:ind w:left="162"/>
              <w:spacing w:after="0"/>
              <w:rPr>
                <w:sz w:val="20"/>
                <w:szCs w:val="20"/>
                <w:color w:val="auto"/>
              </w:rPr>
            </w:pPr>
            <w:r>
              <w:rPr>
                <w:rFonts w:ascii="Arial" w:cs="Arial" w:eastAsia="Arial" w:hAnsi="Arial"/>
                <w:sz w:val="11"/>
                <w:szCs w:val="11"/>
                <w:color w:val="auto"/>
              </w:rPr>
              <w:t>1,732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1,726</w:t>
            </w: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23"/>
              <w:spacing w:after="0"/>
              <w:rPr>
                <w:sz w:val="20"/>
                <w:szCs w:val="20"/>
                <w:color w:val="auto"/>
              </w:rPr>
            </w:pPr>
            <w:r>
              <w:rPr>
                <w:rFonts w:ascii="Arial" w:cs="Arial" w:eastAsia="Arial" w:hAnsi="Arial"/>
                <w:sz w:val="11"/>
                <w:szCs w:val="11"/>
                <w:color w:val="auto"/>
              </w:rPr>
              <w:t>-0.3%</w:t>
            </w:r>
          </w:p>
        </w:tc>
        <w:tc>
          <w:tcPr>
            <w:tcW w:w="660" w:type="dxa"/>
            <w:vAlign w:val="bottom"/>
            <w:tcBorders>
              <w:bottom w:val="single" w:sz="8" w:color="auto"/>
              <w:right w:val="single" w:sz="8" w:color="auto"/>
            </w:tcBorders>
          </w:tcPr>
          <w:p>
            <w:pPr>
              <w:jc w:val="center"/>
              <w:ind w:right="223"/>
              <w:spacing w:after="0"/>
              <w:rPr>
                <w:sz w:val="20"/>
                <w:szCs w:val="20"/>
                <w:color w:val="auto"/>
              </w:rPr>
            </w:pPr>
            <w:r>
              <w:rPr>
                <w:rFonts w:ascii="Arial" w:cs="Arial" w:eastAsia="Arial" w:hAnsi="Arial"/>
                <w:sz w:val="11"/>
                <w:szCs w:val="11"/>
                <w:color w:val="auto"/>
              </w:rPr>
              <w:t>1.8%</w:t>
            </w: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0"/>
        </w:trPr>
        <w:tc>
          <w:tcPr>
            <w:tcW w:w="3840" w:type="dxa"/>
            <w:vAlign w:val="bottom"/>
          </w:tcPr>
          <w:p>
            <w:pPr>
              <w:spacing w:after="0"/>
              <w:rPr>
                <w:sz w:val="24"/>
                <w:szCs w:val="24"/>
                <w:color w:val="auto"/>
              </w:rPr>
            </w:pPr>
          </w:p>
        </w:tc>
        <w:tc>
          <w:tcPr>
            <w:tcW w:w="3860" w:type="dxa"/>
            <w:vAlign w:val="bottom"/>
            <w:gridSpan w:val="5"/>
          </w:tcPr>
          <w:p>
            <w:pPr>
              <w:jc w:val="center"/>
              <w:ind w:right="223"/>
              <w:spacing w:after="0"/>
              <w:rPr>
                <w:sz w:val="20"/>
                <w:szCs w:val="20"/>
                <w:color w:val="auto"/>
              </w:rPr>
            </w:pPr>
            <w:r>
              <w:rPr>
                <w:rFonts w:ascii="Arial" w:cs="Arial" w:eastAsia="Arial" w:hAnsi="Arial"/>
                <w:sz w:val="13"/>
                <w:szCs w:val="13"/>
                <w:color w:val="0000FF"/>
              </w:rPr>
              <w:t>Datos elaborados por BCP para uso Interno</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43"/>
        </w:trPr>
        <w:tc>
          <w:tcPr>
            <w:tcW w:w="38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22" w:right="319" w:bottom="1440" w:gutter="0" w:footer="0" w:header="0"/>
        </w:sectPr>
      </w:pPr>
    </w:p>
    <w:bookmarkStart w:id="75" w:name="page76"/>
    <w:bookmarkEnd w:id="75"/>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340" w:hanging="293"/>
        <w:spacing w:after="0"/>
        <w:tabs>
          <w:tab w:leader="none" w:pos="340" w:val="left"/>
        </w:tabs>
        <w:numPr>
          <w:ilvl w:val="0"/>
          <w:numId w:val="61"/>
        </w:numPr>
        <w:rPr>
          <w:rFonts w:ascii="Arial" w:cs="Arial" w:eastAsia="Arial" w:hAnsi="Arial"/>
          <w:sz w:val="18"/>
          <w:szCs w:val="18"/>
          <w:b w:val="1"/>
          <w:bCs w:val="1"/>
          <w:color w:val="FFFFFF"/>
        </w:rPr>
      </w:pPr>
      <w:r>
        <w:rPr>
          <w:rFonts w:ascii="Arial" w:cs="Arial" w:eastAsia="Arial" w:hAnsi="Arial"/>
          <w:sz w:val="18"/>
          <w:szCs w:val="18"/>
          <w:b w:val="1"/>
          <w:bCs w:val="1"/>
          <w:color w:val="FFFFFF"/>
        </w:rPr>
        <w:t>Appendix</w:t>
      </w:r>
    </w:p>
    <w:p>
      <w:pPr>
        <w:spacing w:after="0" w:line="90" w:lineRule="exact"/>
        <w:rPr>
          <w:rFonts w:ascii="Arial" w:cs="Arial" w:eastAsia="Arial" w:hAnsi="Arial"/>
          <w:sz w:val="18"/>
          <w:szCs w:val="18"/>
          <w:b w:val="1"/>
          <w:bCs w:val="1"/>
          <w:color w:val="FFFFFF"/>
        </w:rPr>
      </w:pPr>
    </w:p>
    <w:p>
      <w:pPr>
        <w:spacing w:after="0"/>
        <w:rPr>
          <w:rFonts w:ascii="Arial" w:cs="Arial" w:eastAsia="Arial" w:hAnsi="Arial"/>
          <w:sz w:val="18"/>
          <w:szCs w:val="18"/>
          <w:b w:val="1"/>
          <w:bCs w:val="1"/>
          <w:color w:val="FFFFFF"/>
        </w:rPr>
      </w:pPr>
      <w:r>
        <w:rPr>
          <w:rFonts w:ascii="Arial" w:cs="Arial" w:eastAsia="Arial" w:hAnsi="Arial"/>
          <w:sz w:val="16"/>
          <w:szCs w:val="16"/>
          <w:b w:val="1"/>
          <w:bCs w:val="1"/>
          <w:color w:val="auto"/>
        </w:rPr>
        <w:t>12.6.6. Mibanco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19"/>
        </w:trPr>
        <w:tc>
          <w:tcPr>
            <w:tcW w:w="586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1240" w:type="dxa"/>
            <w:vAlign w:val="bottom"/>
            <w:tcBorders>
              <w:top w:val="single" w:sz="8" w:color="auto"/>
            </w:tcBorders>
            <w:shd w:val="clear" w:color="auto" w:fill="2AD2C9"/>
          </w:tcPr>
          <w:p>
            <w:pPr>
              <w:spacing w:after="0"/>
              <w:rPr>
                <w:sz w:val="10"/>
                <w:szCs w:val="10"/>
                <w:color w:val="auto"/>
              </w:rPr>
            </w:pPr>
          </w:p>
        </w:tc>
        <w:tc>
          <w:tcPr>
            <w:tcW w:w="1240" w:type="dxa"/>
            <w:vAlign w:val="bottom"/>
            <w:tcBorders>
              <w:top w:val="single" w:sz="8" w:color="auto"/>
            </w:tcBorders>
            <w:shd w:val="clear" w:color="auto" w:fill="2AD2C9"/>
          </w:tcPr>
          <w:p>
            <w:pPr>
              <w:jc w:val="center"/>
              <w:spacing w:after="0" w:line="119" w:lineRule="exact"/>
              <w:rPr>
                <w:sz w:val="20"/>
                <w:szCs w:val="20"/>
                <w:color w:val="auto"/>
              </w:rPr>
            </w:pPr>
            <w:r>
              <w:rPr>
                <w:rFonts w:ascii="Arial" w:cs="Arial" w:eastAsia="Arial" w:hAnsi="Arial"/>
                <w:sz w:val="11"/>
                <w:szCs w:val="11"/>
                <w:b w:val="1"/>
                <w:bCs w:val="1"/>
                <w:color w:val="FFFFFF"/>
              </w:rPr>
              <w:t>As of</w:t>
            </w:r>
          </w:p>
        </w:tc>
        <w:tc>
          <w:tcPr>
            <w:tcW w:w="1240" w:type="dxa"/>
            <w:vAlign w:val="bottom"/>
            <w:tcBorders>
              <w:top w:val="single" w:sz="8" w:color="auto"/>
              <w:right w:val="single" w:sz="8" w:color="auto"/>
            </w:tcBorders>
            <w:shd w:val="clear" w:color="auto" w:fill="2AD2C9"/>
          </w:tcPr>
          <w:p>
            <w:pPr>
              <w:spacing w:after="0"/>
              <w:rPr>
                <w:sz w:val="10"/>
                <w:szCs w:val="10"/>
                <w:color w:val="auto"/>
              </w:rPr>
            </w:pPr>
          </w:p>
        </w:tc>
        <w:tc>
          <w:tcPr>
            <w:tcW w:w="1680" w:type="dxa"/>
            <w:vAlign w:val="bottom"/>
            <w:tcBorders>
              <w:top w:val="single" w:sz="8" w:color="auto"/>
              <w:right w:val="single" w:sz="8" w:color="auto"/>
            </w:tcBorders>
            <w:gridSpan w:val="2"/>
            <w:shd w:val="clear" w:color="auto" w:fill="2AD2C9"/>
          </w:tcPr>
          <w:p>
            <w:pPr>
              <w:ind w:left="560"/>
              <w:spacing w:after="0" w:line="119" w:lineRule="exact"/>
              <w:rPr>
                <w:sz w:val="20"/>
                <w:szCs w:val="20"/>
                <w:color w:val="auto"/>
              </w:rPr>
            </w:pPr>
            <w:r>
              <w:rPr>
                <w:rFonts w:ascii="Arial" w:cs="Arial" w:eastAsia="Arial" w:hAnsi="Arial"/>
                <w:sz w:val="11"/>
                <w:szCs w:val="11"/>
                <w:b w:val="1"/>
                <w:bCs w:val="1"/>
                <w:color w:val="FFFFFF"/>
              </w:rPr>
              <w:t>% change</w:t>
            </w:r>
          </w:p>
        </w:tc>
      </w:tr>
      <w:tr>
        <w:trPr>
          <w:trHeight w:val="137"/>
        </w:trPr>
        <w:tc>
          <w:tcPr>
            <w:tcW w:w="586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1240" w:type="dxa"/>
            <w:vAlign w:val="bottom"/>
            <w:tcBorders>
              <w:bottom w:val="single" w:sz="8" w:color="auto"/>
            </w:tcBorders>
            <w:shd w:val="clear" w:color="auto" w:fill="2AD2C9"/>
          </w:tcPr>
          <w:p>
            <w:pPr>
              <w:ind w:left="440"/>
              <w:spacing w:after="0"/>
              <w:rPr>
                <w:sz w:val="20"/>
                <w:szCs w:val="20"/>
                <w:color w:val="auto"/>
              </w:rPr>
            </w:pPr>
            <w:r>
              <w:rPr>
                <w:rFonts w:ascii="Arial" w:cs="Arial" w:eastAsia="Arial" w:hAnsi="Arial"/>
                <w:sz w:val="11"/>
                <w:szCs w:val="11"/>
                <w:b w:val="1"/>
                <w:bCs w:val="1"/>
                <w:color w:val="FFFFFF"/>
              </w:rPr>
              <w:t>Dec 22</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Sep 23</w:t>
            </w:r>
          </w:p>
        </w:tc>
        <w:tc>
          <w:tcPr>
            <w:tcW w:w="124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Arial" w:cs="Arial" w:eastAsia="Arial" w:hAnsi="Arial"/>
                <w:sz w:val="11"/>
                <w:szCs w:val="11"/>
                <w:b w:val="1"/>
                <w:bCs w:val="1"/>
                <w:color w:val="FFFFFF"/>
              </w:rPr>
              <w:t>Dec 23</w:t>
            </w:r>
          </w:p>
        </w:tc>
        <w:tc>
          <w:tcPr>
            <w:tcW w:w="86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QoQ</w:t>
            </w:r>
          </w:p>
        </w:tc>
        <w:tc>
          <w:tcPr>
            <w:tcW w:w="82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YoY</w:t>
            </w:r>
          </w:p>
        </w:tc>
      </w:tr>
      <w:tr>
        <w:trPr>
          <w:trHeight w:val="99"/>
        </w:trPr>
        <w:tc>
          <w:tcPr>
            <w:tcW w:w="586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ASSETS</w:t>
            </w: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Cash and due from banks</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1,850,881</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1,618,194</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1,121,452</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-30.7%</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-39.4%</w:t>
            </w: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Investments</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1,459,434</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1,789,628</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2,556,436</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42.8%</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75.2%</w:t>
            </w: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Total loans</w:t>
            </w: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14,089,071</w:t>
            </w: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13,562,314</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13,269,018</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-2.2%</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-5.8%</w:t>
            </w:r>
          </w:p>
        </w:tc>
      </w:tr>
      <w:tr>
        <w:trPr>
          <w:trHeight w:val="122"/>
        </w:trPr>
        <w:tc>
          <w:tcPr>
            <w:tcW w:w="5860" w:type="dxa"/>
            <w:vAlign w:val="bottom"/>
            <w:tcBorders>
              <w:left w:val="single" w:sz="8" w:color="auto"/>
              <w:right w:val="single" w:sz="8" w:color="auto"/>
            </w:tcBorders>
          </w:tcPr>
          <w:p>
            <w:pPr>
              <w:ind w:left="280"/>
              <w:spacing w:after="0" w:line="122" w:lineRule="exact"/>
              <w:rPr>
                <w:sz w:val="20"/>
                <w:szCs w:val="20"/>
                <w:color w:val="auto"/>
              </w:rPr>
            </w:pPr>
            <w:r>
              <w:rPr>
                <w:rFonts w:ascii="Arial" w:cs="Arial" w:eastAsia="Arial" w:hAnsi="Arial"/>
                <w:sz w:val="11"/>
                <w:szCs w:val="11"/>
                <w:color w:val="auto"/>
              </w:rPr>
              <w:t>Current</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13,228,543</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12,622,778</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12,333,980</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97"/>
              </w:rPr>
              <w:t>-2.3%</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-6.8%</w:t>
            </w:r>
          </w:p>
        </w:tc>
      </w:tr>
      <w:tr>
        <w:trPr>
          <w:trHeight w:val="122"/>
        </w:trPr>
        <w:tc>
          <w:tcPr>
            <w:tcW w:w="5860" w:type="dxa"/>
            <w:vAlign w:val="bottom"/>
            <w:tcBorders>
              <w:left w:val="single" w:sz="8" w:color="auto"/>
              <w:right w:val="single" w:sz="8" w:color="auto"/>
            </w:tcBorders>
          </w:tcPr>
          <w:p>
            <w:pPr>
              <w:ind w:left="280"/>
              <w:spacing w:after="0" w:line="122" w:lineRule="exact"/>
              <w:rPr>
                <w:sz w:val="20"/>
                <w:szCs w:val="20"/>
                <w:color w:val="auto"/>
              </w:rPr>
            </w:pPr>
            <w:r>
              <w:rPr>
                <w:rFonts w:ascii="Arial" w:cs="Arial" w:eastAsia="Arial" w:hAnsi="Arial"/>
                <w:sz w:val="11"/>
                <w:szCs w:val="11"/>
                <w:color w:val="auto"/>
              </w:rPr>
              <w:t>Internal overdue loans</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776,023</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845,479</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834,356</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97"/>
              </w:rPr>
              <w:t>-1.3%</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7.5%</w:t>
            </w:r>
          </w:p>
        </w:tc>
      </w:tr>
      <w:tr>
        <w:trPr>
          <w:trHeight w:val="122"/>
        </w:trPr>
        <w:tc>
          <w:tcPr>
            <w:tcW w:w="5860" w:type="dxa"/>
            <w:vAlign w:val="bottom"/>
            <w:tcBorders>
              <w:left w:val="single" w:sz="8" w:color="auto"/>
              <w:right w:val="single" w:sz="8" w:color="auto"/>
            </w:tcBorders>
          </w:tcPr>
          <w:p>
            <w:pPr>
              <w:ind w:left="280"/>
              <w:spacing w:after="0" w:line="122" w:lineRule="exact"/>
              <w:rPr>
                <w:sz w:val="20"/>
                <w:szCs w:val="20"/>
                <w:color w:val="auto"/>
              </w:rPr>
            </w:pPr>
            <w:r>
              <w:rPr>
                <w:rFonts w:ascii="Arial" w:cs="Arial" w:eastAsia="Arial" w:hAnsi="Arial"/>
                <w:sz w:val="11"/>
                <w:szCs w:val="11"/>
                <w:color w:val="auto"/>
              </w:rPr>
              <w:t>Refinanced</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84,505</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94,057</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100,682</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7.0%</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19.1%</w:t>
            </w:r>
          </w:p>
        </w:tc>
      </w:tr>
      <w:tr>
        <w:trPr>
          <w:trHeight w:val="122"/>
        </w:trPr>
        <w:tc>
          <w:tcPr>
            <w:tcW w:w="5860" w:type="dxa"/>
            <w:vAlign w:val="bottom"/>
            <w:tcBorders>
              <w:left w:val="single" w:sz="8" w:color="auto"/>
              <w:right w:val="single" w:sz="8" w:color="auto"/>
            </w:tcBorders>
          </w:tcPr>
          <w:p>
            <w:pPr>
              <w:ind w:left="280"/>
              <w:spacing w:after="0" w:line="122" w:lineRule="exact"/>
              <w:rPr>
                <w:sz w:val="20"/>
                <w:szCs w:val="20"/>
                <w:color w:val="auto"/>
              </w:rPr>
            </w:pPr>
            <w:r>
              <w:rPr>
                <w:rFonts w:ascii="Arial" w:cs="Arial" w:eastAsia="Arial" w:hAnsi="Arial"/>
                <w:sz w:val="11"/>
                <w:szCs w:val="11"/>
                <w:color w:val="auto"/>
              </w:rPr>
              <w:t>Allowance for loan losses</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(998,261)</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(1,031,937)</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(1,002,847)</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97"/>
              </w:rPr>
              <w:t>-2.8%</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0.5%</w:t>
            </w: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Net loans</w:t>
            </w: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13,090,810</w:t>
            </w: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12,530,377</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12,266,171</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-2.1%</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-6.3%</w:t>
            </w: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Property, plant and equipment, net</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133,756</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131,899</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139,064</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5.4%</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4.0%</w:t>
            </w: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Other assets</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691,093</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709,082</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815,263</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15.0%</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18.0%</w:t>
            </w:r>
          </w:p>
        </w:tc>
      </w:tr>
      <w:tr>
        <w:trPr>
          <w:trHeight w:val="155"/>
        </w:trPr>
        <w:tc>
          <w:tcPr>
            <w:tcW w:w="5860" w:type="dxa"/>
            <w:vAlign w:val="bottom"/>
            <w:tcBorders>
              <w:left w:val="single" w:sz="8" w:color="auto"/>
              <w:right w:val="single" w:sz="8" w:color="auto"/>
            </w:tcBorders>
          </w:tcPr>
          <w:p>
            <w:pPr>
              <w:ind w:left="2600"/>
              <w:spacing w:after="0"/>
              <w:rPr>
                <w:sz w:val="20"/>
                <w:szCs w:val="20"/>
                <w:color w:val="auto"/>
              </w:rPr>
            </w:pPr>
            <w:r>
              <w:rPr>
                <w:rFonts w:ascii="Arial" w:cs="Arial" w:eastAsia="Arial" w:hAnsi="Arial"/>
                <w:sz w:val="11"/>
                <w:szCs w:val="11"/>
                <w:b w:val="1"/>
                <w:bCs w:val="1"/>
                <w:color w:val="auto"/>
              </w:rPr>
              <w:t>Total assets</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17,225,973</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16,779,181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16,898,386</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0.7%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-1.9%</w:t>
            </w:r>
          </w:p>
        </w:tc>
      </w:tr>
      <w:tr>
        <w:trPr>
          <w:trHeight w:val="211"/>
        </w:trPr>
        <w:tc>
          <w:tcPr>
            <w:tcW w:w="5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LIABILITIES AND NET SHAREHOLDERS' EQUITY</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Deposits and obligations</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9,315,188</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10,036,767</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9,999,230</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97"/>
              </w:rPr>
              <w:t>-0.4%</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7.3%</w:t>
            </w: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Due to banks and correspondents</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3,074,234</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2,466,913</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2,411,642</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97"/>
              </w:rPr>
              <w:t>-2.2%</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-21.6%</w:t>
            </w: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Bonds and subordinated debt</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552,728</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701,233</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611,166</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-12.8%</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10.6%</w:t>
            </w:r>
          </w:p>
        </w:tc>
      </w:tr>
      <w:tr>
        <w:trPr>
          <w:trHeight w:val="122"/>
        </w:trPr>
        <w:tc>
          <w:tcPr>
            <w:tcW w:w="58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Other liabilities</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1,502,258</w:t>
            </w:r>
          </w:p>
        </w:tc>
        <w:tc>
          <w:tcPr>
            <w:tcW w:w="1240" w:type="dxa"/>
            <w:vAlign w:val="bottom"/>
          </w:tcPr>
          <w:p>
            <w:pPr>
              <w:jc w:val="center"/>
              <w:spacing w:after="0" w:line="122" w:lineRule="exact"/>
              <w:rPr>
                <w:sz w:val="20"/>
                <w:szCs w:val="20"/>
                <w:color w:val="auto"/>
              </w:rPr>
            </w:pPr>
            <w:r>
              <w:rPr>
                <w:rFonts w:ascii="Arial" w:cs="Arial" w:eastAsia="Arial" w:hAnsi="Arial"/>
                <w:sz w:val="11"/>
                <w:szCs w:val="11"/>
                <w:color w:val="auto"/>
              </w:rPr>
              <w:t>643,403</w:t>
            </w: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879,725</w:t>
            </w: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rPr>
              <w:t>36.7%</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-41.4%</w:t>
            </w:r>
          </w:p>
        </w:tc>
      </w:tr>
      <w:tr>
        <w:trPr>
          <w:trHeight w:val="155"/>
        </w:trPr>
        <w:tc>
          <w:tcPr>
            <w:tcW w:w="5860" w:type="dxa"/>
            <w:vAlign w:val="bottom"/>
            <w:tcBorders>
              <w:left w:val="single" w:sz="8" w:color="auto"/>
              <w:right w:val="single" w:sz="8" w:color="auto"/>
            </w:tcBorders>
          </w:tcPr>
          <w:p>
            <w:pPr>
              <w:ind w:left="2540"/>
              <w:spacing w:after="0"/>
              <w:rPr>
                <w:sz w:val="20"/>
                <w:szCs w:val="20"/>
                <w:color w:val="auto"/>
              </w:rPr>
            </w:pPr>
            <w:r>
              <w:rPr>
                <w:rFonts w:ascii="Arial" w:cs="Arial" w:eastAsia="Arial" w:hAnsi="Arial"/>
                <w:sz w:val="11"/>
                <w:szCs w:val="11"/>
                <w:b w:val="1"/>
                <w:bCs w:val="1"/>
                <w:color w:val="auto"/>
              </w:rPr>
              <w:t>Total liabilities</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14,444,408</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13,848,316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13,901,763</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0.4%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-3.8%</w:t>
            </w:r>
          </w:p>
        </w:tc>
      </w:tr>
      <w:tr>
        <w:trPr>
          <w:trHeight w:val="244"/>
        </w:trPr>
        <w:tc>
          <w:tcPr>
            <w:tcW w:w="5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equity</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2,781,565</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2,930,865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2,996,623</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2.2%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7.7%</w:t>
            </w:r>
          </w:p>
        </w:tc>
      </w:tr>
      <w:tr>
        <w:trPr>
          <w:trHeight w:val="226"/>
        </w:trPr>
        <w:tc>
          <w:tcPr>
            <w:tcW w:w="58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LIABILITIES AND NET SHAREHOLDERS' EQUITY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17,225,973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16,779,181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16,898,386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0.7%</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-1.9%</w:t>
            </w:r>
          </w:p>
        </w:tc>
      </w:tr>
    </w:tbl>
    <w:p>
      <w:pPr>
        <w:spacing w:after="0" w:line="166"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Statement of Income</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 Thousands, IFRS)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3460" w:type="dxa"/>
            <w:vAlign w:val="bottom"/>
            <w:tcBorders>
              <w:right w:val="single" w:sz="8" w:color="auto"/>
            </w:tcBorders>
          </w:tcPr>
          <w:p>
            <w:pPr>
              <w:spacing w:after="0"/>
              <w:rPr>
                <w:sz w:val="13"/>
                <w:szCs w:val="13"/>
                <w:color w:val="auto"/>
              </w:rPr>
            </w:pPr>
          </w:p>
        </w:tc>
        <w:tc>
          <w:tcPr>
            <w:tcW w:w="880" w:type="dxa"/>
            <w:vAlign w:val="bottom"/>
            <w:tcBorders>
              <w:top w:val="single" w:sz="8" w:color="auto"/>
            </w:tcBorders>
            <w:shd w:val="clear" w:color="auto" w:fill="2AD2C9"/>
          </w:tcPr>
          <w:p>
            <w:pPr>
              <w:spacing w:after="0"/>
              <w:rPr>
                <w:sz w:val="13"/>
                <w:szCs w:val="13"/>
                <w:color w:val="auto"/>
              </w:rPr>
            </w:pPr>
          </w:p>
        </w:tc>
        <w:tc>
          <w:tcPr>
            <w:tcW w:w="880" w:type="dxa"/>
            <w:vAlign w:val="bottom"/>
            <w:tcBorders>
              <w:top w:val="single" w:sz="8" w:color="auto"/>
            </w:tcBorders>
            <w:shd w:val="clear" w:color="auto" w:fill="2AD2C9"/>
          </w:tcPr>
          <w:p>
            <w:pPr>
              <w:jc w:val="right"/>
              <w:ind w:right="135"/>
              <w:spacing w:after="0"/>
              <w:rPr>
                <w:sz w:val="20"/>
                <w:szCs w:val="20"/>
                <w:color w:val="auto"/>
              </w:rPr>
            </w:pPr>
            <w:r>
              <w:rPr>
                <w:rFonts w:ascii="Arial" w:cs="Arial" w:eastAsia="Arial" w:hAnsi="Arial"/>
                <w:sz w:val="13"/>
                <w:szCs w:val="13"/>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3"/>
                <w:szCs w:val="13"/>
                <w:color w:val="auto"/>
              </w:rPr>
            </w:pPr>
          </w:p>
        </w:tc>
        <w:tc>
          <w:tcPr>
            <w:tcW w:w="760" w:type="dxa"/>
            <w:vAlign w:val="bottom"/>
            <w:tcBorders>
              <w:top w:val="single" w:sz="8" w:color="auto"/>
            </w:tcBorders>
            <w:shd w:val="clear" w:color="auto" w:fill="2AD2C9"/>
          </w:tcPr>
          <w:p>
            <w:pPr>
              <w:spacing w:after="0"/>
              <w:rPr>
                <w:sz w:val="13"/>
                <w:szCs w:val="13"/>
                <w:color w:val="auto"/>
              </w:rPr>
            </w:pPr>
          </w:p>
        </w:tc>
        <w:tc>
          <w:tcPr>
            <w:tcW w:w="146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 change</w:t>
            </w:r>
          </w:p>
        </w:tc>
        <w:tc>
          <w:tcPr>
            <w:tcW w:w="1780" w:type="dxa"/>
            <w:vAlign w:val="bottom"/>
            <w:tcBorders>
              <w:top w:val="single" w:sz="8" w:color="auto"/>
              <w:right w:val="single" w:sz="8" w:color="auto"/>
            </w:tcBorders>
            <w:gridSpan w:val="2"/>
            <w:shd w:val="clear" w:color="auto" w:fill="2AD2C9"/>
          </w:tcPr>
          <w:p>
            <w:pPr>
              <w:jc w:val="right"/>
              <w:ind w:right="675"/>
              <w:spacing w:after="0"/>
              <w:rPr>
                <w:sz w:val="20"/>
                <w:szCs w:val="20"/>
                <w:color w:val="auto"/>
              </w:rPr>
            </w:pPr>
            <w:r>
              <w:rPr>
                <w:rFonts w:ascii="Arial" w:cs="Arial" w:eastAsia="Arial" w:hAnsi="Arial"/>
                <w:sz w:val="13"/>
                <w:szCs w:val="13"/>
                <w:b w:val="1"/>
                <w:bCs w:val="1"/>
                <w:color w:val="FFFFFF"/>
              </w:rPr>
              <w:t>Up to</w:t>
            </w:r>
          </w:p>
        </w:tc>
        <w:tc>
          <w:tcPr>
            <w:tcW w:w="11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54"/>
        </w:trPr>
        <w:tc>
          <w:tcPr>
            <w:tcW w:w="346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4Q22</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3Q23</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4Q23</w:t>
            </w:r>
          </w:p>
        </w:tc>
        <w:tc>
          <w:tcPr>
            <w:tcW w:w="760" w:type="dxa"/>
            <w:vAlign w:val="bottom"/>
            <w:tcBorders>
              <w:bottom w:val="single" w:sz="8" w:color="auto"/>
            </w:tcBorders>
            <w:shd w:val="clear" w:color="auto" w:fill="2AD2C9"/>
          </w:tcPr>
          <w:p>
            <w:pPr>
              <w:jc w:val="center"/>
              <w:ind w:left="255"/>
              <w:spacing w:after="0"/>
              <w:rPr>
                <w:sz w:val="20"/>
                <w:szCs w:val="20"/>
                <w:color w:val="auto"/>
              </w:rPr>
            </w:pPr>
            <w:r>
              <w:rPr>
                <w:rFonts w:ascii="Arial" w:cs="Arial" w:eastAsia="Arial" w:hAnsi="Arial"/>
                <w:sz w:val="13"/>
                <w:szCs w:val="13"/>
                <w:b w:val="1"/>
                <w:bCs w:val="1"/>
                <w:color w:val="FFFFFF"/>
                <w:w w:val="99"/>
              </w:rPr>
              <w:t>QoQ</w:t>
            </w:r>
          </w:p>
        </w:tc>
        <w:tc>
          <w:tcPr>
            <w:tcW w:w="1460" w:type="dxa"/>
            <w:vAlign w:val="bottom"/>
            <w:tcBorders>
              <w:bottom w:val="single" w:sz="8" w:color="auto"/>
              <w:right w:val="single" w:sz="8" w:color="auto"/>
            </w:tcBorders>
            <w:shd w:val="clear" w:color="auto" w:fill="2AD2C9"/>
          </w:tcPr>
          <w:p>
            <w:pPr>
              <w:jc w:val="center"/>
              <w:ind w:left="235"/>
              <w:spacing w:after="0"/>
              <w:rPr>
                <w:sz w:val="20"/>
                <w:szCs w:val="20"/>
                <w:color w:val="auto"/>
              </w:rPr>
            </w:pPr>
            <w:r>
              <w:rPr>
                <w:rFonts w:ascii="Arial" w:cs="Arial" w:eastAsia="Arial" w:hAnsi="Arial"/>
                <w:sz w:val="13"/>
                <w:szCs w:val="13"/>
                <w:b w:val="1"/>
                <w:bCs w:val="1"/>
                <w:color w:val="FFFFFF"/>
                <w:w w:val="94"/>
              </w:rPr>
              <w:t>YoY</w:t>
            </w:r>
          </w:p>
        </w:tc>
        <w:tc>
          <w:tcPr>
            <w:tcW w:w="860" w:type="dxa"/>
            <w:vAlign w:val="bottom"/>
            <w:tcBorders>
              <w:bottom w:val="single" w:sz="8" w:color="auto"/>
            </w:tcBorders>
            <w:shd w:val="clear" w:color="auto" w:fill="2AD2C9"/>
          </w:tcPr>
          <w:p>
            <w:pPr>
              <w:jc w:val="right"/>
              <w:ind w:right="155"/>
              <w:spacing w:after="0"/>
              <w:rPr>
                <w:sz w:val="20"/>
                <w:szCs w:val="20"/>
                <w:color w:val="auto"/>
              </w:rPr>
            </w:pPr>
            <w:r>
              <w:rPr>
                <w:rFonts w:ascii="Arial" w:cs="Arial" w:eastAsia="Arial" w:hAnsi="Arial"/>
                <w:sz w:val="13"/>
                <w:szCs w:val="13"/>
                <w:b w:val="1"/>
                <w:bCs w:val="1"/>
                <w:color w:val="FFFFFF"/>
              </w:rPr>
              <w:t>Dec 22</w:t>
            </w:r>
          </w:p>
        </w:tc>
        <w:tc>
          <w:tcPr>
            <w:tcW w:w="920" w:type="dxa"/>
            <w:vAlign w:val="bottom"/>
            <w:tcBorders>
              <w:bottom w:val="single" w:sz="8" w:color="auto"/>
              <w:right w:val="single" w:sz="8" w:color="auto"/>
            </w:tcBorders>
            <w:shd w:val="clear" w:color="auto" w:fill="2AD2C9"/>
          </w:tcPr>
          <w:p>
            <w:pPr>
              <w:jc w:val="right"/>
              <w:ind w:right="195"/>
              <w:spacing w:after="0"/>
              <w:rPr>
                <w:sz w:val="20"/>
                <w:szCs w:val="20"/>
                <w:color w:val="auto"/>
              </w:rPr>
            </w:pPr>
            <w:r>
              <w:rPr>
                <w:rFonts w:ascii="Arial" w:cs="Arial" w:eastAsia="Arial" w:hAnsi="Arial"/>
                <w:sz w:val="13"/>
                <w:szCs w:val="13"/>
                <w:b w:val="1"/>
                <w:bCs w:val="1"/>
                <w:color w:val="FFFFFF"/>
              </w:rPr>
              <w:t>Dec 23</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Dec 23 / Dec 22</w:t>
            </w:r>
          </w:p>
        </w:tc>
      </w:tr>
      <w:tr>
        <w:trPr>
          <w:trHeight w:val="131"/>
        </w:trPr>
        <w:tc>
          <w:tcPr>
            <w:tcW w:w="3460" w:type="dxa"/>
            <w:vAlign w:val="bottom"/>
            <w:tcBorders>
              <w:left w:val="single" w:sz="8" w:color="auto"/>
              <w:right w:val="single" w:sz="8" w:color="auto"/>
            </w:tcBorders>
          </w:tcPr>
          <w:p>
            <w:pPr>
              <w:ind w:left="100"/>
              <w:spacing w:after="0" w:line="131" w:lineRule="exact"/>
              <w:rPr>
                <w:sz w:val="20"/>
                <w:szCs w:val="20"/>
                <w:color w:val="auto"/>
              </w:rPr>
            </w:pPr>
            <w:r>
              <w:rPr>
                <w:rFonts w:ascii="Arial" w:cs="Arial" w:eastAsia="Arial" w:hAnsi="Arial"/>
                <w:sz w:val="13"/>
                <w:szCs w:val="13"/>
                <w:color w:val="auto"/>
              </w:rPr>
              <w:t>Net interest income</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rPr>
              <w:t>539,510</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rPr>
              <w:t>560,302</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538,522</w:t>
            </w:r>
          </w:p>
        </w:tc>
        <w:tc>
          <w:tcPr>
            <w:tcW w:w="760" w:type="dxa"/>
            <w:vAlign w:val="bottom"/>
          </w:tcPr>
          <w:p>
            <w:pPr>
              <w:jc w:val="center"/>
              <w:ind w:left="235"/>
              <w:spacing w:after="0" w:line="131" w:lineRule="exact"/>
              <w:rPr>
                <w:sz w:val="20"/>
                <w:szCs w:val="20"/>
                <w:color w:val="auto"/>
              </w:rPr>
            </w:pPr>
            <w:r>
              <w:rPr>
                <w:rFonts w:ascii="Arial" w:cs="Arial" w:eastAsia="Arial" w:hAnsi="Arial"/>
                <w:sz w:val="13"/>
                <w:szCs w:val="13"/>
                <w:color w:val="auto"/>
                <w:w w:val="99"/>
              </w:rPr>
              <w:t>-3.9%</w:t>
            </w:r>
          </w:p>
        </w:tc>
        <w:tc>
          <w:tcPr>
            <w:tcW w:w="1460" w:type="dxa"/>
            <w:vAlign w:val="bottom"/>
            <w:tcBorders>
              <w:right w:val="single" w:sz="8" w:color="auto"/>
            </w:tcBorders>
          </w:tcPr>
          <w:p>
            <w:pPr>
              <w:jc w:val="center"/>
              <w:ind w:left="255"/>
              <w:spacing w:after="0" w:line="131" w:lineRule="exact"/>
              <w:rPr>
                <w:sz w:val="20"/>
                <w:szCs w:val="20"/>
                <w:color w:val="auto"/>
              </w:rPr>
            </w:pPr>
            <w:r>
              <w:rPr>
                <w:rFonts w:ascii="Arial" w:cs="Arial" w:eastAsia="Arial" w:hAnsi="Arial"/>
                <w:sz w:val="13"/>
                <w:szCs w:val="13"/>
                <w:color w:val="auto"/>
                <w:w w:val="99"/>
              </w:rPr>
              <w:t>-0.2%</w:t>
            </w:r>
          </w:p>
        </w:tc>
        <w:tc>
          <w:tcPr>
            <w:tcW w:w="860" w:type="dxa"/>
            <w:vAlign w:val="bottom"/>
          </w:tcPr>
          <w:p>
            <w:pPr>
              <w:jc w:val="center"/>
              <w:spacing w:after="0" w:line="131" w:lineRule="exact"/>
              <w:rPr>
                <w:sz w:val="20"/>
                <w:szCs w:val="20"/>
                <w:color w:val="auto"/>
              </w:rPr>
            </w:pPr>
            <w:r>
              <w:rPr>
                <w:rFonts w:ascii="Arial" w:cs="Arial" w:eastAsia="Arial" w:hAnsi="Arial"/>
                <w:sz w:val="13"/>
                <w:szCs w:val="13"/>
                <w:color w:val="auto"/>
              </w:rPr>
              <w:t>2,139,116</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2,160,467</w:t>
            </w:r>
          </w:p>
        </w:tc>
        <w:tc>
          <w:tcPr>
            <w:tcW w:w="11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1.0%</w:t>
            </w:r>
          </w:p>
        </w:tc>
      </w:tr>
      <w:tr>
        <w:trPr>
          <w:trHeight w:val="146"/>
        </w:trPr>
        <w:tc>
          <w:tcPr>
            <w:tcW w:w="34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Provision for loan losses, net of recoveries</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(194,245)</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(201,898)</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(208,880)</w:t>
            </w:r>
          </w:p>
        </w:tc>
        <w:tc>
          <w:tcPr>
            <w:tcW w:w="760" w:type="dxa"/>
            <w:vAlign w:val="bottom"/>
          </w:tcPr>
          <w:p>
            <w:pPr>
              <w:jc w:val="center"/>
              <w:ind w:left="255"/>
              <w:spacing w:after="0" w:line="146" w:lineRule="exact"/>
              <w:rPr>
                <w:sz w:val="20"/>
                <w:szCs w:val="20"/>
                <w:color w:val="auto"/>
              </w:rPr>
            </w:pPr>
            <w:r>
              <w:rPr>
                <w:rFonts w:ascii="Arial" w:cs="Arial" w:eastAsia="Arial" w:hAnsi="Arial"/>
                <w:sz w:val="13"/>
                <w:szCs w:val="13"/>
                <w:color w:val="auto"/>
                <w:w w:val="94"/>
              </w:rPr>
              <w:t>3.5%</w:t>
            </w:r>
          </w:p>
        </w:tc>
        <w:tc>
          <w:tcPr>
            <w:tcW w:w="1460" w:type="dxa"/>
            <w:vAlign w:val="bottom"/>
            <w:tcBorders>
              <w:right w:val="single" w:sz="8" w:color="auto"/>
            </w:tcBorders>
          </w:tcPr>
          <w:p>
            <w:pPr>
              <w:jc w:val="center"/>
              <w:ind w:left="255"/>
              <w:spacing w:after="0" w:line="146" w:lineRule="exact"/>
              <w:rPr>
                <w:sz w:val="20"/>
                <w:szCs w:val="20"/>
                <w:color w:val="auto"/>
              </w:rPr>
            </w:pPr>
            <w:r>
              <w:rPr>
                <w:rFonts w:ascii="Arial" w:cs="Arial" w:eastAsia="Arial" w:hAnsi="Arial"/>
                <w:sz w:val="13"/>
                <w:szCs w:val="13"/>
                <w:color w:val="auto"/>
              </w:rPr>
              <w:t>7.5%</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rPr>
              <w:t>(490,035)</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(822,663)</w:t>
            </w:r>
          </w:p>
        </w:tc>
        <w:tc>
          <w:tcPr>
            <w:tcW w:w="11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67.9%</w:t>
            </w:r>
          </w:p>
        </w:tc>
      </w:tr>
      <w:tr>
        <w:trPr>
          <w:trHeight w:val="146"/>
        </w:trPr>
        <w:tc>
          <w:tcPr>
            <w:tcW w:w="34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b w:val="1"/>
                <w:bCs w:val="1"/>
                <w:color w:val="auto"/>
              </w:rPr>
              <w:t>Net interest income after provisions</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345,266</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358,403</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329,642</w:t>
            </w:r>
          </w:p>
        </w:tc>
        <w:tc>
          <w:tcPr>
            <w:tcW w:w="76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9"/>
              </w:rPr>
              <w:t>-8.0%</w:t>
            </w:r>
          </w:p>
        </w:tc>
        <w:tc>
          <w:tcPr>
            <w:tcW w:w="1460" w:type="dxa"/>
            <w:vAlign w:val="bottom"/>
            <w:tcBorders>
              <w:right w:val="single" w:sz="8" w:color="auto"/>
            </w:tcBorders>
          </w:tcPr>
          <w:p>
            <w:pPr>
              <w:jc w:val="center"/>
              <w:ind w:left="255"/>
              <w:spacing w:after="0" w:line="146" w:lineRule="exact"/>
              <w:rPr>
                <w:sz w:val="20"/>
                <w:szCs w:val="20"/>
                <w:color w:val="auto"/>
              </w:rPr>
            </w:pPr>
            <w:r>
              <w:rPr>
                <w:rFonts w:ascii="Arial" w:cs="Arial" w:eastAsia="Arial" w:hAnsi="Arial"/>
                <w:sz w:val="13"/>
                <w:szCs w:val="13"/>
                <w:color w:val="auto"/>
                <w:w w:val="99"/>
              </w:rPr>
              <w:t>-4.5%</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rPr>
              <w:t>1,649,081</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1,337,804</w:t>
            </w:r>
          </w:p>
        </w:tc>
        <w:tc>
          <w:tcPr>
            <w:tcW w:w="11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-18.9%</w:t>
            </w:r>
          </w:p>
        </w:tc>
      </w:tr>
      <w:tr>
        <w:trPr>
          <w:trHeight w:val="146"/>
        </w:trPr>
        <w:tc>
          <w:tcPr>
            <w:tcW w:w="34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Non-financial income</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35,736</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31,716</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55,766</w:t>
            </w:r>
          </w:p>
        </w:tc>
        <w:tc>
          <w:tcPr>
            <w:tcW w:w="760" w:type="dxa"/>
            <w:vAlign w:val="bottom"/>
          </w:tcPr>
          <w:p>
            <w:pPr>
              <w:jc w:val="center"/>
              <w:ind w:left="255"/>
              <w:spacing w:after="0" w:line="146" w:lineRule="exact"/>
              <w:rPr>
                <w:sz w:val="20"/>
                <w:szCs w:val="20"/>
                <w:color w:val="auto"/>
              </w:rPr>
            </w:pPr>
            <w:r>
              <w:rPr>
                <w:rFonts w:ascii="Arial" w:cs="Arial" w:eastAsia="Arial" w:hAnsi="Arial"/>
                <w:sz w:val="13"/>
                <w:szCs w:val="13"/>
                <w:color w:val="auto"/>
                <w:w w:val="97"/>
              </w:rPr>
              <w:t>75.8%</w:t>
            </w:r>
          </w:p>
        </w:tc>
        <w:tc>
          <w:tcPr>
            <w:tcW w:w="1460" w:type="dxa"/>
            <w:vAlign w:val="bottom"/>
            <w:tcBorders>
              <w:right w:val="single" w:sz="8" w:color="auto"/>
            </w:tcBorders>
          </w:tcPr>
          <w:p>
            <w:pPr>
              <w:jc w:val="center"/>
              <w:ind w:left="235"/>
              <w:spacing w:after="0" w:line="146" w:lineRule="exact"/>
              <w:rPr>
                <w:sz w:val="20"/>
                <w:szCs w:val="20"/>
                <w:color w:val="auto"/>
              </w:rPr>
            </w:pPr>
            <w:r>
              <w:rPr>
                <w:rFonts w:ascii="Arial" w:cs="Arial" w:eastAsia="Arial" w:hAnsi="Arial"/>
                <w:sz w:val="13"/>
                <w:szCs w:val="13"/>
                <w:color w:val="auto"/>
                <w:w w:val="97"/>
              </w:rPr>
              <w:t>56.0%</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w w:val="97"/>
              </w:rPr>
              <w:t>127,702</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161,438</w:t>
            </w:r>
          </w:p>
        </w:tc>
        <w:tc>
          <w:tcPr>
            <w:tcW w:w="11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26.4%</w:t>
            </w:r>
          </w:p>
        </w:tc>
      </w:tr>
      <w:tr>
        <w:trPr>
          <w:trHeight w:val="146"/>
        </w:trPr>
        <w:tc>
          <w:tcPr>
            <w:tcW w:w="34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Total expenses</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(316,253)</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rPr>
              <w:t>(314,070)</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(324,854)</w:t>
            </w:r>
          </w:p>
        </w:tc>
        <w:tc>
          <w:tcPr>
            <w:tcW w:w="760" w:type="dxa"/>
            <w:vAlign w:val="bottom"/>
          </w:tcPr>
          <w:p>
            <w:pPr>
              <w:jc w:val="center"/>
              <w:ind w:left="255"/>
              <w:spacing w:after="0" w:line="146" w:lineRule="exact"/>
              <w:rPr>
                <w:sz w:val="20"/>
                <w:szCs w:val="20"/>
                <w:color w:val="auto"/>
              </w:rPr>
            </w:pPr>
            <w:r>
              <w:rPr>
                <w:rFonts w:ascii="Arial" w:cs="Arial" w:eastAsia="Arial" w:hAnsi="Arial"/>
                <w:sz w:val="13"/>
                <w:szCs w:val="13"/>
                <w:color w:val="auto"/>
                <w:w w:val="94"/>
              </w:rPr>
              <w:t>3.4%</w:t>
            </w:r>
          </w:p>
        </w:tc>
        <w:tc>
          <w:tcPr>
            <w:tcW w:w="1460" w:type="dxa"/>
            <w:vAlign w:val="bottom"/>
            <w:tcBorders>
              <w:right w:val="single" w:sz="8" w:color="auto"/>
            </w:tcBorders>
          </w:tcPr>
          <w:p>
            <w:pPr>
              <w:jc w:val="center"/>
              <w:ind w:left="255"/>
              <w:spacing w:after="0" w:line="146" w:lineRule="exact"/>
              <w:rPr>
                <w:sz w:val="20"/>
                <w:szCs w:val="20"/>
                <w:color w:val="auto"/>
              </w:rPr>
            </w:pPr>
            <w:r>
              <w:rPr>
                <w:rFonts w:ascii="Arial" w:cs="Arial" w:eastAsia="Arial" w:hAnsi="Arial"/>
                <w:sz w:val="13"/>
                <w:szCs w:val="13"/>
                <w:color w:val="auto"/>
              </w:rPr>
              <w:t>2.7%</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w w:val="99"/>
              </w:rPr>
              <w:t>(1,186,392)</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(1,248,582)</w:t>
            </w:r>
          </w:p>
        </w:tc>
        <w:tc>
          <w:tcPr>
            <w:tcW w:w="11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5.2%</w:t>
            </w:r>
          </w:p>
        </w:tc>
      </w:tr>
      <w:tr>
        <w:trPr>
          <w:trHeight w:val="146"/>
        </w:trPr>
        <w:tc>
          <w:tcPr>
            <w:tcW w:w="34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Translation result</w:t>
            </w:r>
          </w:p>
        </w:tc>
        <w:tc>
          <w:tcPr>
            <w:tcW w:w="880" w:type="dxa"/>
            <w:vAlign w:val="bottom"/>
          </w:tcPr>
          <w:p>
            <w:pPr>
              <w:jc w:val="right"/>
              <w:ind w:right="415"/>
              <w:spacing w:after="0" w:line="146"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95"/>
              <w:spacing w:after="0" w:line="146"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435"/>
              <w:spacing w:after="0" w:line="146" w:lineRule="exact"/>
              <w:rPr>
                <w:sz w:val="20"/>
                <w:szCs w:val="20"/>
                <w:color w:val="auto"/>
              </w:rPr>
            </w:pPr>
            <w:r>
              <w:rPr>
                <w:rFonts w:ascii="Arial" w:cs="Arial" w:eastAsia="Arial" w:hAnsi="Arial"/>
                <w:sz w:val="13"/>
                <w:szCs w:val="13"/>
                <w:color w:val="auto"/>
              </w:rPr>
              <w:t>-</w:t>
            </w:r>
          </w:p>
        </w:tc>
        <w:tc>
          <w:tcPr>
            <w:tcW w:w="76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9"/>
              </w:rPr>
              <w:t>n.a</w:t>
            </w:r>
          </w:p>
        </w:tc>
        <w:tc>
          <w:tcPr>
            <w:tcW w:w="1460" w:type="dxa"/>
            <w:vAlign w:val="bottom"/>
            <w:tcBorders>
              <w:right w:val="single" w:sz="8" w:color="auto"/>
            </w:tcBorders>
          </w:tcPr>
          <w:p>
            <w:pPr>
              <w:jc w:val="center"/>
              <w:ind w:left="255"/>
              <w:spacing w:after="0" w:line="146" w:lineRule="exact"/>
              <w:rPr>
                <w:sz w:val="20"/>
                <w:szCs w:val="20"/>
                <w:color w:val="auto"/>
              </w:rPr>
            </w:pPr>
            <w:r>
              <w:rPr>
                <w:rFonts w:ascii="Arial" w:cs="Arial" w:eastAsia="Arial" w:hAnsi="Arial"/>
                <w:sz w:val="13"/>
                <w:szCs w:val="13"/>
                <w:color w:val="auto"/>
                <w:w w:val="99"/>
              </w:rPr>
              <w:t>n.a</w:t>
            </w:r>
          </w:p>
        </w:tc>
        <w:tc>
          <w:tcPr>
            <w:tcW w:w="860" w:type="dxa"/>
            <w:vAlign w:val="bottom"/>
          </w:tcPr>
          <w:p>
            <w:pPr>
              <w:jc w:val="right"/>
              <w:ind w:right="395"/>
              <w:spacing w:after="0" w:line="146"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435"/>
              <w:spacing w:after="0" w:line="146"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n.a</w:t>
            </w:r>
          </w:p>
        </w:tc>
      </w:tr>
      <w:tr>
        <w:trPr>
          <w:trHeight w:val="146"/>
        </w:trPr>
        <w:tc>
          <w:tcPr>
            <w:tcW w:w="346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Income taxes</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w w:val="99"/>
              </w:rPr>
              <w:t>(17,814)</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w w:val="99"/>
              </w:rPr>
              <w:t>(15,680)</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(6,670)</w:t>
            </w:r>
          </w:p>
        </w:tc>
        <w:tc>
          <w:tcPr>
            <w:tcW w:w="760" w:type="dxa"/>
            <w:vAlign w:val="bottom"/>
          </w:tcPr>
          <w:p>
            <w:pPr>
              <w:jc w:val="center"/>
              <w:ind w:left="255"/>
              <w:spacing w:after="0" w:line="146" w:lineRule="exact"/>
              <w:rPr>
                <w:sz w:val="20"/>
                <w:szCs w:val="20"/>
                <w:color w:val="auto"/>
              </w:rPr>
            </w:pPr>
            <w:r>
              <w:rPr>
                <w:rFonts w:ascii="Arial" w:cs="Arial" w:eastAsia="Arial" w:hAnsi="Arial"/>
                <w:sz w:val="13"/>
                <w:szCs w:val="13"/>
                <w:color w:val="auto"/>
                <w:w w:val="97"/>
              </w:rPr>
              <w:t>-57.5%</w:t>
            </w:r>
          </w:p>
        </w:tc>
        <w:tc>
          <w:tcPr>
            <w:tcW w:w="1460" w:type="dxa"/>
            <w:vAlign w:val="bottom"/>
            <w:tcBorders>
              <w:right w:val="single" w:sz="8" w:color="auto"/>
            </w:tcBorders>
          </w:tcPr>
          <w:p>
            <w:pPr>
              <w:jc w:val="center"/>
              <w:ind w:left="235"/>
              <w:spacing w:after="0" w:line="146" w:lineRule="exact"/>
              <w:rPr>
                <w:sz w:val="20"/>
                <w:szCs w:val="20"/>
                <w:color w:val="auto"/>
              </w:rPr>
            </w:pPr>
            <w:r>
              <w:rPr>
                <w:rFonts w:ascii="Arial" w:cs="Arial" w:eastAsia="Arial" w:hAnsi="Arial"/>
                <w:sz w:val="13"/>
                <w:szCs w:val="13"/>
                <w:color w:val="auto"/>
                <w:w w:val="97"/>
              </w:rPr>
              <w:t>-62.6%</w:t>
            </w:r>
          </w:p>
        </w:tc>
        <w:tc>
          <w:tcPr>
            <w:tcW w:w="860" w:type="dxa"/>
            <w:vAlign w:val="bottom"/>
          </w:tcPr>
          <w:p>
            <w:pPr>
              <w:jc w:val="center"/>
              <w:spacing w:after="0" w:line="146" w:lineRule="exact"/>
              <w:rPr>
                <w:sz w:val="20"/>
                <w:szCs w:val="20"/>
                <w:color w:val="auto"/>
              </w:rPr>
            </w:pPr>
            <w:r>
              <w:rPr>
                <w:rFonts w:ascii="Arial" w:cs="Arial" w:eastAsia="Arial" w:hAnsi="Arial"/>
                <w:sz w:val="13"/>
                <w:szCs w:val="13"/>
                <w:color w:val="auto"/>
              </w:rPr>
              <w:t>(164,702)</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(46,892)</w:t>
            </w:r>
          </w:p>
        </w:tc>
        <w:tc>
          <w:tcPr>
            <w:tcW w:w="11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-71.5%</w:t>
            </w:r>
          </w:p>
        </w:tc>
      </w:tr>
      <w:tr>
        <w:trPr>
          <w:trHeight w:val="154"/>
        </w:trPr>
        <w:tc>
          <w:tcPr>
            <w:tcW w:w="3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Net income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61,719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70,005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51,898</w:t>
            </w:r>
          </w:p>
        </w:tc>
        <w:tc>
          <w:tcPr>
            <w:tcW w:w="760" w:type="dxa"/>
            <w:vAlign w:val="bottom"/>
            <w:tcBorders>
              <w:bottom w:val="single" w:sz="8" w:color="auto"/>
            </w:tcBorders>
          </w:tcPr>
          <w:p>
            <w:pPr>
              <w:jc w:val="center"/>
              <w:ind w:left="255"/>
              <w:spacing w:after="0"/>
              <w:rPr>
                <w:sz w:val="20"/>
                <w:szCs w:val="20"/>
                <w:color w:val="auto"/>
              </w:rPr>
            </w:pPr>
            <w:r>
              <w:rPr>
                <w:rFonts w:ascii="Arial" w:cs="Arial" w:eastAsia="Arial" w:hAnsi="Arial"/>
                <w:sz w:val="13"/>
                <w:szCs w:val="13"/>
                <w:color w:val="auto"/>
                <w:w w:val="97"/>
              </w:rPr>
              <w:t>-25.9%</w:t>
            </w:r>
          </w:p>
        </w:tc>
        <w:tc>
          <w:tcPr>
            <w:tcW w:w="146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7"/>
              </w:rPr>
              <w:t>-15.9%</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439,679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211,406</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-51.9%</w:t>
            </w: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Indicators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3440" w:type="dxa"/>
            <w:vAlign w:val="bottom"/>
            <w:tcBorders>
              <w:right w:val="single" w:sz="8" w:color="auto"/>
            </w:tcBorders>
          </w:tcPr>
          <w:p>
            <w:pPr>
              <w:spacing w:after="0"/>
              <w:rPr>
                <w:sz w:val="13"/>
                <w:szCs w:val="13"/>
                <w:color w:val="auto"/>
              </w:rPr>
            </w:pPr>
          </w:p>
        </w:tc>
        <w:tc>
          <w:tcPr>
            <w:tcW w:w="800" w:type="dxa"/>
            <w:vAlign w:val="bottom"/>
            <w:tcBorders>
              <w:top w:val="single" w:sz="8" w:color="auto"/>
            </w:tcBorders>
            <w:shd w:val="clear" w:color="auto" w:fill="2AD2C9"/>
          </w:tcPr>
          <w:p>
            <w:pPr>
              <w:spacing w:after="0"/>
              <w:rPr>
                <w:sz w:val="13"/>
                <w:szCs w:val="13"/>
                <w:color w:val="auto"/>
              </w:rPr>
            </w:pPr>
          </w:p>
        </w:tc>
        <w:tc>
          <w:tcPr>
            <w:tcW w:w="980" w:type="dxa"/>
            <w:vAlign w:val="bottom"/>
            <w:tcBorders>
              <w:top w:val="single" w:sz="8" w:color="auto"/>
            </w:tcBorders>
            <w:shd w:val="clear" w:color="auto" w:fill="2AD2C9"/>
          </w:tcPr>
          <w:p>
            <w:pPr>
              <w:ind w:left="280"/>
              <w:spacing w:after="0"/>
              <w:rPr>
                <w:sz w:val="20"/>
                <w:szCs w:val="20"/>
                <w:color w:val="auto"/>
              </w:rPr>
            </w:pPr>
            <w:r>
              <w:rPr>
                <w:rFonts w:ascii="Arial" w:cs="Arial" w:eastAsia="Arial" w:hAnsi="Arial"/>
                <w:sz w:val="13"/>
                <w:szCs w:val="13"/>
                <w:b w:val="1"/>
                <w:bCs w:val="1"/>
                <w:color w:val="FFFFFF"/>
              </w:rPr>
              <w:t>Quarter</w:t>
            </w:r>
          </w:p>
        </w:tc>
        <w:tc>
          <w:tcPr>
            <w:tcW w:w="900" w:type="dxa"/>
            <w:vAlign w:val="bottom"/>
            <w:tcBorders>
              <w:top w:val="single" w:sz="8" w:color="auto"/>
              <w:right w:val="single" w:sz="8" w:color="auto"/>
            </w:tcBorders>
            <w:shd w:val="clear" w:color="auto" w:fill="2AD2C9"/>
          </w:tcPr>
          <w:p>
            <w:pPr>
              <w:spacing w:after="0"/>
              <w:rPr>
                <w:sz w:val="13"/>
                <w:szCs w:val="13"/>
                <w:color w:val="auto"/>
              </w:rPr>
            </w:pPr>
          </w:p>
        </w:tc>
        <w:tc>
          <w:tcPr>
            <w:tcW w:w="200" w:type="dxa"/>
            <w:vAlign w:val="bottom"/>
            <w:tcBorders>
              <w:top w:val="single" w:sz="8" w:color="auto"/>
            </w:tcBorders>
            <w:shd w:val="clear" w:color="auto" w:fill="2AD2C9"/>
          </w:tcPr>
          <w:p>
            <w:pPr>
              <w:spacing w:after="0"/>
              <w:rPr>
                <w:sz w:val="13"/>
                <w:szCs w:val="13"/>
                <w:color w:val="auto"/>
              </w:rPr>
            </w:pPr>
          </w:p>
        </w:tc>
        <w:tc>
          <w:tcPr>
            <w:tcW w:w="600" w:type="dxa"/>
            <w:vAlign w:val="bottom"/>
            <w:tcBorders>
              <w:top w:val="single" w:sz="8" w:color="auto"/>
            </w:tcBorders>
            <w:shd w:val="clear" w:color="auto" w:fill="2AD2C9"/>
          </w:tcPr>
          <w:p>
            <w:pPr>
              <w:spacing w:after="0"/>
              <w:rPr>
                <w:sz w:val="13"/>
                <w:szCs w:val="13"/>
                <w:color w:val="auto"/>
              </w:rPr>
            </w:pPr>
          </w:p>
        </w:tc>
        <w:tc>
          <w:tcPr>
            <w:tcW w:w="1440" w:type="dxa"/>
            <w:vAlign w:val="bottom"/>
            <w:tcBorders>
              <w:top w:val="single" w:sz="8" w:color="auto"/>
              <w:right w:val="single" w:sz="8" w:color="auto"/>
            </w:tcBorders>
            <w:shd w:val="clear" w:color="auto" w:fill="2AD2C9"/>
          </w:tcPr>
          <w:p>
            <w:pPr>
              <w:spacing w:after="0"/>
              <w:rPr>
                <w:sz w:val="20"/>
                <w:szCs w:val="20"/>
                <w:color w:val="auto"/>
              </w:rPr>
            </w:pPr>
            <w:r>
              <w:rPr>
                <w:rFonts w:ascii="Arial" w:cs="Arial" w:eastAsia="Arial" w:hAnsi="Arial"/>
                <w:sz w:val="13"/>
                <w:szCs w:val="13"/>
                <w:b w:val="1"/>
                <w:bCs w:val="1"/>
                <w:color w:val="FFFFFF"/>
              </w:rPr>
              <w:t>% change</w:t>
            </w:r>
          </w:p>
        </w:tc>
        <w:tc>
          <w:tcPr>
            <w:tcW w:w="680" w:type="dxa"/>
            <w:vAlign w:val="bottom"/>
            <w:tcBorders>
              <w:top w:val="single" w:sz="8" w:color="auto"/>
            </w:tcBorders>
            <w:shd w:val="clear" w:color="auto" w:fill="2AD2C9"/>
          </w:tcPr>
          <w:p>
            <w:pPr>
              <w:spacing w:after="0"/>
              <w:rPr>
                <w:sz w:val="13"/>
                <w:szCs w:val="13"/>
                <w:color w:val="auto"/>
              </w:rPr>
            </w:pPr>
          </w:p>
        </w:tc>
        <w:tc>
          <w:tcPr>
            <w:tcW w:w="110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As of</w:t>
            </w:r>
          </w:p>
        </w:tc>
        <w:tc>
          <w:tcPr>
            <w:tcW w:w="11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54"/>
        </w:trPr>
        <w:tc>
          <w:tcPr>
            <w:tcW w:w="34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shd w:val="clear" w:color="auto" w:fill="2AD2C9"/>
          </w:tcPr>
          <w:p>
            <w:pPr>
              <w:jc w:val="center"/>
              <w:ind w:left="15"/>
              <w:spacing w:after="0"/>
              <w:rPr>
                <w:sz w:val="20"/>
                <w:szCs w:val="20"/>
                <w:color w:val="auto"/>
              </w:rPr>
            </w:pPr>
            <w:r>
              <w:rPr>
                <w:rFonts w:ascii="Arial" w:cs="Arial" w:eastAsia="Arial" w:hAnsi="Arial"/>
                <w:sz w:val="13"/>
                <w:szCs w:val="13"/>
                <w:b w:val="1"/>
                <w:bCs w:val="1"/>
                <w:color w:val="FFFFFF"/>
              </w:rPr>
              <w:t>4Q22</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3Q23</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4Q23</w:t>
            </w:r>
          </w:p>
        </w:tc>
        <w:tc>
          <w:tcPr>
            <w:tcW w:w="200" w:type="dxa"/>
            <w:vAlign w:val="bottom"/>
            <w:tcBorders>
              <w:bottom w:val="single" w:sz="8" w:color="auto"/>
            </w:tcBorders>
            <w:shd w:val="clear" w:color="auto" w:fill="2AD2C9"/>
          </w:tcPr>
          <w:p>
            <w:pPr>
              <w:spacing w:after="0"/>
              <w:rPr>
                <w:sz w:val="13"/>
                <w:szCs w:val="13"/>
                <w:color w:val="auto"/>
              </w:rPr>
            </w:pPr>
          </w:p>
        </w:tc>
        <w:tc>
          <w:tcPr>
            <w:tcW w:w="600" w:type="dxa"/>
            <w:vAlign w:val="bottom"/>
            <w:tcBorders>
              <w:bottom w:val="single" w:sz="8" w:color="auto"/>
            </w:tcBorders>
            <w:shd w:val="clear" w:color="auto" w:fill="2AD2C9"/>
          </w:tcPr>
          <w:p>
            <w:pPr>
              <w:jc w:val="center"/>
              <w:ind w:left="15"/>
              <w:spacing w:after="0"/>
              <w:rPr>
                <w:sz w:val="20"/>
                <w:szCs w:val="20"/>
                <w:color w:val="auto"/>
              </w:rPr>
            </w:pPr>
            <w:r>
              <w:rPr>
                <w:rFonts w:ascii="Arial" w:cs="Arial" w:eastAsia="Arial" w:hAnsi="Arial"/>
                <w:sz w:val="13"/>
                <w:szCs w:val="13"/>
                <w:b w:val="1"/>
                <w:bCs w:val="1"/>
                <w:color w:val="FFFFFF"/>
                <w:w w:val="99"/>
              </w:rPr>
              <w:t>QoQ</w:t>
            </w:r>
          </w:p>
        </w:tc>
        <w:tc>
          <w:tcPr>
            <w:tcW w:w="1440" w:type="dxa"/>
            <w:vAlign w:val="bottom"/>
            <w:tcBorders>
              <w:bottom w:val="single" w:sz="8" w:color="auto"/>
              <w:right w:val="single" w:sz="8" w:color="auto"/>
            </w:tcBorders>
            <w:shd w:val="clear" w:color="auto" w:fill="2AD2C9"/>
          </w:tcPr>
          <w:p>
            <w:pPr>
              <w:jc w:val="center"/>
              <w:ind w:left="215"/>
              <w:spacing w:after="0"/>
              <w:rPr>
                <w:sz w:val="20"/>
                <w:szCs w:val="20"/>
                <w:color w:val="auto"/>
              </w:rPr>
            </w:pPr>
            <w:r>
              <w:rPr>
                <w:rFonts w:ascii="Arial" w:cs="Arial" w:eastAsia="Arial" w:hAnsi="Arial"/>
                <w:sz w:val="13"/>
                <w:szCs w:val="13"/>
                <w:b w:val="1"/>
                <w:bCs w:val="1"/>
                <w:color w:val="FFFFFF"/>
                <w:w w:val="94"/>
              </w:rPr>
              <w:t>YoY</w:t>
            </w:r>
          </w:p>
        </w:tc>
        <w:tc>
          <w:tcPr>
            <w:tcW w:w="680" w:type="dxa"/>
            <w:vAlign w:val="bottom"/>
            <w:tcBorders>
              <w:bottom w:val="single" w:sz="8" w:color="auto"/>
            </w:tcBorders>
            <w:shd w:val="clear" w:color="auto" w:fill="2AD2C9"/>
          </w:tcPr>
          <w:p>
            <w:pPr>
              <w:jc w:val="center"/>
              <w:ind w:left="115"/>
              <w:spacing w:after="0"/>
              <w:rPr>
                <w:sz w:val="20"/>
                <w:szCs w:val="20"/>
                <w:color w:val="auto"/>
              </w:rPr>
            </w:pPr>
            <w:r>
              <w:rPr>
                <w:rFonts w:ascii="Arial" w:cs="Arial" w:eastAsia="Arial" w:hAnsi="Arial"/>
                <w:sz w:val="13"/>
                <w:szCs w:val="13"/>
                <w:b w:val="1"/>
                <w:bCs w:val="1"/>
                <w:color w:val="FFFFFF"/>
              </w:rPr>
              <w:t>Dec 22</w:t>
            </w:r>
          </w:p>
        </w:tc>
        <w:tc>
          <w:tcPr>
            <w:tcW w:w="110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Arial" w:cs="Arial" w:eastAsia="Arial" w:hAnsi="Arial"/>
                <w:sz w:val="13"/>
                <w:szCs w:val="13"/>
                <w:b w:val="1"/>
                <w:bCs w:val="1"/>
                <w:color w:val="FFFFFF"/>
              </w:rPr>
              <w:t>Dec 23</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Dec 23 / Dec 22</w:t>
            </w:r>
          </w:p>
        </w:tc>
      </w:tr>
      <w:tr>
        <w:trPr>
          <w:trHeight w:val="131"/>
        </w:trPr>
        <w:tc>
          <w:tcPr>
            <w:tcW w:w="3440" w:type="dxa"/>
            <w:vAlign w:val="bottom"/>
            <w:tcBorders>
              <w:left w:val="single" w:sz="8" w:color="auto"/>
              <w:right w:val="single" w:sz="8" w:color="auto"/>
            </w:tcBorders>
          </w:tcPr>
          <w:p>
            <w:pPr>
              <w:ind w:left="100"/>
              <w:spacing w:after="0" w:line="131" w:lineRule="exact"/>
              <w:rPr>
                <w:sz w:val="20"/>
                <w:szCs w:val="20"/>
                <w:color w:val="auto"/>
              </w:rPr>
            </w:pPr>
            <w:r>
              <w:rPr>
                <w:rFonts w:ascii="Arial" w:cs="Arial" w:eastAsia="Arial" w:hAnsi="Arial"/>
                <w:sz w:val="13"/>
                <w:szCs w:val="13"/>
                <w:color w:val="auto"/>
              </w:rPr>
              <w:t>Efficiency ratio</w:t>
            </w:r>
          </w:p>
        </w:tc>
        <w:tc>
          <w:tcPr>
            <w:tcW w:w="800" w:type="dxa"/>
            <w:vAlign w:val="bottom"/>
          </w:tcPr>
          <w:p>
            <w:pPr>
              <w:jc w:val="center"/>
              <w:ind w:left="15"/>
              <w:spacing w:after="0" w:line="131" w:lineRule="exact"/>
              <w:rPr>
                <w:sz w:val="20"/>
                <w:szCs w:val="20"/>
                <w:color w:val="auto"/>
              </w:rPr>
            </w:pPr>
            <w:r>
              <w:rPr>
                <w:rFonts w:ascii="Arial" w:cs="Arial" w:eastAsia="Arial" w:hAnsi="Arial"/>
                <w:sz w:val="13"/>
                <w:szCs w:val="13"/>
                <w:color w:val="auto"/>
                <w:w w:val="97"/>
              </w:rPr>
              <w:t>52.3%</w:t>
            </w:r>
          </w:p>
        </w:tc>
        <w:tc>
          <w:tcPr>
            <w:tcW w:w="980" w:type="dxa"/>
            <w:vAlign w:val="bottom"/>
          </w:tcPr>
          <w:p>
            <w:pPr>
              <w:jc w:val="center"/>
              <w:spacing w:after="0" w:line="131" w:lineRule="exact"/>
              <w:rPr>
                <w:sz w:val="20"/>
                <w:szCs w:val="20"/>
                <w:color w:val="auto"/>
              </w:rPr>
            </w:pPr>
            <w:r>
              <w:rPr>
                <w:rFonts w:ascii="Arial" w:cs="Arial" w:eastAsia="Arial" w:hAnsi="Arial"/>
                <w:sz w:val="13"/>
                <w:szCs w:val="13"/>
                <w:color w:val="auto"/>
                <w:w w:val="97"/>
              </w:rPr>
              <w:t>51.4%</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52.9%</w:t>
            </w:r>
          </w:p>
        </w:tc>
        <w:tc>
          <w:tcPr>
            <w:tcW w:w="200" w:type="dxa"/>
            <w:vAlign w:val="bottom"/>
          </w:tcPr>
          <w:p>
            <w:pPr>
              <w:spacing w:after="0"/>
              <w:rPr>
                <w:sz w:val="11"/>
                <w:szCs w:val="11"/>
                <w:color w:val="auto"/>
              </w:rPr>
            </w:pPr>
          </w:p>
        </w:tc>
        <w:tc>
          <w:tcPr>
            <w:tcW w:w="600" w:type="dxa"/>
            <w:vAlign w:val="bottom"/>
          </w:tcPr>
          <w:p>
            <w:pPr>
              <w:jc w:val="center"/>
              <w:ind w:left="15"/>
              <w:spacing w:after="0" w:line="131" w:lineRule="exact"/>
              <w:rPr>
                <w:sz w:val="20"/>
                <w:szCs w:val="20"/>
                <w:color w:val="auto"/>
              </w:rPr>
            </w:pPr>
            <w:r>
              <w:rPr>
                <w:rFonts w:ascii="Arial" w:cs="Arial" w:eastAsia="Arial" w:hAnsi="Arial"/>
                <w:sz w:val="13"/>
                <w:szCs w:val="13"/>
                <w:color w:val="auto"/>
              </w:rPr>
              <w:t>150 bps</w:t>
            </w:r>
          </w:p>
        </w:tc>
        <w:tc>
          <w:tcPr>
            <w:tcW w:w="1440" w:type="dxa"/>
            <w:vAlign w:val="bottom"/>
            <w:tcBorders>
              <w:right w:val="single" w:sz="8" w:color="auto"/>
            </w:tcBorders>
          </w:tcPr>
          <w:p>
            <w:pPr>
              <w:jc w:val="center"/>
              <w:ind w:left="215"/>
              <w:spacing w:after="0" w:line="131" w:lineRule="exact"/>
              <w:rPr>
                <w:sz w:val="20"/>
                <w:szCs w:val="20"/>
                <w:color w:val="auto"/>
              </w:rPr>
            </w:pPr>
            <w:r>
              <w:rPr>
                <w:rFonts w:ascii="Arial" w:cs="Arial" w:eastAsia="Arial" w:hAnsi="Arial"/>
                <w:sz w:val="13"/>
                <w:szCs w:val="13"/>
                <w:color w:val="auto"/>
              </w:rPr>
              <w:t>60 bps</w:t>
            </w:r>
          </w:p>
        </w:tc>
        <w:tc>
          <w:tcPr>
            <w:tcW w:w="680" w:type="dxa"/>
            <w:vAlign w:val="bottom"/>
          </w:tcPr>
          <w:p>
            <w:pPr>
              <w:jc w:val="center"/>
              <w:ind w:left="115"/>
              <w:spacing w:after="0" w:line="131" w:lineRule="exact"/>
              <w:rPr>
                <w:sz w:val="20"/>
                <w:szCs w:val="20"/>
                <w:color w:val="auto"/>
              </w:rPr>
            </w:pPr>
            <w:r>
              <w:rPr>
                <w:rFonts w:ascii="Arial" w:cs="Arial" w:eastAsia="Arial" w:hAnsi="Arial"/>
                <w:sz w:val="13"/>
                <w:szCs w:val="13"/>
                <w:color w:val="auto"/>
              </w:rPr>
              <w:t>51.3%</w:t>
            </w:r>
          </w:p>
        </w:tc>
        <w:tc>
          <w:tcPr>
            <w:tcW w:w="1100" w:type="dxa"/>
            <w:vAlign w:val="bottom"/>
            <w:tcBorders>
              <w:right w:val="single" w:sz="8" w:color="auto"/>
            </w:tcBorders>
          </w:tcPr>
          <w:p>
            <w:pPr>
              <w:jc w:val="center"/>
              <w:ind w:left="95"/>
              <w:spacing w:after="0" w:line="131" w:lineRule="exact"/>
              <w:rPr>
                <w:sz w:val="20"/>
                <w:szCs w:val="20"/>
                <w:color w:val="auto"/>
              </w:rPr>
            </w:pPr>
            <w:r>
              <w:rPr>
                <w:rFonts w:ascii="Arial" w:cs="Arial" w:eastAsia="Arial" w:hAnsi="Arial"/>
                <w:sz w:val="13"/>
                <w:szCs w:val="13"/>
                <w:color w:val="auto"/>
              </w:rPr>
              <w:t>52.7%</w:t>
            </w:r>
          </w:p>
        </w:tc>
        <w:tc>
          <w:tcPr>
            <w:tcW w:w="11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9"/>
              </w:rPr>
              <w:t>140 bps</w:t>
            </w:r>
          </w:p>
        </w:tc>
      </w:tr>
      <w:tr>
        <w:trPr>
          <w:trHeight w:val="146"/>
        </w:trPr>
        <w:tc>
          <w:tcPr>
            <w:tcW w:w="344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ROAE</w:t>
            </w:r>
          </w:p>
        </w:tc>
        <w:tc>
          <w:tcPr>
            <w:tcW w:w="800" w:type="dxa"/>
            <w:vAlign w:val="bottom"/>
          </w:tcPr>
          <w:p>
            <w:pPr>
              <w:jc w:val="center"/>
              <w:spacing w:after="0" w:line="146" w:lineRule="exact"/>
              <w:rPr>
                <w:sz w:val="20"/>
                <w:szCs w:val="20"/>
                <w:color w:val="auto"/>
              </w:rPr>
            </w:pPr>
            <w:r>
              <w:rPr>
                <w:rFonts w:ascii="Arial" w:cs="Arial" w:eastAsia="Arial" w:hAnsi="Arial"/>
                <w:sz w:val="13"/>
                <w:szCs w:val="13"/>
                <w:color w:val="auto"/>
              </w:rPr>
              <w:t>6.8%</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w w:val="94"/>
              </w:rPr>
              <w:t>8.3%</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7.3%</w:t>
            </w:r>
          </w:p>
        </w:tc>
        <w:tc>
          <w:tcPr>
            <w:tcW w:w="200" w:type="dxa"/>
            <w:vAlign w:val="bottom"/>
          </w:tcPr>
          <w:p>
            <w:pPr>
              <w:spacing w:after="0"/>
              <w:rPr>
                <w:sz w:val="12"/>
                <w:szCs w:val="12"/>
                <w:color w:val="auto"/>
              </w:rPr>
            </w:pPr>
          </w:p>
        </w:tc>
        <w:tc>
          <w:tcPr>
            <w:tcW w:w="600" w:type="dxa"/>
            <w:vAlign w:val="bottom"/>
          </w:tcPr>
          <w:p>
            <w:pPr>
              <w:jc w:val="center"/>
              <w:ind w:left="15"/>
              <w:spacing w:after="0" w:line="146" w:lineRule="exact"/>
              <w:rPr>
                <w:sz w:val="20"/>
                <w:szCs w:val="20"/>
                <w:color w:val="auto"/>
              </w:rPr>
            </w:pPr>
            <w:r>
              <w:rPr>
                <w:rFonts w:ascii="Arial" w:cs="Arial" w:eastAsia="Arial" w:hAnsi="Arial"/>
                <w:sz w:val="13"/>
                <w:szCs w:val="13"/>
                <w:color w:val="auto"/>
              </w:rPr>
              <w:t>-100 bps</w:t>
            </w:r>
          </w:p>
        </w:tc>
        <w:tc>
          <w:tcPr>
            <w:tcW w:w="1440" w:type="dxa"/>
            <w:vAlign w:val="bottom"/>
            <w:tcBorders>
              <w:right w:val="single" w:sz="8" w:color="auto"/>
            </w:tcBorders>
          </w:tcPr>
          <w:p>
            <w:pPr>
              <w:jc w:val="center"/>
              <w:ind w:left="215"/>
              <w:spacing w:after="0" w:line="146" w:lineRule="exact"/>
              <w:rPr>
                <w:sz w:val="20"/>
                <w:szCs w:val="20"/>
                <w:color w:val="auto"/>
              </w:rPr>
            </w:pPr>
            <w:r>
              <w:rPr>
                <w:rFonts w:ascii="Arial" w:cs="Arial" w:eastAsia="Arial" w:hAnsi="Arial"/>
                <w:sz w:val="13"/>
                <w:szCs w:val="13"/>
                <w:color w:val="auto"/>
              </w:rPr>
              <w:t>50 bps</w:t>
            </w:r>
          </w:p>
        </w:tc>
        <w:tc>
          <w:tcPr>
            <w:tcW w:w="680" w:type="dxa"/>
            <w:vAlign w:val="bottom"/>
          </w:tcPr>
          <w:p>
            <w:pPr>
              <w:jc w:val="center"/>
              <w:ind w:left="115"/>
              <w:spacing w:after="0" w:line="146" w:lineRule="exact"/>
              <w:rPr>
                <w:sz w:val="20"/>
                <w:szCs w:val="20"/>
                <w:color w:val="auto"/>
              </w:rPr>
            </w:pPr>
            <w:r>
              <w:rPr>
                <w:rFonts w:ascii="Arial" w:cs="Arial" w:eastAsia="Arial" w:hAnsi="Arial"/>
                <w:sz w:val="13"/>
                <w:szCs w:val="13"/>
                <w:color w:val="auto"/>
              </w:rPr>
              <w:t>16.4%</w:t>
            </w:r>
          </w:p>
        </w:tc>
        <w:tc>
          <w:tcPr>
            <w:tcW w:w="1100" w:type="dxa"/>
            <w:vAlign w:val="bottom"/>
            <w:tcBorders>
              <w:right w:val="single" w:sz="8" w:color="auto"/>
            </w:tcBorders>
          </w:tcPr>
          <w:p>
            <w:pPr>
              <w:jc w:val="center"/>
              <w:ind w:left="95"/>
              <w:spacing w:after="0" w:line="146" w:lineRule="exact"/>
              <w:rPr>
                <w:sz w:val="20"/>
                <w:szCs w:val="20"/>
                <w:color w:val="auto"/>
              </w:rPr>
            </w:pPr>
            <w:r>
              <w:rPr>
                <w:rFonts w:ascii="Arial" w:cs="Arial" w:eastAsia="Arial" w:hAnsi="Arial"/>
                <w:sz w:val="13"/>
                <w:szCs w:val="13"/>
                <w:color w:val="auto"/>
              </w:rPr>
              <w:t>7.1%</w:t>
            </w:r>
          </w:p>
        </w:tc>
        <w:tc>
          <w:tcPr>
            <w:tcW w:w="11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-930 bps</w:t>
            </w:r>
          </w:p>
        </w:tc>
      </w:tr>
      <w:tr>
        <w:trPr>
          <w:trHeight w:val="154"/>
        </w:trPr>
        <w:tc>
          <w:tcPr>
            <w:tcW w:w="3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ROAE incl. Goodwill</w:t>
            </w:r>
          </w:p>
        </w:tc>
        <w:tc>
          <w:tcPr>
            <w:tcW w:w="800" w:type="dxa"/>
            <w:vAlign w:val="bottom"/>
          </w:tcPr>
          <w:p>
            <w:pPr>
              <w:jc w:val="center"/>
              <w:spacing w:after="0"/>
              <w:rPr>
                <w:sz w:val="20"/>
                <w:szCs w:val="20"/>
                <w:color w:val="auto"/>
              </w:rPr>
            </w:pPr>
            <w:r>
              <w:rPr>
                <w:rFonts w:ascii="Arial" w:cs="Arial" w:eastAsia="Arial" w:hAnsi="Arial"/>
                <w:sz w:val="13"/>
                <w:szCs w:val="13"/>
                <w:color w:val="auto"/>
              </w:rPr>
              <w:t>6.5%</w:t>
            </w:r>
          </w:p>
        </w:tc>
        <w:tc>
          <w:tcPr>
            <w:tcW w:w="980" w:type="dxa"/>
            <w:vAlign w:val="bottom"/>
          </w:tcPr>
          <w:p>
            <w:pPr>
              <w:jc w:val="center"/>
              <w:spacing w:after="0"/>
              <w:rPr>
                <w:sz w:val="20"/>
                <w:szCs w:val="20"/>
                <w:color w:val="auto"/>
              </w:rPr>
            </w:pPr>
            <w:r>
              <w:rPr>
                <w:rFonts w:ascii="Arial" w:cs="Arial" w:eastAsia="Arial" w:hAnsi="Arial"/>
                <w:sz w:val="13"/>
                <w:szCs w:val="13"/>
                <w:color w:val="auto"/>
                <w:w w:val="94"/>
              </w:rPr>
              <w:t>7.9%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7.0%</w:t>
            </w:r>
          </w:p>
        </w:tc>
        <w:tc>
          <w:tcPr>
            <w:tcW w:w="200" w:type="dxa"/>
            <w:vAlign w:val="bottom"/>
          </w:tcPr>
          <w:p>
            <w:pPr>
              <w:spacing w:after="0"/>
              <w:rPr>
                <w:sz w:val="13"/>
                <w:szCs w:val="13"/>
                <w:color w:val="auto"/>
              </w:rPr>
            </w:pPr>
          </w:p>
        </w:tc>
        <w:tc>
          <w:tcPr>
            <w:tcW w:w="600" w:type="dxa"/>
            <w:vAlign w:val="bottom"/>
          </w:tcPr>
          <w:p>
            <w:pPr>
              <w:jc w:val="center"/>
              <w:ind w:left="15"/>
              <w:spacing w:after="0"/>
              <w:rPr>
                <w:sz w:val="20"/>
                <w:szCs w:val="20"/>
                <w:color w:val="auto"/>
              </w:rPr>
            </w:pPr>
            <w:r>
              <w:rPr>
                <w:rFonts w:ascii="Arial" w:cs="Arial" w:eastAsia="Arial" w:hAnsi="Arial"/>
                <w:sz w:val="13"/>
                <w:szCs w:val="13"/>
                <w:color w:val="auto"/>
              </w:rPr>
              <w:t>-100 bps</w:t>
            </w:r>
          </w:p>
        </w:tc>
        <w:tc>
          <w:tcPr>
            <w:tcW w:w="1440" w:type="dxa"/>
            <w:vAlign w:val="bottom"/>
            <w:tcBorders>
              <w:right w:val="single" w:sz="8" w:color="auto"/>
            </w:tcBorders>
          </w:tcPr>
          <w:p>
            <w:pPr>
              <w:jc w:val="center"/>
              <w:ind w:left="215"/>
              <w:spacing w:after="0"/>
              <w:rPr>
                <w:sz w:val="20"/>
                <w:szCs w:val="20"/>
                <w:color w:val="auto"/>
              </w:rPr>
            </w:pPr>
            <w:r>
              <w:rPr>
                <w:rFonts w:ascii="Arial" w:cs="Arial" w:eastAsia="Arial" w:hAnsi="Arial"/>
                <w:sz w:val="13"/>
                <w:szCs w:val="13"/>
                <w:color w:val="auto"/>
              </w:rPr>
              <w:t>50 bps</w:t>
            </w:r>
          </w:p>
        </w:tc>
        <w:tc>
          <w:tcPr>
            <w:tcW w:w="680" w:type="dxa"/>
            <w:vAlign w:val="bottom"/>
            <w:tcBorders>
              <w:bottom w:val="single" w:sz="8" w:color="auto"/>
            </w:tcBorders>
          </w:tcPr>
          <w:p>
            <w:pPr>
              <w:jc w:val="center"/>
              <w:ind w:left="115"/>
              <w:spacing w:after="0"/>
              <w:rPr>
                <w:sz w:val="20"/>
                <w:szCs w:val="20"/>
                <w:color w:val="auto"/>
              </w:rPr>
            </w:pPr>
            <w:r>
              <w:rPr>
                <w:rFonts w:ascii="Arial" w:cs="Arial" w:eastAsia="Arial" w:hAnsi="Arial"/>
                <w:sz w:val="13"/>
                <w:szCs w:val="13"/>
                <w:color w:val="auto"/>
              </w:rPr>
              <w:t>15.6%</w:t>
            </w:r>
          </w:p>
        </w:tc>
        <w:tc>
          <w:tcPr>
            <w:tcW w:w="110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3"/>
                <w:szCs w:val="13"/>
                <w:color w:val="auto"/>
              </w:rPr>
              <w:t>6.8%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-880 bps</w:t>
            </w:r>
          </w:p>
        </w:tc>
      </w:tr>
      <w:tr>
        <w:trPr>
          <w:trHeight w:val="131"/>
        </w:trPr>
        <w:tc>
          <w:tcPr>
            <w:tcW w:w="3440" w:type="dxa"/>
            <w:vAlign w:val="bottom"/>
            <w:tcBorders>
              <w:left w:val="single" w:sz="8" w:color="auto"/>
              <w:right w:val="single" w:sz="8" w:color="auto"/>
            </w:tcBorders>
          </w:tcPr>
          <w:p>
            <w:pPr>
              <w:ind w:left="100"/>
              <w:spacing w:after="0" w:line="131" w:lineRule="exact"/>
              <w:rPr>
                <w:sz w:val="20"/>
                <w:szCs w:val="20"/>
                <w:color w:val="auto"/>
              </w:rPr>
            </w:pPr>
            <w:r>
              <w:rPr>
                <w:rFonts w:ascii="Arial" w:cs="Arial" w:eastAsia="Arial" w:hAnsi="Arial"/>
                <w:sz w:val="13"/>
                <w:szCs w:val="13"/>
                <w:color w:val="auto"/>
              </w:rPr>
              <w:t>L/D ratio</w:t>
            </w:r>
          </w:p>
        </w:tc>
        <w:tc>
          <w:tcPr>
            <w:tcW w:w="800" w:type="dxa"/>
            <w:vAlign w:val="bottom"/>
          </w:tcPr>
          <w:p>
            <w:pPr>
              <w:jc w:val="center"/>
              <w:ind w:left="15"/>
              <w:spacing w:after="0" w:line="131" w:lineRule="exact"/>
              <w:rPr>
                <w:sz w:val="20"/>
                <w:szCs w:val="20"/>
                <w:color w:val="auto"/>
              </w:rPr>
            </w:pPr>
            <w:r>
              <w:rPr>
                <w:rFonts w:ascii="Arial" w:cs="Arial" w:eastAsia="Arial" w:hAnsi="Arial"/>
                <w:sz w:val="13"/>
                <w:szCs w:val="13"/>
                <w:color w:val="auto"/>
                <w:w w:val="99"/>
              </w:rPr>
              <w:t>151.2%</w:t>
            </w:r>
          </w:p>
        </w:tc>
        <w:tc>
          <w:tcPr>
            <w:tcW w:w="980" w:type="dxa"/>
            <w:vAlign w:val="bottom"/>
          </w:tcPr>
          <w:p>
            <w:pPr>
              <w:jc w:val="center"/>
              <w:spacing w:after="0" w:line="131" w:lineRule="exact"/>
              <w:rPr>
                <w:sz w:val="20"/>
                <w:szCs w:val="20"/>
                <w:color w:val="auto"/>
              </w:rPr>
            </w:pPr>
            <w:r>
              <w:rPr>
                <w:rFonts w:ascii="Arial" w:cs="Arial" w:eastAsia="Arial" w:hAnsi="Arial"/>
                <w:sz w:val="13"/>
                <w:szCs w:val="13"/>
                <w:color w:val="auto"/>
                <w:w w:val="99"/>
              </w:rPr>
              <w:t>135.1%</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9"/>
              </w:rPr>
              <w:t>132.7%</w:t>
            </w:r>
          </w:p>
        </w:tc>
        <w:tc>
          <w:tcPr>
            <w:tcW w:w="200" w:type="dxa"/>
            <w:vAlign w:val="bottom"/>
          </w:tcPr>
          <w:p>
            <w:pPr>
              <w:spacing w:after="0"/>
              <w:rPr>
                <w:sz w:val="11"/>
                <w:szCs w:val="11"/>
                <w:color w:val="auto"/>
              </w:rPr>
            </w:pPr>
          </w:p>
        </w:tc>
        <w:tc>
          <w:tcPr>
            <w:tcW w:w="600" w:type="dxa"/>
            <w:vAlign w:val="bottom"/>
          </w:tcPr>
          <w:p>
            <w:pPr>
              <w:jc w:val="center"/>
              <w:ind w:left="15"/>
              <w:spacing w:after="0" w:line="131" w:lineRule="exact"/>
              <w:rPr>
                <w:sz w:val="20"/>
                <w:szCs w:val="20"/>
                <w:color w:val="auto"/>
              </w:rPr>
            </w:pPr>
            <w:r>
              <w:rPr>
                <w:rFonts w:ascii="Arial" w:cs="Arial" w:eastAsia="Arial" w:hAnsi="Arial"/>
                <w:sz w:val="13"/>
                <w:szCs w:val="13"/>
                <w:color w:val="auto"/>
              </w:rPr>
              <w:t>-240 bps</w:t>
            </w:r>
          </w:p>
        </w:tc>
        <w:tc>
          <w:tcPr>
            <w:tcW w:w="1440" w:type="dxa"/>
            <w:vAlign w:val="bottom"/>
            <w:tcBorders>
              <w:right w:val="single" w:sz="8" w:color="auto"/>
            </w:tcBorders>
          </w:tcPr>
          <w:p>
            <w:pPr>
              <w:jc w:val="center"/>
              <w:ind w:left="195"/>
              <w:spacing w:after="0" w:line="131" w:lineRule="exact"/>
              <w:rPr>
                <w:sz w:val="20"/>
                <w:szCs w:val="20"/>
                <w:color w:val="auto"/>
              </w:rPr>
            </w:pPr>
            <w:r>
              <w:rPr>
                <w:rFonts w:ascii="Arial" w:cs="Arial" w:eastAsia="Arial" w:hAnsi="Arial"/>
                <w:sz w:val="13"/>
                <w:szCs w:val="13"/>
                <w:color w:val="auto"/>
              </w:rPr>
              <w:t>-1850 bps</w:t>
            </w: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6"/>
        </w:trPr>
        <w:tc>
          <w:tcPr>
            <w:tcW w:w="344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IOL ratio</w:t>
            </w:r>
          </w:p>
        </w:tc>
        <w:tc>
          <w:tcPr>
            <w:tcW w:w="800" w:type="dxa"/>
            <w:vAlign w:val="bottom"/>
          </w:tcPr>
          <w:p>
            <w:pPr>
              <w:jc w:val="center"/>
              <w:spacing w:after="0" w:line="146" w:lineRule="exact"/>
              <w:rPr>
                <w:sz w:val="20"/>
                <w:szCs w:val="20"/>
                <w:color w:val="auto"/>
              </w:rPr>
            </w:pPr>
            <w:r>
              <w:rPr>
                <w:rFonts w:ascii="Arial" w:cs="Arial" w:eastAsia="Arial" w:hAnsi="Arial"/>
                <w:sz w:val="13"/>
                <w:szCs w:val="13"/>
                <w:color w:val="auto"/>
              </w:rPr>
              <w:t>5.5%</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w w:val="94"/>
              </w:rPr>
              <w:t>6.2%</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6.3%</w:t>
            </w:r>
          </w:p>
        </w:tc>
        <w:tc>
          <w:tcPr>
            <w:tcW w:w="200" w:type="dxa"/>
            <w:vAlign w:val="bottom"/>
          </w:tcPr>
          <w:p>
            <w:pPr>
              <w:spacing w:after="0"/>
              <w:rPr>
                <w:sz w:val="12"/>
                <w:szCs w:val="12"/>
                <w:color w:val="auto"/>
              </w:rPr>
            </w:pPr>
          </w:p>
        </w:tc>
        <w:tc>
          <w:tcPr>
            <w:tcW w:w="600" w:type="dxa"/>
            <w:vAlign w:val="bottom"/>
          </w:tcPr>
          <w:p>
            <w:pPr>
              <w:jc w:val="center"/>
              <w:ind w:left="15"/>
              <w:spacing w:after="0" w:line="146" w:lineRule="exact"/>
              <w:rPr>
                <w:sz w:val="20"/>
                <w:szCs w:val="20"/>
                <w:color w:val="auto"/>
              </w:rPr>
            </w:pPr>
            <w:r>
              <w:rPr>
                <w:rFonts w:ascii="Arial" w:cs="Arial" w:eastAsia="Arial" w:hAnsi="Arial"/>
                <w:sz w:val="13"/>
                <w:szCs w:val="13"/>
                <w:color w:val="auto"/>
              </w:rPr>
              <w:t>10 bps</w:t>
            </w:r>
          </w:p>
        </w:tc>
        <w:tc>
          <w:tcPr>
            <w:tcW w:w="1440" w:type="dxa"/>
            <w:vAlign w:val="bottom"/>
            <w:tcBorders>
              <w:right w:val="single" w:sz="8" w:color="auto"/>
            </w:tcBorders>
          </w:tcPr>
          <w:p>
            <w:pPr>
              <w:jc w:val="center"/>
              <w:ind w:left="215"/>
              <w:spacing w:after="0" w:line="146" w:lineRule="exact"/>
              <w:rPr>
                <w:sz w:val="20"/>
                <w:szCs w:val="20"/>
                <w:color w:val="auto"/>
              </w:rPr>
            </w:pPr>
            <w:r>
              <w:rPr>
                <w:rFonts w:ascii="Arial" w:cs="Arial" w:eastAsia="Arial" w:hAnsi="Arial"/>
                <w:sz w:val="13"/>
                <w:szCs w:val="13"/>
                <w:color w:val="auto"/>
              </w:rPr>
              <w:t>80 bps</w:t>
            </w: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344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NPL ratio</w:t>
            </w:r>
          </w:p>
        </w:tc>
        <w:tc>
          <w:tcPr>
            <w:tcW w:w="800" w:type="dxa"/>
            <w:vAlign w:val="bottom"/>
          </w:tcPr>
          <w:p>
            <w:pPr>
              <w:jc w:val="center"/>
              <w:spacing w:after="0" w:line="146" w:lineRule="exact"/>
              <w:rPr>
                <w:sz w:val="20"/>
                <w:szCs w:val="20"/>
                <w:color w:val="auto"/>
              </w:rPr>
            </w:pPr>
            <w:r>
              <w:rPr>
                <w:rFonts w:ascii="Arial" w:cs="Arial" w:eastAsia="Arial" w:hAnsi="Arial"/>
                <w:sz w:val="13"/>
                <w:szCs w:val="13"/>
                <w:color w:val="auto"/>
              </w:rPr>
              <w:t>6.1%</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w w:val="94"/>
              </w:rPr>
              <w:t>6.9%</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7.0%</w:t>
            </w:r>
          </w:p>
        </w:tc>
        <w:tc>
          <w:tcPr>
            <w:tcW w:w="200" w:type="dxa"/>
            <w:vAlign w:val="bottom"/>
          </w:tcPr>
          <w:p>
            <w:pPr>
              <w:spacing w:after="0"/>
              <w:rPr>
                <w:sz w:val="12"/>
                <w:szCs w:val="12"/>
                <w:color w:val="auto"/>
              </w:rPr>
            </w:pPr>
          </w:p>
        </w:tc>
        <w:tc>
          <w:tcPr>
            <w:tcW w:w="600" w:type="dxa"/>
            <w:vAlign w:val="bottom"/>
          </w:tcPr>
          <w:p>
            <w:pPr>
              <w:jc w:val="center"/>
              <w:ind w:left="15"/>
              <w:spacing w:after="0" w:line="146" w:lineRule="exact"/>
              <w:rPr>
                <w:sz w:val="20"/>
                <w:szCs w:val="20"/>
                <w:color w:val="auto"/>
              </w:rPr>
            </w:pPr>
            <w:r>
              <w:rPr>
                <w:rFonts w:ascii="Arial" w:cs="Arial" w:eastAsia="Arial" w:hAnsi="Arial"/>
                <w:sz w:val="13"/>
                <w:szCs w:val="13"/>
                <w:color w:val="auto"/>
              </w:rPr>
              <w:t>10 bps</w:t>
            </w:r>
          </w:p>
        </w:tc>
        <w:tc>
          <w:tcPr>
            <w:tcW w:w="1440" w:type="dxa"/>
            <w:vAlign w:val="bottom"/>
            <w:tcBorders>
              <w:right w:val="single" w:sz="8" w:color="auto"/>
            </w:tcBorders>
          </w:tcPr>
          <w:p>
            <w:pPr>
              <w:jc w:val="center"/>
              <w:ind w:left="215"/>
              <w:spacing w:after="0" w:line="146" w:lineRule="exact"/>
              <w:rPr>
                <w:sz w:val="20"/>
                <w:szCs w:val="20"/>
                <w:color w:val="auto"/>
              </w:rPr>
            </w:pPr>
            <w:r>
              <w:rPr>
                <w:rFonts w:ascii="Arial" w:cs="Arial" w:eastAsia="Arial" w:hAnsi="Arial"/>
                <w:sz w:val="13"/>
                <w:szCs w:val="13"/>
                <w:color w:val="auto"/>
              </w:rPr>
              <w:t>90 bps</w:t>
            </w: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3440" w:type="dxa"/>
            <w:vAlign w:val="bottom"/>
            <w:tcBorders>
              <w:left w:val="single" w:sz="8" w:color="auto"/>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Coverage of IOLs</w:t>
            </w:r>
          </w:p>
        </w:tc>
        <w:tc>
          <w:tcPr>
            <w:tcW w:w="800" w:type="dxa"/>
            <w:vAlign w:val="bottom"/>
          </w:tcPr>
          <w:p>
            <w:pPr>
              <w:jc w:val="center"/>
              <w:ind w:left="15"/>
              <w:spacing w:after="0" w:line="146" w:lineRule="exact"/>
              <w:rPr>
                <w:sz w:val="20"/>
                <w:szCs w:val="20"/>
                <w:color w:val="auto"/>
              </w:rPr>
            </w:pPr>
            <w:r>
              <w:rPr>
                <w:rFonts w:ascii="Arial" w:cs="Arial" w:eastAsia="Arial" w:hAnsi="Arial"/>
                <w:sz w:val="13"/>
                <w:szCs w:val="13"/>
                <w:color w:val="auto"/>
                <w:w w:val="99"/>
              </w:rPr>
              <w:t>128.6%</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w w:val="99"/>
              </w:rPr>
              <w:t>122.1%</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120.2%</w:t>
            </w:r>
          </w:p>
        </w:tc>
        <w:tc>
          <w:tcPr>
            <w:tcW w:w="200" w:type="dxa"/>
            <w:vAlign w:val="bottom"/>
          </w:tcPr>
          <w:p>
            <w:pPr>
              <w:spacing w:after="0"/>
              <w:rPr>
                <w:sz w:val="12"/>
                <w:szCs w:val="12"/>
                <w:color w:val="auto"/>
              </w:rPr>
            </w:pPr>
          </w:p>
        </w:tc>
        <w:tc>
          <w:tcPr>
            <w:tcW w:w="600" w:type="dxa"/>
            <w:vAlign w:val="bottom"/>
          </w:tcPr>
          <w:p>
            <w:pPr>
              <w:jc w:val="center"/>
              <w:ind w:left="15"/>
              <w:spacing w:after="0" w:line="146" w:lineRule="exact"/>
              <w:rPr>
                <w:sz w:val="20"/>
                <w:szCs w:val="20"/>
                <w:color w:val="auto"/>
              </w:rPr>
            </w:pPr>
            <w:r>
              <w:rPr>
                <w:rFonts w:ascii="Arial" w:cs="Arial" w:eastAsia="Arial" w:hAnsi="Arial"/>
                <w:sz w:val="13"/>
                <w:szCs w:val="13"/>
                <w:color w:val="auto"/>
              </w:rPr>
              <w:t>-190 bps</w:t>
            </w:r>
          </w:p>
        </w:tc>
        <w:tc>
          <w:tcPr>
            <w:tcW w:w="1440" w:type="dxa"/>
            <w:vAlign w:val="bottom"/>
            <w:tcBorders>
              <w:right w:val="single" w:sz="8" w:color="auto"/>
            </w:tcBorders>
          </w:tcPr>
          <w:p>
            <w:pPr>
              <w:jc w:val="center"/>
              <w:ind w:left="195"/>
              <w:spacing w:after="0" w:line="146" w:lineRule="exact"/>
              <w:rPr>
                <w:sz w:val="20"/>
                <w:szCs w:val="20"/>
                <w:color w:val="auto"/>
              </w:rPr>
            </w:pPr>
            <w:r>
              <w:rPr>
                <w:rFonts w:ascii="Arial" w:cs="Arial" w:eastAsia="Arial" w:hAnsi="Arial"/>
                <w:sz w:val="13"/>
                <w:szCs w:val="13"/>
                <w:color w:val="auto"/>
                <w:w w:val="98"/>
              </w:rPr>
              <w:t>-840 bps</w:t>
            </w: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4"/>
        </w:trPr>
        <w:tc>
          <w:tcPr>
            <w:tcW w:w="3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Coverage of NPLs</w:t>
            </w:r>
          </w:p>
        </w:tc>
        <w:tc>
          <w:tcPr>
            <w:tcW w:w="800" w:type="dxa"/>
            <w:vAlign w:val="bottom"/>
          </w:tcPr>
          <w:p>
            <w:pPr>
              <w:jc w:val="center"/>
              <w:ind w:left="15"/>
              <w:spacing w:after="0"/>
              <w:rPr>
                <w:sz w:val="20"/>
                <w:szCs w:val="20"/>
                <w:color w:val="auto"/>
              </w:rPr>
            </w:pPr>
            <w:r>
              <w:rPr>
                <w:rFonts w:ascii="Arial" w:cs="Arial" w:eastAsia="Arial" w:hAnsi="Arial"/>
                <w:sz w:val="13"/>
                <w:szCs w:val="13"/>
                <w:color w:val="auto"/>
                <w:w w:val="99"/>
              </w:rPr>
              <w:t>116.0%</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109.8%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107.3%</w:t>
            </w:r>
          </w:p>
        </w:tc>
        <w:tc>
          <w:tcPr>
            <w:tcW w:w="200" w:type="dxa"/>
            <w:vAlign w:val="bottom"/>
          </w:tcPr>
          <w:p>
            <w:pPr>
              <w:spacing w:after="0"/>
              <w:rPr>
                <w:sz w:val="13"/>
                <w:szCs w:val="13"/>
                <w:color w:val="auto"/>
              </w:rPr>
            </w:pPr>
          </w:p>
        </w:tc>
        <w:tc>
          <w:tcPr>
            <w:tcW w:w="600" w:type="dxa"/>
            <w:vAlign w:val="bottom"/>
          </w:tcPr>
          <w:p>
            <w:pPr>
              <w:jc w:val="center"/>
              <w:ind w:left="15"/>
              <w:spacing w:after="0"/>
              <w:rPr>
                <w:sz w:val="20"/>
                <w:szCs w:val="20"/>
                <w:color w:val="auto"/>
              </w:rPr>
            </w:pPr>
            <w:r>
              <w:rPr>
                <w:rFonts w:ascii="Arial" w:cs="Arial" w:eastAsia="Arial" w:hAnsi="Arial"/>
                <w:sz w:val="13"/>
                <w:szCs w:val="13"/>
                <w:color w:val="auto"/>
              </w:rPr>
              <w:t>-260 bps</w:t>
            </w:r>
          </w:p>
        </w:tc>
        <w:tc>
          <w:tcPr>
            <w:tcW w:w="1440" w:type="dxa"/>
            <w:vAlign w:val="bottom"/>
            <w:tcBorders>
              <w:right w:val="single" w:sz="8" w:color="auto"/>
            </w:tcBorders>
          </w:tcPr>
          <w:p>
            <w:pPr>
              <w:jc w:val="center"/>
              <w:ind w:left="195"/>
              <w:spacing w:after="0"/>
              <w:rPr>
                <w:sz w:val="20"/>
                <w:szCs w:val="20"/>
                <w:color w:val="auto"/>
              </w:rPr>
            </w:pPr>
            <w:r>
              <w:rPr>
                <w:rFonts w:ascii="Arial" w:cs="Arial" w:eastAsia="Arial" w:hAnsi="Arial"/>
                <w:sz w:val="13"/>
                <w:szCs w:val="13"/>
                <w:color w:val="auto"/>
                <w:w w:val="98"/>
              </w:rPr>
              <w:t>-880 bps</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1"/>
        </w:trPr>
        <w:tc>
          <w:tcPr>
            <w:tcW w:w="3440" w:type="dxa"/>
            <w:vAlign w:val="bottom"/>
            <w:tcBorders>
              <w:left w:val="single" w:sz="8" w:color="auto"/>
              <w:right w:val="single" w:sz="8" w:color="auto"/>
            </w:tcBorders>
          </w:tcPr>
          <w:p>
            <w:pPr>
              <w:ind w:left="100"/>
              <w:spacing w:after="0" w:line="131" w:lineRule="exact"/>
              <w:rPr>
                <w:sz w:val="20"/>
                <w:szCs w:val="20"/>
                <w:color w:val="auto"/>
              </w:rPr>
            </w:pPr>
            <w:r>
              <w:rPr>
                <w:rFonts w:ascii="Arial" w:cs="Arial" w:eastAsia="Arial" w:hAnsi="Arial"/>
                <w:sz w:val="10"/>
                <w:szCs w:val="10"/>
                <w:color w:val="auto"/>
              </w:rPr>
              <w:t xml:space="preserve">Branches </w:t>
            </w:r>
            <w:r>
              <w:rPr>
                <w:rFonts w:ascii="Arial" w:cs="Arial" w:eastAsia="Arial" w:hAnsi="Arial"/>
                <w:sz w:val="15"/>
                <w:szCs w:val="15"/>
                <w:color w:val="auto"/>
                <w:vertAlign w:val="superscript"/>
              </w:rPr>
              <w:t>(1)</w:t>
            </w:r>
          </w:p>
        </w:tc>
        <w:tc>
          <w:tcPr>
            <w:tcW w:w="800" w:type="dxa"/>
            <w:vAlign w:val="bottom"/>
          </w:tcPr>
          <w:p>
            <w:pPr>
              <w:jc w:val="center"/>
              <w:spacing w:after="0" w:line="131" w:lineRule="exact"/>
              <w:rPr>
                <w:sz w:val="20"/>
                <w:szCs w:val="20"/>
                <w:color w:val="auto"/>
              </w:rPr>
            </w:pPr>
            <w:r>
              <w:rPr>
                <w:rFonts w:ascii="Arial" w:cs="Arial" w:eastAsia="Arial" w:hAnsi="Arial"/>
                <w:sz w:val="13"/>
                <w:szCs w:val="13"/>
                <w:color w:val="auto"/>
              </w:rPr>
              <w:t>287</w:t>
            </w:r>
          </w:p>
        </w:tc>
        <w:tc>
          <w:tcPr>
            <w:tcW w:w="980" w:type="dxa"/>
            <w:vAlign w:val="bottom"/>
          </w:tcPr>
          <w:p>
            <w:pPr>
              <w:jc w:val="center"/>
              <w:spacing w:after="0" w:line="131" w:lineRule="exact"/>
              <w:rPr>
                <w:sz w:val="20"/>
                <w:szCs w:val="20"/>
                <w:color w:val="auto"/>
              </w:rPr>
            </w:pPr>
            <w:r>
              <w:rPr>
                <w:rFonts w:ascii="Arial" w:cs="Arial" w:eastAsia="Arial" w:hAnsi="Arial"/>
                <w:sz w:val="13"/>
                <w:szCs w:val="13"/>
                <w:color w:val="auto"/>
                <w:w w:val="92"/>
              </w:rPr>
              <w:t>292</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292</w:t>
            </w:r>
          </w:p>
        </w:tc>
        <w:tc>
          <w:tcPr>
            <w:tcW w:w="200" w:type="dxa"/>
            <w:vAlign w:val="bottom"/>
          </w:tcPr>
          <w:p>
            <w:pPr>
              <w:spacing w:after="0"/>
              <w:rPr>
                <w:sz w:val="11"/>
                <w:szCs w:val="11"/>
                <w:color w:val="auto"/>
              </w:rPr>
            </w:pPr>
          </w:p>
        </w:tc>
        <w:tc>
          <w:tcPr>
            <w:tcW w:w="600" w:type="dxa"/>
            <w:vAlign w:val="bottom"/>
          </w:tcPr>
          <w:p>
            <w:pPr>
              <w:jc w:val="right"/>
              <w:ind w:right="235"/>
              <w:spacing w:after="0" w:line="131" w:lineRule="exact"/>
              <w:rPr>
                <w:sz w:val="20"/>
                <w:szCs w:val="20"/>
                <w:color w:val="auto"/>
              </w:rPr>
            </w:pPr>
            <w:r>
              <w:rPr>
                <w:rFonts w:ascii="Arial" w:cs="Arial" w:eastAsia="Arial" w:hAnsi="Arial"/>
                <w:sz w:val="13"/>
                <w:szCs w:val="13"/>
                <w:color w:val="auto"/>
              </w:rPr>
              <w:t>-</w:t>
            </w:r>
          </w:p>
        </w:tc>
        <w:tc>
          <w:tcPr>
            <w:tcW w:w="1440" w:type="dxa"/>
            <w:vAlign w:val="bottom"/>
            <w:tcBorders>
              <w:right w:val="single" w:sz="8" w:color="auto"/>
            </w:tcBorders>
          </w:tcPr>
          <w:p>
            <w:pPr>
              <w:jc w:val="right"/>
              <w:ind w:right="475"/>
              <w:spacing w:after="0" w:line="131" w:lineRule="exact"/>
              <w:rPr>
                <w:sz w:val="20"/>
                <w:szCs w:val="20"/>
                <w:color w:val="auto"/>
              </w:rPr>
            </w:pPr>
            <w:r>
              <w:rPr>
                <w:rFonts w:ascii="Arial" w:cs="Arial" w:eastAsia="Arial" w:hAnsi="Arial"/>
                <w:sz w:val="13"/>
                <w:szCs w:val="13"/>
                <w:color w:val="auto"/>
              </w:rPr>
              <w:t>5</w:t>
            </w: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4"/>
        </w:trPr>
        <w:tc>
          <w:tcPr>
            <w:tcW w:w="3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Employees</w:t>
            </w:r>
          </w:p>
        </w:tc>
        <w:tc>
          <w:tcPr>
            <w:tcW w:w="800" w:type="dxa"/>
            <w:vAlign w:val="bottom"/>
            <w:tcBorders>
              <w:bottom w:val="single" w:sz="8" w:color="auto"/>
            </w:tcBorders>
          </w:tcPr>
          <w:p>
            <w:pPr>
              <w:jc w:val="center"/>
              <w:ind w:left="15"/>
              <w:spacing w:after="0"/>
              <w:rPr>
                <w:sz w:val="20"/>
                <w:szCs w:val="20"/>
                <w:color w:val="auto"/>
              </w:rPr>
            </w:pPr>
            <w:r>
              <w:rPr>
                <w:rFonts w:ascii="Arial" w:cs="Arial" w:eastAsia="Arial" w:hAnsi="Arial"/>
                <w:sz w:val="13"/>
                <w:szCs w:val="13"/>
                <w:color w:val="auto"/>
                <w:w w:val="98"/>
              </w:rPr>
              <w:t>9,725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9,940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9,842</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left="15"/>
              <w:spacing w:after="0"/>
              <w:rPr>
                <w:sz w:val="20"/>
                <w:szCs w:val="20"/>
                <w:color w:val="auto"/>
              </w:rPr>
            </w:pPr>
            <w:r>
              <w:rPr>
                <w:rFonts w:ascii="Arial" w:cs="Arial" w:eastAsia="Arial" w:hAnsi="Arial"/>
                <w:sz w:val="13"/>
                <w:szCs w:val="13"/>
                <w:color w:val="auto"/>
              </w:rPr>
              <w:t>(98)</w:t>
            </w:r>
          </w:p>
        </w:tc>
        <w:tc>
          <w:tcPr>
            <w:tcW w:w="1440" w:type="dxa"/>
            <w:vAlign w:val="bottom"/>
            <w:tcBorders>
              <w:bottom w:val="single" w:sz="8" w:color="auto"/>
              <w:right w:val="single" w:sz="8" w:color="auto"/>
            </w:tcBorders>
          </w:tcPr>
          <w:p>
            <w:pPr>
              <w:jc w:val="right"/>
              <w:ind w:right="415"/>
              <w:spacing w:after="0"/>
              <w:rPr>
                <w:sz w:val="20"/>
                <w:szCs w:val="20"/>
                <w:color w:val="auto"/>
              </w:rPr>
            </w:pPr>
            <w:r>
              <w:rPr>
                <w:rFonts w:ascii="Arial" w:cs="Arial" w:eastAsia="Arial" w:hAnsi="Arial"/>
                <w:sz w:val="13"/>
                <w:szCs w:val="13"/>
                <w:color w:val="auto"/>
              </w:rPr>
              <w:t>117</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1"/>
        </w:trPr>
        <w:tc>
          <w:tcPr>
            <w:tcW w:w="6320" w:type="dxa"/>
            <w:vAlign w:val="bottom"/>
            <w:gridSpan w:val="5"/>
          </w:tcPr>
          <w:p>
            <w:pPr>
              <w:spacing w:after="0"/>
              <w:rPr>
                <w:sz w:val="20"/>
                <w:szCs w:val="20"/>
                <w:color w:val="auto"/>
              </w:rPr>
            </w:pPr>
            <w:r>
              <w:rPr>
                <w:rFonts w:ascii="Arial" w:cs="Arial" w:eastAsia="Arial" w:hAnsi="Arial"/>
                <w:sz w:val="11"/>
                <w:szCs w:val="11"/>
                <w:color w:val="auto"/>
              </w:rPr>
              <w:t>(1) Includes Banco de la Nación branches, which in December 22 were 34 and in September 23 and December 23 were 36.</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70"/>
        </w:trPr>
        <w:tc>
          <w:tcPr>
            <w:tcW w:w="3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Arial" w:cs="Arial" w:eastAsia="Arial" w:hAnsi="Arial"/>
                <w:sz w:val="13"/>
                <w:szCs w:val="13"/>
                <w:color w:val="0000FF"/>
              </w:rPr>
              <w:t>Datos elaborados por BCP para uso Interno</w:t>
            </w: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43"/>
        </w:trPr>
        <w:tc>
          <w:tcPr>
            <w:tcW w:w="3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313" w:right="319" w:bottom="1440" w:gutter="0" w:footer="0" w:header="0"/>
        </w:sectPr>
      </w:pPr>
    </w:p>
    <w:bookmarkStart w:id="76" w:name="page77"/>
    <w:bookmarkEnd w:id="76"/>
    <w:p>
      <w:pPr>
        <w:jc w:val="right"/>
        <w:ind w:right="420"/>
        <w:spacing w:after="0"/>
        <w:tabs>
          <w:tab w:leader="none" w:pos="8300" w:val="left"/>
          <w:tab w:leader="none" w:pos="37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302" w:hanging="302"/>
        <w:spacing w:after="0"/>
        <w:tabs>
          <w:tab w:leader="none" w:pos="302" w:val="left"/>
        </w:tabs>
        <w:numPr>
          <w:ilvl w:val="0"/>
          <w:numId w:val="62"/>
        </w:numPr>
        <w:rPr>
          <w:rFonts w:ascii="Arial" w:cs="Arial" w:eastAsia="Arial" w:hAnsi="Arial"/>
          <w:sz w:val="18"/>
          <w:szCs w:val="18"/>
          <w:b w:val="1"/>
          <w:bCs w:val="1"/>
          <w:color w:val="FFFFFF"/>
        </w:rPr>
      </w:pPr>
      <w:r>
        <w:rPr>
          <w:rFonts w:ascii="Arial" w:cs="Arial" w:eastAsia="Arial" w:hAnsi="Arial"/>
          <w:sz w:val="18"/>
          <w:szCs w:val="18"/>
          <w:b w:val="1"/>
          <w:bCs w:val="1"/>
          <w:color w:val="FFFFFF"/>
        </w:rPr>
        <w:t>Appendix</w:t>
      </w:r>
    </w:p>
    <w:p>
      <w:pPr>
        <w:spacing w:after="0" w:line="90" w:lineRule="exact"/>
        <w:rPr>
          <w:rFonts w:ascii="Arial" w:cs="Arial" w:eastAsia="Arial" w:hAnsi="Arial"/>
          <w:sz w:val="18"/>
          <w:szCs w:val="18"/>
          <w:b w:val="1"/>
          <w:bCs w:val="1"/>
          <w:color w:val="FFFFFF"/>
        </w:rPr>
      </w:pPr>
    </w:p>
    <w:p>
      <w:pPr>
        <w:ind w:left="542" w:hanging="542"/>
        <w:spacing w:after="0"/>
        <w:tabs>
          <w:tab w:leader="none" w:pos="54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Prima AFP</w:t>
      </w:r>
    </w:p>
    <w:p>
      <w:pPr>
        <w:spacing w:after="0" w:line="14" w:lineRule="exact"/>
        <w:rPr>
          <w:sz w:val="20"/>
          <w:szCs w:val="20"/>
          <w:color w:val="auto"/>
        </w:rPr>
      </w:pPr>
    </w:p>
    <w:p>
      <w:pPr>
        <w:jc w:val="center"/>
        <w:ind w:right="58"/>
        <w:spacing w:after="0"/>
        <w:rPr>
          <w:sz w:val="20"/>
          <w:szCs w:val="20"/>
          <w:color w:val="auto"/>
        </w:rPr>
      </w:pPr>
      <w:r>
        <w:rPr>
          <w:rFonts w:ascii="Arial" w:cs="Arial" w:eastAsia="Arial" w:hAnsi="Arial"/>
          <w:sz w:val="16"/>
          <w:szCs w:val="16"/>
          <w:b w:val="1"/>
          <w:bCs w:val="1"/>
          <w:color w:val="auto"/>
        </w:rPr>
        <w:t>Key Indicators of Financial Position</w:t>
      </w:r>
    </w:p>
    <w:p>
      <w:pPr>
        <w:jc w:val="center"/>
        <w:ind w:right="-1"/>
        <w:spacing w:after="0"/>
        <w:rPr>
          <w:sz w:val="20"/>
          <w:szCs w:val="20"/>
          <w:color w:val="auto"/>
        </w:rPr>
      </w:pPr>
      <w:r>
        <w:rPr>
          <w:rFonts w:ascii="Arial" w:cs="Arial" w:eastAsia="Arial" w:hAnsi="Arial"/>
          <w:sz w:val="16"/>
          <w:szCs w:val="16"/>
          <w:b w:val="1"/>
          <w:bCs w:val="1"/>
          <w:color w:val="auto"/>
        </w:rPr>
        <w:t>(S/ Thousands, IFRS)</w:t>
      </w:r>
    </w:p>
    <w:p>
      <w:pPr>
        <w:spacing w:after="0" w:line="102" w:lineRule="exact"/>
        <w:rPr>
          <w:sz w:val="20"/>
          <w:szCs w:val="20"/>
          <w:color w:val="auto"/>
        </w:rPr>
      </w:pPr>
    </w:p>
    <w:tbl>
      <w:tblPr>
        <w:tblLayout w:type="fixed"/>
        <w:tblInd w:w="12" w:type="dxa"/>
        <w:tblCellMar>
          <w:top w:w="0" w:type="dxa"/>
          <w:left w:w="0" w:type="dxa"/>
          <w:bottom w:w="0" w:type="dxa"/>
          <w:right w:w="0" w:type="dxa"/>
        </w:tblCellMar>
      </w:tblPr>
      <w:tr>
        <w:trPr>
          <w:trHeight w:val="119"/>
        </w:trPr>
        <w:tc>
          <w:tcPr>
            <w:tcW w:w="362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960" w:type="dxa"/>
            <w:vAlign w:val="bottom"/>
            <w:tcBorders>
              <w:top w:val="single" w:sz="8" w:color="auto"/>
            </w:tcBorders>
            <w:shd w:val="clear" w:color="auto" w:fill="2AD2C9"/>
          </w:tcPr>
          <w:p>
            <w:pPr>
              <w:spacing w:after="0"/>
              <w:rPr>
                <w:sz w:val="10"/>
                <w:szCs w:val="10"/>
                <w:color w:val="auto"/>
              </w:rPr>
            </w:pPr>
          </w:p>
        </w:tc>
        <w:tc>
          <w:tcPr>
            <w:tcW w:w="900" w:type="dxa"/>
            <w:vAlign w:val="bottom"/>
            <w:tcBorders>
              <w:top w:val="single" w:sz="8" w:color="auto"/>
            </w:tcBorders>
            <w:shd w:val="clear" w:color="auto" w:fill="2AD2C9"/>
          </w:tcPr>
          <w:p>
            <w:pPr>
              <w:jc w:val="right"/>
              <w:ind w:right="343"/>
              <w:spacing w:after="0" w:line="119" w:lineRule="exact"/>
              <w:rPr>
                <w:sz w:val="20"/>
                <w:szCs w:val="20"/>
                <w:color w:val="auto"/>
              </w:rPr>
            </w:pPr>
            <w:r>
              <w:rPr>
                <w:rFonts w:ascii="Arial" w:cs="Arial" w:eastAsia="Arial" w:hAnsi="Arial"/>
                <w:sz w:val="11"/>
                <w:szCs w:val="11"/>
                <w:b w:val="1"/>
                <w:bCs w:val="1"/>
                <w:color w:val="FFFFFF"/>
              </w:rPr>
              <w:t>As of</w:t>
            </w:r>
          </w:p>
        </w:tc>
        <w:tc>
          <w:tcPr>
            <w:tcW w:w="820" w:type="dxa"/>
            <w:vAlign w:val="bottom"/>
            <w:tcBorders>
              <w:top w:val="single" w:sz="8" w:color="auto"/>
              <w:right w:val="single" w:sz="8" w:color="auto"/>
            </w:tcBorders>
            <w:shd w:val="clear" w:color="auto" w:fill="2AD2C9"/>
          </w:tcPr>
          <w:p>
            <w:pPr>
              <w:spacing w:after="0"/>
              <w:rPr>
                <w:sz w:val="10"/>
                <w:szCs w:val="10"/>
                <w:color w:val="auto"/>
              </w:rPr>
            </w:pPr>
          </w:p>
        </w:tc>
        <w:tc>
          <w:tcPr>
            <w:tcW w:w="500" w:type="dxa"/>
            <w:vAlign w:val="bottom"/>
            <w:tcBorders>
              <w:top w:val="single" w:sz="8" w:color="auto"/>
            </w:tcBorders>
            <w:shd w:val="clear" w:color="auto" w:fill="2AD2C9"/>
          </w:tcPr>
          <w:p>
            <w:pPr>
              <w:spacing w:after="0"/>
              <w:rPr>
                <w:sz w:val="10"/>
                <w:szCs w:val="10"/>
                <w:color w:val="auto"/>
              </w:rPr>
            </w:pPr>
          </w:p>
        </w:tc>
        <w:tc>
          <w:tcPr>
            <w:tcW w:w="1080" w:type="dxa"/>
            <w:vAlign w:val="bottom"/>
            <w:tcBorders>
              <w:top w:val="single" w:sz="8" w:color="auto"/>
              <w:right w:val="single" w:sz="8" w:color="auto"/>
            </w:tcBorders>
            <w:shd w:val="clear" w:color="auto" w:fill="2AD2C9"/>
          </w:tcPr>
          <w:p>
            <w:pPr>
              <w:spacing w:after="0" w:line="119" w:lineRule="exact"/>
              <w:rPr>
                <w:sz w:val="20"/>
                <w:szCs w:val="20"/>
                <w:color w:val="auto"/>
              </w:rPr>
            </w:pPr>
            <w:r>
              <w:rPr>
                <w:rFonts w:ascii="Arial" w:cs="Arial" w:eastAsia="Arial" w:hAnsi="Arial"/>
                <w:sz w:val="11"/>
                <w:szCs w:val="11"/>
                <w:b w:val="1"/>
                <w:bCs w:val="1"/>
                <w:color w:val="FFFFFF"/>
              </w:rPr>
              <w:t>% change</w:t>
            </w:r>
          </w:p>
        </w:tc>
      </w:tr>
      <w:tr>
        <w:trPr>
          <w:trHeight w:val="137"/>
        </w:trPr>
        <w:tc>
          <w:tcPr>
            <w:tcW w:w="362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960" w:type="dxa"/>
            <w:vAlign w:val="bottom"/>
            <w:tcBorders>
              <w:bottom w:val="single" w:sz="8" w:color="auto"/>
            </w:tcBorders>
            <w:shd w:val="clear" w:color="auto" w:fill="2AD2C9"/>
          </w:tcPr>
          <w:p>
            <w:pPr>
              <w:jc w:val="right"/>
              <w:ind w:right="283"/>
              <w:spacing w:after="0"/>
              <w:rPr>
                <w:sz w:val="20"/>
                <w:szCs w:val="20"/>
                <w:color w:val="auto"/>
              </w:rPr>
            </w:pPr>
            <w:r>
              <w:rPr>
                <w:rFonts w:ascii="Arial" w:cs="Arial" w:eastAsia="Arial" w:hAnsi="Arial"/>
                <w:sz w:val="11"/>
                <w:szCs w:val="11"/>
                <w:b w:val="1"/>
                <w:bCs w:val="1"/>
                <w:color w:val="FFFFFF"/>
              </w:rPr>
              <w:t>Dec 22</w:t>
            </w:r>
          </w:p>
        </w:tc>
        <w:tc>
          <w:tcPr>
            <w:tcW w:w="900" w:type="dxa"/>
            <w:vAlign w:val="bottom"/>
            <w:tcBorders>
              <w:bottom w:val="single" w:sz="8" w:color="auto"/>
            </w:tcBorders>
            <w:shd w:val="clear" w:color="auto" w:fill="2AD2C9"/>
          </w:tcPr>
          <w:p>
            <w:pPr>
              <w:jc w:val="right"/>
              <w:ind w:right="303"/>
              <w:spacing w:after="0"/>
              <w:rPr>
                <w:sz w:val="20"/>
                <w:szCs w:val="20"/>
                <w:color w:val="auto"/>
              </w:rPr>
            </w:pPr>
            <w:r>
              <w:rPr>
                <w:rFonts w:ascii="Arial" w:cs="Arial" w:eastAsia="Arial" w:hAnsi="Arial"/>
                <w:sz w:val="11"/>
                <w:szCs w:val="11"/>
                <w:b w:val="1"/>
                <w:bCs w:val="1"/>
                <w:color w:val="FFFFFF"/>
              </w:rPr>
              <w:t>Sep 23</w:t>
            </w:r>
          </w:p>
        </w:tc>
        <w:tc>
          <w:tcPr>
            <w:tcW w:w="820" w:type="dxa"/>
            <w:vAlign w:val="bottom"/>
            <w:tcBorders>
              <w:bottom w:val="single" w:sz="8" w:color="auto"/>
              <w:right w:val="single" w:sz="8" w:color="auto"/>
            </w:tcBorders>
            <w:shd w:val="clear" w:color="auto" w:fill="2AD2C9"/>
          </w:tcPr>
          <w:p>
            <w:pPr>
              <w:jc w:val="right"/>
              <w:ind w:right="223"/>
              <w:spacing w:after="0"/>
              <w:rPr>
                <w:sz w:val="20"/>
                <w:szCs w:val="20"/>
                <w:color w:val="auto"/>
              </w:rPr>
            </w:pPr>
            <w:r>
              <w:rPr>
                <w:rFonts w:ascii="Arial" w:cs="Arial" w:eastAsia="Arial" w:hAnsi="Arial"/>
                <w:sz w:val="11"/>
                <w:szCs w:val="11"/>
                <w:b w:val="1"/>
                <w:bCs w:val="1"/>
                <w:color w:val="FFFFFF"/>
              </w:rPr>
              <w:t>Dec 23</w:t>
            </w:r>
          </w:p>
        </w:tc>
        <w:tc>
          <w:tcPr>
            <w:tcW w:w="50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1"/>
                <w:szCs w:val="11"/>
                <w:b w:val="1"/>
                <w:bCs w:val="1"/>
                <w:color w:val="FFFFFF"/>
                <w:w w:val="92"/>
              </w:rPr>
              <w:t>QoQ</w:t>
            </w:r>
          </w:p>
        </w:tc>
        <w:tc>
          <w:tcPr>
            <w:tcW w:w="1080" w:type="dxa"/>
            <w:vAlign w:val="bottom"/>
            <w:tcBorders>
              <w:bottom w:val="single" w:sz="8" w:color="auto"/>
              <w:right w:val="single" w:sz="8" w:color="auto"/>
            </w:tcBorders>
            <w:shd w:val="clear" w:color="auto" w:fill="2AD2C9"/>
          </w:tcPr>
          <w:p>
            <w:pPr>
              <w:jc w:val="center"/>
              <w:ind w:left="203"/>
              <w:spacing w:after="0"/>
              <w:rPr>
                <w:sz w:val="20"/>
                <w:szCs w:val="20"/>
                <w:color w:val="auto"/>
              </w:rPr>
            </w:pPr>
            <w:r>
              <w:rPr>
                <w:rFonts w:ascii="Arial" w:cs="Arial" w:eastAsia="Arial" w:hAnsi="Arial"/>
                <w:sz w:val="11"/>
                <w:szCs w:val="11"/>
                <w:b w:val="1"/>
                <w:bCs w:val="1"/>
                <w:color w:val="FFFFFF"/>
              </w:rPr>
              <w:t>YoY</w:t>
            </w:r>
          </w:p>
        </w:tc>
      </w:tr>
      <w:tr>
        <w:trPr>
          <w:trHeight w:val="99"/>
        </w:trPr>
        <w:tc>
          <w:tcPr>
            <w:tcW w:w="362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color w:val="auto"/>
              </w:rPr>
              <w:t>Total assets</w:t>
            </w:r>
          </w:p>
        </w:tc>
        <w:tc>
          <w:tcPr>
            <w:tcW w:w="960" w:type="dxa"/>
            <w:vAlign w:val="bottom"/>
          </w:tcPr>
          <w:p>
            <w:pPr>
              <w:jc w:val="right"/>
              <w:ind w:right="123"/>
              <w:spacing w:after="0" w:line="99" w:lineRule="exact"/>
              <w:rPr>
                <w:sz w:val="20"/>
                <w:szCs w:val="20"/>
                <w:color w:val="auto"/>
              </w:rPr>
            </w:pPr>
            <w:r>
              <w:rPr>
                <w:rFonts w:ascii="Arial" w:cs="Arial" w:eastAsia="Arial" w:hAnsi="Arial"/>
                <w:sz w:val="11"/>
                <w:szCs w:val="11"/>
                <w:color w:val="auto"/>
              </w:rPr>
              <w:t>734,967</w:t>
            </w:r>
          </w:p>
        </w:tc>
        <w:tc>
          <w:tcPr>
            <w:tcW w:w="900" w:type="dxa"/>
            <w:vAlign w:val="bottom"/>
          </w:tcPr>
          <w:p>
            <w:pPr>
              <w:jc w:val="right"/>
              <w:ind w:right="123"/>
              <w:spacing w:after="0" w:line="99" w:lineRule="exact"/>
              <w:rPr>
                <w:sz w:val="20"/>
                <w:szCs w:val="20"/>
                <w:color w:val="auto"/>
              </w:rPr>
            </w:pPr>
            <w:r>
              <w:rPr>
                <w:rFonts w:ascii="Arial" w:cs="Arial" w:eastAsia="Arial" w:hAnsi="Arial"/>
                <w:sz w:val="11"/>
                <w:szCs w:val="11"/>
                <w:color w:val="auto"/>
              </w:rPr>
              <w:t>684,835</w:t>
            </w:r>
          </w:p>
        </w:tc>
        <w:tc>
          <w:tcPr>
            <w:tcW w:w="820" w:type="dxa"/>
            <w:vAlign w:val="bottom"/>
            <w:tcBorders>
              <w:right w:val="single" w:sz="8" w:color="auto"/>
            </w:tcBorders>
          </w:tcPr>
          <w:p>
            <w:pPr>
              <w:jc w:val="right"/>
              <w:ind w:right="63"/>
              <w:spacing w:after="0" w:line="99" w:lineRule="exact"/>
              <w:rPr>
                <w:sz w:val="20"/>
                <w:szCs w:val="20"/>
                <w:color w:val="auto"/>
              </w:rPr>
            </w:pPr>
            <w:r>
              <w:rPr>
                <w:rFonts w:ascii="Arial" w:cs="Arial" w:eastAsia="Arial" w:hAnsi="Arial"/>
                <w:sz w:val="11"/>
                <w:szCs w:val="11"/>
                <w:color w:val="auto"/>
              </w:rPr>
              <w:t>740,729</w:t>
            </w:r>
          </w:p>
        </w:tc>
        <w:tc>
          <w:tcPr>
            <w:tcW w:w="500" w:type="dxa"/>
            <w:vAlign w:val="bottom"/>
          </w:tcPr>
          <w:p>
            <w:pPr>
              <w:ind w:left="240"/>
              <w:spacing w:after="0" w:line="99" w:lineRule="exact"/>
              <w:rPr>
                <w:sz w:val="20"/>
                <w:szCs w:val="20"/>
                <w:color w:val="auto"/>
              </w:rPr>
            </w:pPr>
            <w:r>
              <w:rPr>
                <w:rFonts w:ascii="Arial" w:cs="Arial" w:eastAsia="Arial" w:hAnsi="Arial"/>
                <w:sz w:val="11"/>
                <w:szCs w:val="11"/>
                <w:color w:val="auto"/>
                <w:w w:val="95"/>
              </w:rPr>
              <w:t>8.2%</w:t>
            </w:r>
          </w:p>
        </w:tc>
        <w:tc>
          <w:tcPr>
            <w:tcW w:w="1080" w:type="dxa"/>
            <w:vAlign w:val="bottom"/>
            <w:tcBorders>
              <w:right w:val="single" w:sz="8" w:color="auto"/>
            </w:tcBorders>
          </w:tcPr>
          <w:p>
            <w:pPr>
              <w:jc w:val="center"/>
              <w:ind w:left="203"/>
              <w:spacing w:after="0" w:line="99" w:lineRule="exact"/>
              <w:rPr>
                <w:sz w:val="20"/>
                <w:szCs w:val="20"/>
                <w:color w:val="auto"/>
              </w:rPr>
            </w:pPr>
            <w:r>
              <w:rPr>
                <w:rFonts w:ascii="Arial" w:cs="Arial" w:eastAsia="Arial" w:hAnsi="Arial"/>
                <w:sz w:val="11"/>
                <w:szCs w:val="11"/>
                <w:color w:val="auto"/>
              </w:rPr>
              <w:t>0.8%</w:t>
            </w:r>
          </w:p>
        </w:tc>
      </w:tr>
      <w:tr>
        <w:trPr>
          <w:trHeight w:val="122"/>
        </w:trPr>
        <w:tc>
          <w:tcPr>
            <w:tcW w:w="362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Total liabilities</w:t>
            </w:r>
          </w:p>
        </w:tc>
        <w:tc>
          <w:tcPr>
            <w:tcW w:w="9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238,178</w:t>
            </w:r>
          </w:p>
        </w:tc>
        <w:tc>
          <w:tcPr>
            <w:tcW w:w="90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225,257</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240,657</w:t>
            </w:r>
          </w:p>
        </w:tc>
        <w:tc>
          <w:tcPr>
            <w:tcW w:w="500" w:type="dxa"/>
            <w:vAlign w:val="bottom"/>
          </w:tcPr>
          <w:p>
            <w:pPr>
              <w:ind w:left="240"/>
              <w:spacing w:after="0" w:line="122" w:lineRule="exact"/>
              <w:rPr>
                <w:sz w:val="20"/>
                <w:szCs w:val="20"/>
                <w:color w:val="auto"/>
              </w:rPr>
            </w:pPr>
            <w:r>
              <w:rPr>
                <w:rFonts w:ascii="Arial" w:cs="Arial" w:eastAsia="Arial" w:hAnsi="Arial"/>
                <w:sz w:val="11"/>
                <w:szCs w:val="11"/>
                <w:color w:val="auto"/>
                <w:w w:val="95"/>
              </w:rPr>
              <w:t>6.8%</w:t>
            </w:r>
          </w:p>
        </w:tc>
        <w:tc>
          <w:tcPr>
            <w:tcW w:w="108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1.0%</w:t>
            </w:r>
          </w:p>
        </w:tc>
      </w:tr>
      <w:tr>
        <w:trPr>
          <w:trHeight w:val="137"/>
        </w:trPr>
        <w:tc>
          <w:tcPr>
            <w:tcW w:w="3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Net shareholders’ equity (1)</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496,789</w:t>
            </w: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459,578</w:t>
            </w:r>
          </w:p>
        </w:tc>
        <w:tc>
          <w:tcPr>
            <w:tcW w:w="82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color w:val="auto"/>
              </w:rPr>
              <w:t>500,072</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w w:val="95"/>
              </w:rPr>
              <w:t>8.8%</w:t>
            </w:r>
          </w:p>
        </w:tc>
        <w:tc>
          <w:tcPr>
            <w:tcW w:w="108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color w:val="auto"/>
              </w:rPr>
              <w:t>0.7%</w:t>
            </w:r>
          </w:p>
        </w:tc>
      </w:tr>
    </w:tbl>
    <w:p>
      <w:pPr>
        <w:spacing w:after="0" w:line="105" w:lineRule="exact"/>
        <w:rPr>
          <w:sz w:val="20"/>
          <w:szCs w:val="20"/>
          <w:color w:val="auto"/>
        </w:rPr>
      </w:pPr>
    </w:p>
    <w:p>
      <w:pPr>
        <w:ind w:left="4822"/>
        <w:spacing w:after="0"/>
        <w:rPr>
          <w:sz w:val="20"/>
          <w:szCs w:val="20"/>
          <w:color w:val="auto"/>
        </w:rPr>
      </w:pPr>
      <w:r>
        <w:rPr>
          <w:rFonts w:ascii="Arial" w:cs="Arial" w:eastAsia="Arial" w:hAnsi="Arial"/>
          <w:sz w:val="16"/>
          <w:szCs w:val="16"/>
          <w:b w:val="1"/>
          <w:bCs w:val="1"/>
          <w:color w:val="auto"/>
        </w:rPr>
        <w:t>Statement of Income</w:t>
      </w:r>
    </w:p>
    <w:p>
      <w:pPr>
        <w:spacing w:after="0" w:line="15" w:lineRule="exact"/>
        <w:rPr>
          <w:sz w:val="20"/>
          <w:szCs w:val="20"/>
          <w:color w:val="auto"/>
        </w:rPr>
      </w:pPr>
    </w:p>
    <w:p>
      <w:pPr>
        <w:ind w:left="4802"/>
        <w:spacing w:after="0"/>
        <w:rPr>
          <w:sz w:val="20"/>
          <w:szCs w:val="20"/>
          <w:color w:val="auto"/>
        </w:rPr>
      </w:pPr>
      <w:r>
        <w:rPr>
          <w:rFonts w:ascii="Arial" w:cs="Arial" w:eastAsia="Arial" w:hAnsi="Arial"/>
          <w:sz w:val="16"/>
          <w:szCs w:val="16"/>
          <w:b w:val="1"/>
          <w:bCs w:val="1"/>
          <w:color w:val="auto"/>
        </w:rPr>
        <w:t>(S/ Thousands, IFRS)</w:t>
      </w:r>
    </w:p>
    <w:tbl>
      <w:tblPr>
        <w:tblLayout w:type="fixed"/>
        <w:tblInd w:w="12" w:type="dxa"/>
        <w:tblCellMar>
          <w:top w:w="0" w:type="dxa"/>
          <w:left w:w="0" w:type="dxa"/>
          <w:bottom w:w="0" w:type="dxa"/>
          <w:right w:w="0" w:type="dxa"/>
        </w:tblCellMar>
      </w:tblPr>
      <w:tr>
        <w:trPr>
          <w:trHeight w:val="99"/>
        </w:trPr>
        <w:tc>
          <w:tcPr>
            <w:tcW w:w="406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960" w:type="dxa"/>
            <w:vAlign w:val="bottom"/>
            <w:tcBorders>
              <w:top w:val="single" w:sz="8" w:color="auto"/>
            </w:tcBorders>
            <w:shd w:val="clear" w:color="auto" w:fill="2AD2C9"/>
          </w:tcPr>
          <w:p>
            <w:pPr>
              <w:spacing w:after="0"/>
              <w:rPr>
                <w:sz w:val="8"/>
                <w:szCs w:val="8"/>
                <w:color w:val="auto"/>
              </w:rPr>
            </w:pPr>
          </w:p>
        </w:tc>
        <w:tc>
          <w:tcPr>
            <w:tcW w:w="940" w:type="dxa"/>
            <w:vAlign w:val="bottom"/>
            <w:tcBorders>
              <w:top w:val="single" w:sz="8" w:color="auto"/>
            </w:tcBorders>
            <w:shd w:val="clear" w:color="auto" w:fill="2AD2C9"/>
          </w:tcPr>
          <w:p>
            <w:pPr>
              <w:jc w:val="right"/>
              <w:ind w:right="283"/>
              <w:spacing w:after="0" w:line="99" w:lineRule="exact"/>
              <w:rPr>
                <w:sz w:val="20"/>
                <w:szCs w:val="20"/>
                <w:color w:val="auto"/>
              </w:rPr>
            </w:pPr>
            <w:r>
              <w:rPr>
                <w:rFonts w:ascii="Arial" w:cs="Arial" w:eastAsia="Arial" w:hAnsi="Arial"/>
                <w:sz w:val="11"/>
                <w:szCs w:val="11"/>
                <w:b w:val="1"/>
                <w:bCs w:val="1"/>
                <w:color w:val="FFFFFF"/>
              </w:rPr>
              <w:t>Quarter</w:t>
            </w:r>
          </w:p>
        </w:tc>
        <w:tc>
          <w:tcPr>
            <w:tcW w:w="820" w:type="dxa"/>
            <w:vAlign w:val="bottom"/>
            <w:tcBorders>
              <w:top w:val="single" w:sz="8" w:color="auto"/>
              <w:right w:val="single" w:sz="8" w:color="auto"/>
            </w:tcBorders>
            <w:shd w:val="clear" w:color="auto" w:fill="2AD2C9"/>
          </w:tcPr>
          <w:p>
            <w:pPr>
              <w:spacing w:after="0"/>
              <w:rPr>
                <w:sz w:val="8"/>
                <w:szCs w:val="8"/>
                <w:color w:val="auto"/>
              </w:rPr>
            </w:pPr>
          </w:p>
        </w:tc>
        <w:tc>
          <w:tcPr>
            <w:tcW w:w="1800" w:type="dxa"/>
            <w:vAlign w:val="bottom"/>
            <w:tcBorders>
              <w:top w:val="single" w:sz="8" w:color="auto"/>
              <w:right w:val="single" w:sz="8" w:color="auto"/>
            </w:tcBorders>
            <w:gridSpan w:val="2"/>
            <w:shd w:val="clear" w:color="auto" w:fill="2AD2C9"/>
          </w:tcPr>
          <w:p>
            <w:pPr>
              <w:ind w:left="620"/>
              <w:spacing w:after="0" w:line="99" w:lineRule="exact"/>
              <w:rPr>
                <w:sz w:val="20"/>
                <w:szCs w:val="20"/>
                <w:color w:val="auto"/>
              </w:rPr>
            </w:pPr>
            <w:r>
              <w:rPr>
                <w:rFonts w:ascii="Arial" w:cs="Arial" w:eastAsia="Arial" w:hAnsi="Arial"/>
                <w:sz w:val="11"/>
                <w:szCs w:val="11"/>
                <w:b w:val="1"/>
                <w:bCs w:val="1"/>
                <w:color w:val="FFFFFF"/>
              </w:rPr>
              <w:t>% change</w:t>
            </w:r>
          </w:p>
        </w:tc>
        <w:tc>
          <w:tcPr>
            <w:tcW w:w="1080" w:type="dxa"/>
            <w:vAlign w:val="bottom"/>
            <w:tcBorders>
              <w:top w:val="single" w:sz="8" w:color="auto"/>
            </w:tcBorders>
            <w:shd w:val="clear" w:color="auto" w:fill="2AD2C9"/>
          </w:tcPr>
          <w:p>
            <w:pPr>
              <w:jc w:val="right"/>
              <w:ind w:right="3"/>
              <w:spacing w:after="0" w:line="99" w:lineRule="exact"/>
              <w:rPr>
                <w:sz w:val="20"/>
                <w:szCs w:val="20"/>
                <w:color w:val="auto"/>
              </w:rPr>
            </w:pPr>
            <w:r>
              <w:rPr>
                <w:rFonts w:ascii="Arial" w:cs="Arial" w:eastAsia="Arial" w:hAnsi="Arial"/>
                <w:sz w:val="11"/>
                <w:szCs w:val="11"/>
                <w:b w:val="1"/>
                <w:bCs w:val="1"/>
                <w:color w:val="FFFFFF"/>
              </w:rPr>
              <w:t>As of</w:t>
            </w:r>
          </w:p>
        </w:tc>
        <w:tc>
          <w:tcPr>
            <w:tcW w:w="700" w:type="dxa"/>
            <w:vAlign w:val="bottom"/>
            <w:tcBorders>
              <w:top w:val="single" w:sz="8" w:color="auto"/>
              <w:right w:val="single" w:sz="8" w:color="auto"/>
            </w:tcBorders>
            <w:shd w:val="clear" w:color="auto" w:fill="2AD2C9"/>
          </w:tcPr>
          <w:p>
            <w:pPr>
              <w:spacing w:after="0"/>
              <w:rPr>
                <w:sz w:val="8"/>
                <w:szCs w:val="8"/>
                <w:color w:val="auto"/>
              </w:rPr>
            </w:pPr>
          </w:p>
        </w:tc>
        <w:tc>
          <w:tcPr>
            <w:tcW w:w="900" w:type="dxa"/>
            <w:vAlign w:val="bottom"/>
            <w:tcBorders>
              <w:top w:val="single" w:sz="8" w:color="auto"/>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 change</w:t>
            </w:r>
          </w:p>
        </w:tc>
      </w:tr>
      <w:tr>
        <w:trPr>
          <w:trHeight w:val="131"/>
        </w:trPr>
        <w:tc>
          <w:tcPr>
            <w:tcW w:w="4060" w:type="dxa"/>
            <w:vAlign w:val="bottom"/>
            <w:tcBorders>
              <w:left w:val="single" w:sz="8" w:color="auto"/>
              <w:bottom w:val="single" w:sz="8" w:color="auto"/>
              <w:right w:val="single" w:sz="8" w:color="auto"/>
            </w:tcBorders>
            <w:shd w:val="clear" w:color="auto" w:fill="2AD2C9"/>
          </w:tcPr>
          <w:p>
            <w:pPr>
              <w:ind w:left="100"/>
              <w:spacing w:after="0" w:line="125" w:lineRule="exact"/>
              <w:rPr>
                <w:sz w:val="20"/>
                <w:szCs w:val="20"/>
                <w:color w:val="auto"/>
              </w:rPr>
            </w:pPr>
            <w:r>
              <w:rPr>
                <w:rFonts w:ascii="Arial" w:cs="Arial" w:eastAsia="Arial" w:hAnsi="Arial"/>
                <w:sz w:val="11"/>
                <w:szCs w:val="11"/>
                <w:color w:val="2AD2C9"/>
              </w:rPr>
              <w:t>Back to index</w:t>
            </w:r>
          </w:p>
        </w:tc>
        <w:tc>
          <w:tcPr>
            <w:tcW w:w="960" w:type="dxa"/>
            <w:vAlign w:val="bottom"/>
            <w:tcBorders>
              <w:bottom w:val="single" w:sz="8" w:color="auto"/>
            </w:tcBorders>
            <w:shd w:val="clear" w:color="auto" w:fill="2AD2C9"/>
          </w:tcPr>
          <w:p>
            <w:pPr>
              <w:jc w:val="right"/>
              <w:ind w:right="323"/>
              <w:spacing w:after="0" w:line="125" w:lineRule="exact"/>
              <w:rPr>
                <w:sz w:val="20"/>
                <w:szCs w:val="20"/>
                <w:color w:val="auto"/>
              </w:rPr>
            </w:pPr>
            <w:r>
              <w:rPr>
                <w:rFonts w:ascii="Arial" w:cs="Arial" w:eastAsia="Arial" w:hAnsi="Arial"/>
                <w:sz w:val="11"/>
                <w:szCs w:val="11"/>
                <w:b w:val="1"/>
                <w:bCs w:val="1"/>
                <w:color w:val="FFFFFF"/>
              </w:rPr>
              <w:t>4Q22</w:t>
            </w:r>
          </w:p>
        </w:tc>
        <w:tc>
          <w:tcPr>
            <w:tcW w:w="940" w:type="dxa"/>
            <w:vAlign w:val="bottom"/>
            <w:tcBorders>
              <w:bottom w:val="single" w:sz="8" w:color="auto"/>
            </w:tcBorders>
            <w:shd w:val="clear" w:color="auto" w:fill="2AD2C9"/>
          </w:tcPr>
          <w:p>
            <w:pPr>
              <w:jc w:val="right"/>
              <w:ind w:right="363"/>
              <w:spacing w:after="0" w:line="125" w:lineRule="exact"/>
              <w:rPr>
                <w:sz w:val="20"/>
                <w:szCs w:val="20"/>
                <w:color w:val="auto"/>
              </w:rPr>
            </w:pPr>
            <w:r>
              <w:rPr>
                <w:rFonts w:ascii="Arial" w:cs="Arial" w:eastAsia="Arial" w:hAnsi="Arial"/>
                <w:sz w:val="11"/>
                <w:szCs w:val="11"/>
                <w:b w:val="1"/>
                <w:bCs w:val="1"/>
                <w:color w:val="FFFFFF"/>
              </w:rPr>
              <w:t>3Q23</w:t>
            </w:r>
          </w:p>
        </w:tc>
        <w:tc>
          <w:tcPr>
            <w:tcW w:w="820" w:type="dxa"/>
            <w:vAlign w:val="bottom"/>
            <w:tcBorders>
              <w:bottom w:val="single" w:sz="8" w:color="auto"/>
              <w:right w:val="single" w:sz="8" w:color="auto"/>
            </w:tcBorders>
            <w:shd w:val="clear" w:color="auto" w:fill="2AD2C9"/>
          </w:tcPr>
          <w:p>
            <w:pPr>
              <w:jc w:val="right"/>
              <w:ind w:right="283"/>
              <w:spacing w:after="0" w:line="125" w:lineRule="exact"/>
              <w:rPr>
                <w:sz w:val="20"/>
                <w:szCs w:val="20"/>
                <w:color w:val="auto"/>
              </w:rPr>
            </w:pPr>
            <w:r>
              <w:rPr>
                <w:rFonts w:ascii="Arial" w:cs="Arial" w:eastAsia="Arial" w:hAnsi="Arial"/>
                <w:sz w:val="11"/>
                <w:szCs w:val="11"/>
                <w:b w:val="1"/>
                <w:bCs w:val="1"/>
                <w:color w:val="FFFFFF"/>
              </w:rPr>
              <w:t>4Q23</w:t>
            </w:r>
          </w:p>
        </w:tc>
        <w:tc>
          <w:tcPr>
            <w:tcW w:w="880" w:type="dxa"/>
            <w:vAlign w:val="bottom"/>
            <w:tcBorders>
              <w:bottom w:val="single" w:sz="8" w:color="auto"/>
            </w:tcBorders>
            <w:shd w:val="clear" w:color="auto" w:fill="2AD2C9"/>
          </w:tcPr>
          <w:p>
            <w:pPr>
              <w:jc w:val="center"/>
              <w:spacing w:after="0" w:line="125" w:lineRule="exact"/>
              <w:rPr>
                <w:sz w:val="20"/>
                <w:szCs w:val="20"/>
                <w:color w:val="auto"/>
              </w:rPr>
            </w:pPr>
            <w:r>
              <w:rPr>
                <w:rFonts w:ascii="Arial" w:cs="Arial" w:eastAsia="Arial" w:hAnsi="Arial"/>
                <w:sz w:val="11"/>
                <w:szCs w:val="11"/>
                <w:b w:val="1"/>
                <w:bCs w:val="1"/>
                <w:color w:val="FFFFFF"/>
              </w:rPr>
              <w:t>QoQ</w:t>
            </w:r>
          </w:p>
        </w:tc>
        <w:tc>
          <w:tcPr>
            <w:tcW w:w="920" w:type="dxa"/>
            <w:vAlign w:val="bottom"/>
            <w:tcBorders>
              <w:bottom w:val="single" w:sz="8" w:color="auto"/>
              <w:right w:val="single" w:sz="8" w:color="auto"/>
            </w:tcBorders>
            <w:shd w:val="clear" w:color="auto" w:fill="2AD2C9"/>
          </w:tcPr>
          <w:p>
            <w:pPr>
              <w:jc w:val="center"/>
              <w:spacing w:after="0" w:line="125" w:lineRule="exact"/>
              <w:rPr>
                <w:sz w:val="20"/>
                <w:szCs w:val="20"/>
                <w:color w:val="auto"/>
              </w:rPr>
            </w:pPr>
            <w:r>
              <w:rPr>
                <w:rFonts w:ascii="Arial" w:cs="Arial" w:eastAsia="Arial" w:hAnsi="Arial"/>
                <w:sz w:val="11"/>
                <w:szCs w:val="11"/>
                <w:b w:val="1"/>
                <w:bCs w:val="1"/>
                <w:color w:val="FFFFFF"/>
              </w:rPr>
              <w:t>YoY</w:t>
            </w:r>
          </w:p>
        </w:tc>
        <w:tc>
          <w:tcPr>
            <w:tcW w:w="1080" w:type="dxa"/>
            <w:vAlign w:val="bottom"/>
            <w:tcBorders>
              <w:bottom w:val="single" w:sz="8" w:color="auto"/>
            </w:tcBorders>
            <w:shd w:val="clear" w:color="auto" w:fill="2AD2C9"/>
          </w:tcPr>
          <w:p>
            <w:pPr>
              <w:jc w:val="right"/>
              <w:ind w:right="403"/>
              <w:spacing w:after="0" w:line="125" w:lineRule="exact"/>
              <w:rPr>
                <w:sz w:val="20"/>
                <w:szCs w:val="20"/>
                <w:color w:val="auto"/>
              </w:rPr>
            </w:pPr>
            <w:r>
              <w:rPr>
                <w:rFonts w:ascii="Arial" w:cs="Arial" w:eastAsia="Arial" w:hAnsi="Arial"/>
                <w:sz w:val="11"/>
                <w:szCs w:val="11"/>
                <w:b w:val="1"/>
                <w:bCs w:val="1"/>
                <w:color w:val="FFFFFF"/>
              </w:rPr>
              <w:t>Dec 22</w:t>
            </w:r>
          </w:p>
        </w:tc>
        <w:tc>
          <w:tcPr>
            <w:tcW w:w="700" w:type="dxa"/>
            <w:vAlign w:val="bottom"/>
            <w:tcBorders>
              <w:bottom w:val="single" w:sz="8" w:color="auto"/>
              <w:right w:val="single" w:sz="8" w:color="auto"/>
            </w:tcBorders>
            <w:shd w:val="clear" w:color="auto" w:fill="2AD2C9"/>
          </w:tcPr>
          <w:p>
            <w:pPr>
              <w:jc w:val="right"/>
              <w:ind w:right="223"/>
              <w:spacing w:after="0" w:line="125" w:lineRule="exact"/>
              <w:rPr>
                <w:sz w:val="20"/>
                <w:szCs w:val="20"/>
                <w:color w:val="auto"/>
              </w:rPr>
            </w:pPr>
            <w:r>
              <w:rPr>
                <w:rFonts w:ascii="Arial" w:cs="Arial" w:eastAsia="Arial" w:hAnsi="Arial"/>
                <w:sz w:val="11"/>
                <w:szCs w:val="11"/>
                <w:b w:val="1"/>
                <w:bCs w:val="1"/>
                <w:color w:val="FFFFFF"/>
              </w:rPr>
              <w:t>Dec 23</w:t>
            </w:r>
          </w:p>
        </w:tc>
        <w:tc>
          <w:tcPr>
            <w:tcW w:w="900" w:type="dxa"/>
            <w:vAlign w:val="bottom"/>
            <w:tcBorders>
              <w:bottom w:val="single" w:sz="8" w:color="auto"/>
              <w:right w:val="single" w:sz="8" w:color="auto"/>
            </w:tcBorders>
            <w:shd w:val="clear" w:color="auto" w:fill="2AD2C9"/>
          </w:tcPr>
          <w:p>
            <w:pPr>
              <w:jc w:val="center"/>
              <w:spacing w:after="0" w:line="125" w:lineRule="exact"/>
              <w:rPr>
                <w:sz w:val="20"/>
                <w:szCs w:val="20"/>
                <w:color w:val="auto"/>
              </w:rPr>
            </w:pPr>
            <w:r>
              <w:rPr>
                <w:rFonts w:ascii="Arial" w:cs="Arial" w:eastAsia="Arial" w:hAnsi="Arial"/>
                <w:sz w:val="11"/>
                <w:szCs w:val="11"/>
                <w:b w:val="1"/>
                <w:bCs w:val="1"/>
                <w:color w:val="FFFFFF"/>
              </w:rPr>
              <w:t>Dec 23 / Dec 22</w:t>
            </w:r>
          </w:p>
        </w:tc>
      </w:tr>
      <w:tr>
        <w:trPr>
          <w:trHeight w:val="105"/>
        </w:trPr>
        <w:tc>
          <w:tcPr>
            <w:tcW w:w="4060" w:type="dxa"/>
            <w:vAlign w:val="bottom"/>
            <w:tcBorders>
              <w:left w:val="single" w:sz="8" w:color="auto"/>
              <w:right w:val="single" w:sz="8" w:color="auto"/>
            </w:tcBorders>
          </w:tcPr>
          <w:p>
            <w:pPr>
              <w:ind w:left="100"/>
              <w:spacing w:after="0" w:line="105" w:lineRule="exact"/>
              <w:rPr>
                <w:sz w:val="20"/>
                <w:szCs w:val="20"/>
                <w:color w:val="auto"/>
              </w:rPr>
            </w:pPr>
            <w:r>
              <w:rPr>
                <w:rFonts w:ascii="Arial" w:cs="Arial" w:eastAsia="Arial" w:hAnsi="Arial"/>
                <w:sz w:val="11"/>
                <w:szCs w:val="11"/>
                <w:color w:val="auto"/>
              </w:rPr>
              <w:t>Income from commissions</w:t>
            </w:r>
          </w:p>
        </w:tc>
        <w:tc>
          <w:tcPr>
            <w:tcW w:w="960" w:type="dxa"/>
            <w:vAlign w:val="bottom"/>
          </w:tcPr>
          <w:p>
            <w:pPr>
              <w:jc w:val="right"/>
              <w:ind w:right="103"/>
              <w:spacing w:after="0" w:line="105" w:lineRule="exact"/>
              <w:rPr>
                <w:sz w:val="20"/>
                <w:szCs w:val="20"/>
                <w:color w:val="auto"/>
              </w:rPr>
            </w:pPr>
            <w:r>
              <w:rPr>
                <w:rFonts w:ascii="Arial" w:cs="Arial" w:eastAsia="Arial" w:hAnsi="Arial"/>
                <w:sz w:val="11"/>
                <w:szCs w:val="11"/>
                <w:color w:val="auto"/>
              </w:rPr>
              <w:t>87,868</w:t>
            </w:r>
          </w:p>
        </w:tc>
        <w:tc>
          <w:tcPr>
            <w:tcW w:w="940" w:type="dxa"/>
            <w:vAlign w:val="bottom"/>
          </w:tcPr>
          <w:p>
            <w:pPr>
              <w:jc w:val="right"/>
              <w:ind w:right="143"/>
              <w:spacing w:after="0" w:line="105" w:lineRule="exact"/>
              <w:rPr>
                <w:sz w:val="20"/>
                <w:szCs w:val="20"/>
                <w:color w:val="auto"/>
              </w:rPr>
            </w:pPr>
            <w:r>
              <w:rPr>
                <w:rFonts w:ascii="Arial" w:cs="Arial" w:eastAsia="Arial" w:hAnsi="Arial"/>
                <w:sz w:val="11"/>
                <w:szCs w:val="11"/>
                <w:color w:val="auto"/>
              </w:rPr>
              <w:t>85,495</w:t>
            </w:r>
          </w:p>
        </w:tc>
        <w:tc>
          <w:tcPr>
            <w:tcW w:w="820" w:type="dxa"/>
            <w:vAlign w:val="bottom"/>
            <w:tcBorders>
              <w:right w:val="single" w:sz="8" w:color="auto"/>
            </w:tcBorders>
          </w:tcPr>
          <w:p>
            <w:pPr>
              <w:jc w:val="right"/>
              <w:ind w:right="63"/>
              <w:spacing w:after="0" w:line="105" w:lineRule="exact"/>
              <w:rPr>
                <w:sz w:val="20"/>
                <w:szCs w:val="20"/>
                <w:color w:val="auto"/>
              </w:rPr>
            </w:pPr>
            <w:r>
              <w:rPr>
                <w:rFonts w:ascii="Arial" w:cs="Arial" w:eastAsia="Arial" w:hAnsi="Arial"/>
                <w:sz w:val="11"/>
                <w:szCs w:val="11"/>
                <w:color w:val="auto"/>
              </w:rPr>
              <w:t>87,477</w:t>
            </w:r>
          </w:p>
        </w:tc>
        <w:tc>
          <w:tcPr>
            <w:tcW w:w="880" w:type="dxa"/>
            <w:vAlign w:val="bottom"/>
          </w:tcPr>
          <w:p>
            <w:pPr>
              <w:jc w:val="center"/>
              <w:spacing w:after="0" w:line="105" w:lineRule="exact"/>
              <w:rPr>
                <w:sz w:val="20"/>
                <w:szCs w:val="20"/>
                <w:color w:val="auto"/>
              </w:rPr>
            </w:pPr>
            <w:r>
              <w:rPr>
                <w:rFonts w:ascii="Arial" w:cs="Arial" w:eastAsia="Arial" w:hAnsi="Arial"/>
                <w:sz w:val="11"/>
                <w:szCs w:val="11"/>
                <w:color w:val="auto"/>
              </w:rPr>
              <w:t>2.3%</w:t>
            </w: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1"/>
                <w:szCs w:val="11"/>
                <w:color w:val="auto"/>
              </w:rPr>
              <w:t>-0.4%</w:t>
            </w:r>
          </w:p>
        </w:tc>
        <w:tc>
          <w:tcPr>
            <w:tcW w:w="1080" w:type="dxa"/>
            <w:vAlign w:val="bottom"/>
          </w:tcPr>
          <w:p>
            <w:pPr>
              <w:jc w:val="right"/>
              <w:ind w:right="223"/>
              <w:spacing w:after="0" w:line="105" w:lineRule="exact"/>
              <w:rPr>
                <w:sz w:val="20"/>
                <w:szCs w:val="20"/>
                <w:color w:val="auto"/>
              </w:rPr>
            </w:pPr>
            <w:r>
              <w:rPr>
                <w:rFonts w:ascii="Arial" w:cs="Arial" w:eastAsia="Arial" w:hAnsi="Arial"/>
                <w:sz w:val="11"/>
                <w:szCs w:val="11"/>
                <w:color w:val="auto"/>
              </w:rPr>
              <w:t>373,731</w:t>
            </w:r>
          </w:p>
        </w:tc>
        <w:tc>
          <w:tcPr>
            <w:tcW w:w="700" w:type="dxa"/>
            <w:vAlign w:val="bottom"/>
            <w:tcBorders>
              <w:right w:val="single" w:sz="8" w:color="auto"/>
            </w:tcBorders>
          </w:tcPr>
          <w:p>
            <w:pPr>
              <w:jc w:val="right"/>
              <w:ind w:right="43"/>
              <w:spacing w:after="0" w:line="105" w:lineRule="exact"/>
              <w:rPr>
                <w:sz w:val="20"/>
                <w:szCs w:val="20"/>
                <w:color w:val="auto"/>
              </w:rPr>
            </w:pPr>
            <w:r>
              <w:rPr>
                <w:rFonts w:ascii="Arial" w:cs="Arial" w:eastAsia="Arial" w:hAnsi="Arial"/>
                <w:sz w:val="11"/>
                <w:szCs w:val="11"/>
                <w:color w:val="auto"/>
              </w:rPr>
              <w:t>350,963</w:t>
            </w:r>
          </w:p>
        </w:tc>
        <w:tc>
          <w:tcPr>
            <w:tcW w:w="9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97"/>
              </w:rPr>
              <w:t>-6.1%</w:t>
            </w: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Administrative and sale expenses</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(36,063)</w:t>
            </w:r>
          </w:p>
        </w:tc>
        <w:tc>
          <w:tcPr>
            <w:tcW w:w="94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(37,756)</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(41,049)</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8.7%</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13.8%</w:t>
            </w:r>
          </w:p>
        </w:tc>
        <w:tc>
          <w:tcPr>
            <w:tcW w:w="10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(166,210)</w:t>
            </w:r>
          </w:p>
        </w:tc>
        <w:tc>
          <w:tcPr>
            <w:tcW w:w="70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(156,070)</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-6.1%</w:t>
            </w: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Depreciation and amortization</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(5,603)</w:t>
            </w:r>
          </w:p>
        </w:tc>
        <w:tc>
          <w:tcPr>
            <w:tcW w:w="94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(6,429)</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(6,388)</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-0.6%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14.0%</w:t>
            </w:r>
          </w:p>
        </w:tc>
        <w:tc>
          <w:tcPr>
            <w:tcW w:w="10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(24,513)</w:t>
            </w:r>
          </w:p>
        </w:tc>
        <w:tc>
          <w:tcPr>
            <w:tcW w:w="70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(25,273)</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3.1%</w:t>
            </w: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Operating income</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b w:val="1"/>
                <w:bCs w:val="1"/>
                <w:color w:val="auto"/>
              </w:rPr>
              <w:t>46,202</w:t>
            </w:r>
          </w:p>
        </w:tc>
        <w:tc>
          <w:tcPr>
            <w:tcW w:w="940" w:type="dxa"/>
            <w:vAlign w:val="bottom"/>
          </w:tcPr>
          <w:p>
            <w:pPr>
              <w:jc w:val="right"/>
              <w:ind w:right="143"/>
              <w:spacing w:after="0" w:line="122" w:lineRule="exact"/>
              <w:rPr>
                <w:sz w:val="20"/>
                <w:szCs w:val="20"/>
                <w:color w:val="auto"/>
              </w:rPr>
            </w:pPr>
            <w:r>
              <w:rPr>
                <w:rFonts w:ascii="Arial" w:cs="Arial" w:eastAsia="Arial" w:hAnsi="Arial"/>
                <w:sz w:val="11"/>
                <w:szCs w:val="11"/>
                <w:b w:val="1"/>
                <w:bCs w:val="1"/>
                <w:color w:val="auto"/>
              </w:rPr>
              <w:t>41,310</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b w:val="1"/>
                <w:bCs w:val="1"/>
                <w:color w:val="auto"/>
              </w:rPr>
              <w:t>40,040</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-3.1%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-13.3%</w:t>
            </w:r>
          </w:p>
        </w:tc>
        <w:tc>
          <w:tcPr>
            <w:tcW w:w="1080" w:type="dxa"/>
            <w:vAlign w:val="bottom"/>
          </w:tcPr>
          <w:p>
            <w:pPr>
              <w:jc w:val="right"/>
              <w:ind w:right="223"/>
              <w:spacing w:after="0" w:line="122" w:lineRule="exact"/>
              <w:rPr>
                <w:sz w:val="20"/>
                <w:szCs w:val="20"/>
                <w:color w:val="auto"/>
              </w:rPr>
            </w:pPr>
            <w:r>
              <w:rPr>
                <w:rFonts w:ascii="Arial" w:cs="Arial" w:eastAsia="Arial" w:hAnsi="Arial"/>
                <w:sz w:val="11"/>
                <w:szCs w:val="11"/>
                <w:b w:val="1"/>
                <w:bCs w:val="1"/>
                <w:color w:val="auto"/>
              </w:rPr>
              <w:t>183,008</w:t>
            </w:r>
          </w:p>
        </w:tc>
        <w:tc>
          <w:tcPr>
            <w:tcW w:w="70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b w:val="1"/>
                <w:bCs w:val="1"/>
                <w:color w:val="auto"/>
              </w:rPr>
              <w:t>169,620</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7"/>
              </w:rPr>
              <w:t>-7.3%</w:t>
            </w: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Other income and expenses, net (profitability of lace)*</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6,203</w:t>
            </w:r>
          </w:p>
        </w:tc>
        <w:tc>
          <w:tcPr>
            <w:tcW w:w="94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4,315</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13,653</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216.4%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120.1%</w:t>
            </w:r>
          </w:p>
        </w:tc>
        <w:tc>
          <w:tcPr>
            <w:tcW w:w="10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(17,051)</w:t>
            </w:r>
          </w:p>
        </w:tc>
        <w:tc>
          <w:tcPr>
            <w:tcW w:w="70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33,394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-295.8%</w:t>
            </w: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Income tax</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(12,302)</w:t>
            </w:r>
          </w:p>
        </w:tc>
        <w:tc>
          <w:tcPr>
            <w:tcW w:w="94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(13,031)</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(12,848)</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-1.4%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4.4%</w:t>
            </w:r>
          </w:p>
        </w:tc>
        <w:tc>
          <w:tcPr>
            <w:tcW w:w="10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(55,759)</w:t>
            </w:r>
          </w:p>
        </w:tc>
        <w:tc>
          <w:tcPr>
            <w:tcW w:w="70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(52,673)</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-5.5%</w:t>
            </w: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Net income before translation results</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b w:val="1"/>
                <w:bCs w:val="1"/>
                <w:color w:val="auto"/>
              </w:rPr>
              <w:t>40,103</w:t>
            </w:r>
          </w:p>
        </w:tc>
        <w:tc>
          <w:tcPr>
            <w:tcW w:w="940" w:type="dxa"/>
            <w:vAlign w:val="bottom"/>
          </w:tcPr>
          <w:p>
            <w:pPr>
              <w:jc w:val="right"/>
              <w:ind w:right="143"/>
              <w:spacing w:after="0" w:line="122" w:lineRule="exact"/>
              <w:rPr>
                <w:sz w:val="20"/>
                <w:szCs w:val="20"/>
                <w:color w:val="auto"/>
              </w:rPr>
            </w:pPr>
            <w:r>
              <w:rPr>
                <w:rFonts w:ascii="Arial" w:cs="Arial" w:eastAsia="Arial" w:hAnsi="Arial"/>
                <w:sz w:val="11"/>
                <w:szCs w:val="11"/>
                <w:b w:val="1"/>
                <w:bCs w:val="1"/>
                <w:color w:val="auto"/>
              </w:rPr>
              <w:t>32,593</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b w:val="1"/>
                <w:bCs w:val="1"/>
                <w:color w:val="auto"/>
              </w:rPr>
              <w:t>40,845</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25.3%</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1.9%</w:t>
            </w:r>
          </w:p>
        </w:tc>
        <w:tc>
          <w:tcPr>
            <w:tcW w:w="1080" w:type="dxa"/>
            <w:vAlign w:val="bottom"/>
          </w:tcPr>
          <w:p>
            <w:pPr>
              <w:jc w:val="right"/>
              <w:ind w:right="223"/>
              <w:spacing w:after="0" w:line="122" w:lineRule="exact"/>
              <w:rPr>
                <w:sz w:val="20"/>
                <w:szCs w:val="20"/>
                <w:color w:val="auto"/>
              </w:rPr>
            </w:pPr>
            <w:r>
              <w:rPr>
                <w:rFonts w:ascii="Arial" w:cs="Arial" w:eastAsia="Arial" w:hAnsi="Arial"/>
                <w:sz w:val="11"/>
                <w:szCs w:val="11"/>
                <w:b w:val="1"/>
                <w:bCs w:val="1"/>
                <w:color w:val="auto"/>
              </w:rPr>
              <w:t>110,197</w:t>
            </w:r>
          </w:p>
        </w:tc>
        <w:tc>
          <w:tcPr>
            <w:tcW w:w="70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b w:val="1"/>
                <w:bCs w:val="1"/>
                <w:color w:val="auto"/>
              </w:rPr>
              <w:t>150,342</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36.4%</w:t>
            </w:r>
          </w:p>
        </w:tc>
      </w:tr>
      <w:tr>
        <w:trPr>
          <w:trHeight w:val="122"/>
        </w:trPr>
        <w:tc>
          <w:tcPr>
            <w:tcW w:w="40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Translations results</w:t>
            </w:r>
          </w:p>
        </w:tc>
        <w:tc>
          <w:tcPr>
            <w:tcW w:w="96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151</w:t>
            </w:r>
          </w:p>
        </w:tc>
        <w:tc>
          <w:tcPr>
            <w:tcW w:w="94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(596)</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(466)</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-21.8%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-408.1%</w:t>
            </w:r>
          </w:p>
        </w:tc>
        <w:tc>
          <w:tcPr>
            <w:tcW w:w="108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(686)</w:t>
            </w:r>
          </w:p>
        </w:tc>
        <w:tc>
          <w:tcPr>
            <w:tcW w:w="700" w:type="dxa"/>
            <w:vAlign w:val="bottom"/>
            <w:tcBorders>
              <w:right w:val="single" w:sz="8" w:color="auto"/>
            </w:tcBorders>
          </w:tcPr>
          <w:p>
            <w:pPr>
              <w:jc w:val="right"/>
              <w:ind w:right="43"/>
              <w:spacing w:after="0" w:line="122" w:lineRule="exact"/>
              <w:rPr>
                <w:sz w:val="20"/>
                <w:szCs w:val="20"/>
                <w:color w:val="auto"/>
              </w:rPr>
            </w:pPr>
            <w:r>
              <w:rPr>
                <w:rFonts w:ascii="Arial" w:cs="Arial" w:eastAsia="Arial" w:hAnsi="Arial"/>
                <w:sz w:val="11"/>
                <w:szCs w:val="11"/>
                <w:color w:val="auto"/>
              </w:rPr>
              <w:t>(793)</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15.5%</w:t>
            </w:r>
          </w:p>
        </w:tc>
      </w:tr>
      <w:tr>
        <w:trPr>
          <w:trHeight w:val="150"/>
        </w:trPr>
        <w:tc>
          <w:tcPr>
            <w:tcW w:w="40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income</w:t>
            </w: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40,254</w:t>
            </w: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31,998</w:t>
            </w:r>
          </w:p>
        </w:tc>
        <w:tc>
          <w:tcPr>
            <w:tcW w:w="82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40,379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26.2%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0.3%</w:t>
            </w: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109,511</w:t>
            </w:r>
          </w:p>
        </w:tc>
        <w:tc>
          <w:tcPr>
            <w:tcW w:w="70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149,549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36.6%</w:t>
            </w:r>
          </w:p>
        </w:tc>
      </w:tr>
      <w:tr>
        <w:trPr>
          <w:trHeight w:val="114"/>
        </w:trPr>
        <w:tc>
          <w:tcPr>
            <w:tcW w:w="4060" w:type="dxa"/>
            <w:vAlign w:val="bottom"/>
            <w:tcBorders>
              <w:left w:val="single" w:sz="8" w:color="auto"/>
              <w:bottom w:val="single" w:sz="8" w:color="auto"/>
              <w:right w:val="single" w:sz="8" w:color="auto"/>
            </w:tcBorders>
          </w:tcPr>
          <w:p>
            <w:pPr>
              <w:ind w:left="100"/>
              <w:spacing w:after="0" w:line="114" w:lineRule="exact"/>
              <w:rPr>
                <w:sz w:val="20"/>
                <w:szCs w:val="20"/>
                <w:color w:val="auto"/>
              </w:rPr>
            </w:pPr>
            <w:r>
              <w:rPr>
                <w:rFonts w:ascii="Arial" w:cs="Arial" w:eastAsia="Arial" w:hAnsi="Arial"/>
                <w:sz w:val="9"/>
                <w:szCs w:val="9"/>
                <w:b w:val="1"/>
                <w:bCs w:val="1"/>
                <w:color w:val="auto"/>
              </w:rPr>
              <w:t xml:space="preserve">ROAE </w:t>
            </w:r>
            <w:r>
              <w:rPr>
                <w:rFonts w:ascii="Arial" w:cs="Arial" w:eastAsia="Arial" w:hAnsi="Arial"/>
                <w:sz w:val="13"/>
                <w:szCs w:val="13"/>
                <w:b w:val="1"/>
                <w:bCs w:val="1"/>
                <w:color w:val="auto"/>
                <w:vertAlign w:val="superscript"/>
              </w:rPr>
              <w:t>(1)</w:t>
            </w:r>
          </w:p>
        </w:tc>
        <w:tc>
          <w:tcPr>
            <w:tcW w:w="960" w:type="dxa"/>
            <w:vAlign w:val="bottom"/>
            <w:tcBorders>
              <w:bottom w:val="single" w:sz="8" w:color="auto"/>
            </w:tcBorders>
          </w:tcPr>
          <w:p>
            <w:pPr>
              <w:jc w:val="right"/>
              <w:ind w:right="103"/>
              <w:spacing w:after="0" w:line="114" w:lineRule="exact"/>
              <w:rPr>
                <w:sz w:val="20"/>
                <w:szCs w:val="20"/>
                <w:color w:val="auto"/>
              </w:rPr>
            </w:pPr>
            <w:r>
              <w:rPr>
                <w:rFonts w:ascii="Arial" w:cs="Arial" w:eastAsia="Arial" w:hAnsi="Arial"/>
                <w:sz w:val="11"/>
                <w:szCs w:val="11"/>
                <w:b w:val="1"/>
                <w:bCs w:val="1"/>
                <w:color w:val="auto"/>
              </w:rPr>
              <w:t>33.8%</w:t>
            </w:r>
          </w:p>
        </w:tc>
        <w:tc>
          <w:tcPr>
            <w:tcW w:w="940" w:type="dxa"/>
            <w:vAlign w:val="bottom"/>
            <w:tcBorders>
              <w:bottom w:val="single" w:sz="8" w:color="auto"/>
            </w:tcBorders>
          </w:tcPr>
          <w:p>
            <w:pPr>
              <w:jc w:val="right"/>
              <w:ind w:right="143"/>
              <w:spacing w:after="0" w:line="114" w:lineRule="exact"/>
              <w:rPr>
                <w:sz w:val="20"/>
                <w:szCs w:val="20"/>
                <w:color w:val="auto"/>
              </w:rPr>
            </w:pPr>
            <w:r>
              <w:rPr>
                <w:rFonts w:ascii="Arial" w:cs="Arial" w:eastAsia="Arial" w:hAnsi="Arial"/>
                <w:sz w:val="11"/>
                <w:szCs w:val="11"/>
                <w:b w:val="1"/>
                <w:bCs w:val="1"/>
                <w:color w:val="auto"/>
              </w:rPr>
              <w:t>28.9%</w:t>
            </w:r>
          </w:p>
        </w:tc>
        <w:tc>
          <w:tcPr>
            <w:tcW w:w="820" w:type="dxa"/>
            <w:vAlign w:val="bottom"/>
            <w:tcBorders>
              <w:bottom w:val="single" w:sz="8" w:color="auto"/>
              <w:right w:val="single" w:sz="8" w:color="auto"/>
            </w:tcBorders>
          </w:tcPr>
          <w:p>
            <w:pPr>
              <w:jc w:val="right"/>
              <w:ind w:right="63"/>
              <w:spacing w:after="0" w:line="114" w:lineRule="exact"/>
              <w:rPr>
                <w:sz w:val="20"/>
                <w:szCs w:val="20"/>
                <w:color w:val="auto"/>
              </w:rPr>
            </w:pPr>
            <w:r>
              <w:rPr>
                <w:rFonts w:ascii="Arial" w:cs="Arial" w:eastAsia="Arial" w:hAnsi="Arial"/>
                <w:sz w:val="11"/>
                <w:szCs w:val="11"/>
                <w:b w:val="1"/>
                <w:bCs w:val="1"/>
                <w:color w:val="auto"/>
              </w:rPr>
              <w:t>33.7%</w:t>
            </w:r>
          </w:p>
        </w:tc>
        <w:tc>
          <w:tcPr>
            <w:tcW w:w="8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480 pbs</w:t>
            </w:r>
          </w:p>
        </w:tc>
        <w:tc>
          <w:tcPr>
            <w:tcW w:w="9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 pbs</w:t>
            </w:r>
          </w:p>
        </w:tc>
        <w:tc>
          <w:tcPr>
            <w:tcW w:w="1080" w:type="dxa"/>
            <w:vAlign w:val="bottom"/>
            <w:tcBorders>
              <w:bottom w:val="single" w:sz="8" w:color="auto"/>
            </w:tcBorders>
          </w:tcPr>
          <w:p>
            <w:pPr>
              <w:jc w:val="right"/>
              <w:ind w:right="223"/>
              <w:spacing w:after="0" w:line="114" w:lineRule="exact"/>
              <w:rPr>
                <w:sz w:val="20"/>
                <w:szCs w:val="20"/>
                <w:color w:val="auto"/>
              </w:rPr>
            </w:pPr>
            <w:r>
              <w:rPr>
                <w:rFonts w:ascii="Arial" w:cs="Arial" w:eastAsia="Arial" w:hAnsi="Arial"/>
                <w:sz w:val="11"/>
                <w:szCs w:val="11"/>
                <w:b w:val="1"/>
                <w:bCs w:val="1"/>
                <w:color w:val="auto"/>
              </w:rPr>
              <w:t>20.4%</w:t>
            </w:r>
          </w:p>
        </w:tc>
        <w:tc>
          <w:tcPr>
            <w:tcW w:w="700" w:type="dxa"/>
            <w:vAlign w:val="bottom"/>
            <w:tcBorders>
              <w:bottom w:val="single" w:sz="8" w:color="auto"/>
              <w:right w:val="single" w:sz="8" w:color="auto"/>
            </w:tcBorders>
          </w:tcPr>
          <w:p>
            <w:pPr>
              <w:jc w:val="right"/>
              <w:ind w:right="43"/>
              <w:spacing w:after="0" w:line="114" w:lineRule="exact"/>
              <w:rPr>
                <w:sz w:val="20"/>
                <w:szCs w:val="20"/>
                <w:color w:val="auto"/>
              </w:rPr>
            </w:pPr>
            <w:r>
              <w:rPr>
                <w:rFonts w:ascii="Arial" w:cs="Arial" w:eastAsia="Arial" w:hAnsi="Arial"/>
                <w:sz w:val="11"/>
                <w:szCs w:val="11"/>
                <w:b w:val="1"/>
                <w:bCs w:val="1"/>
                <w:color w:val="auto"/>
              </w:rPr>
              <w:t>30.0%</w:t>
            </w:r>
          </w:p>
        </w:tc>
        <w:tc>
          <w:tcPr>
            <w:tcW w:w="9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960 pbs</w:t>
            </w:r>
          </w:p>
        </w:tc>
      </w:tr>
    </w:tbl>
    <w:p>
      <w:pPr>
        <w:spacing w:after="0" w:line="167" w:lineRule="exact"/>
        <w:rPr>
          <w:sz w:val="20"/>
          <w:szCs w:val="20"/>
          <w:color w:val="auto"/>
        </w:rPr>
      </w:pPr>
    </w:p>
    <w:p>
      <w:pPr>
        <w:ind w:left="142" w:hanging="142"/>
        <w:spacing w:after="0"/>
        <w:tabs>
          <w:tab w:leader="none" w:pos="142" w:val="left"/>
        </w:tabs>
        <w:numPr>
          <w:ilvl w:val="0"/>
          <w:numId w:val="64"/>
        </w:numPr>
        <w:rPr>
          <w:rFonts w:ascii="Arial" w:cs="Arial" w:eastAsia="Arial" w:hAnsi="Arial"/>
          <w:sz w:val="11"/>
          <w:szCs w:val="11"/>
          <w:color w:val="auto"/>
        </w:rPr>
      </w:pPr>
      <w:r>
        <w:rPr>
          <w:rFonts w:ascii="Arial" w:cs="Arial" w:eastAsia="Arial" w:hAnsi="Arial"/>
          <w:sz w:val="11"/>
          <w:szCs w:val="11"/>
          <w:color w:val="auto"/>
        </w:rPr>
        <w:t>The net profitability of lace and mutual funds is being presented net of taxes, for which the retroactive change was made (it was presented gross before)</w:t>
      </w:r>
    </w:p>
    <w:p>
      <w:pPr>
        <w:spacing w:after="0" w:line="5" w:lineRule="exact"/>
        <w:rPr>
          <w:rFonts w:ascii="Arial" w:cs="Arial" w:eastAsia="Arial" w:hAnsi="Arial"/>
          <w:sz w:val="11"/>
          <w:szCs w:val="11"/>
          <w:color w:val="auto"/>
        </w:rPr>
      </w:pPr>
    </w:p>
    <w:p>
      <w:pPr>
        <w:ind w:left="2"/>
        <w:spacing w:after="0"/>
        <w:rPr>
          <w:rFonts w:ascii="Arial" w:cs="Arial" w:eastAsia="Arial" w:hAnsi="Arial"/>
          <w:sz w:val="11"/>
          <w:szCs w:val="11"/>
          <w:color w:val="auto"/>
        </w:rPr>
      </w:pPr>
      <w:r>
        <w:rPr>
          <w:rFonts w:ascii="Arial" w:cs="Arial" w:eastAsia="Arial" w:hAnsi="Arial"/>
          <w:sz w:val="11"/>
          <w:szCs w:val="11"/>
          <w:color w:val="auto"/>
        </w:rPr>
        <w:t>(1) Net shareholders' equity includes unrealized gains from Prima's investment portfolio.</w:t>
      </w:r>
    </w:p>
    <w:p>
      <w:pPr>
        <w:spacing w:after="0" w:line="10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Funds under management</w:t>
      </w:r>
    </w:p>
    <w:p>
      <w:pPr>
        <w:spacing w:after="0" w:line="16" w:lineRule="exact"/>
        <w:rPr>
          <w:sz w:val="20"/>
          <w:szCs w:val="20"/>
          <w:color w:val="auto"/>
        </w:rPr>
      </w:pPr>
    </w:p>
    <w:tbl>
      <w:tblPr>
        <w:tblLayout w:type="fixed"/>
        <w:tblInd w:w="12" w:type="dxa"/>
        <w:tblCellMar>
          <w:top w:w="0" w:type="dxa"/>
          <w:left w:w="0" w:type="dxa"/>
          <w:bottom w:w="0" w:type="dxa"/>
          <w:right w:w="0" w:type="dxa"/>
        </w:tblCellMar>
      </w:tblPr>
      <w:tr>
        <w:trPr>
          <w:trHeight w:val="99"/>
        </w:trPr>
        <w:tc>
          <w:tcPr>
            <w:tcW w:w="3560" w:type="dxa"/>
            <w:vAlign w:val="bottom"/>
            <w:tcBorders>
              <w:top w:val="single" w:sz="8" w:color="auto"/>
              <w:left w:val="single" w:sz="8" w:color="auto"/>
              <w:right w:val="single" w:sz="8" w:color="auto"/>
            </w:tcBorders>
            <w:vMerge w:val="restart"/>
            <w:shd w:val="clear" w:color="auto" w:fill="2AD2C9"/>
          </w:tcPr>
          <w:p>
            <w:pPr>
              <w:ind w:left="100"/>
              <w:spacing w:after="0"/>
              <w:rPr>
                <w:sz w:val="20"/>
                <w:szCs w:val="20"/>
                <w:color w:val="auto"/>
              </w:rPr>
            </w:pPr>
            <w:r>
              <w:rPr>
                <w:rFonts w:ascii="Arial" w:cs="Arial" w:eastAsia="Arial" w:hAnsi="Arial"/>
                <w:sz w:val="11"/>
                <w:szCs w:val="11"/>
                <w:b w:val="1"/>
                <w:bCs w:val="1"/>
                <w:color w:val="FFFFFF"/>
              </w:rPr>
              <w:t>Funds under management</w:t>
            </w:r>
          </w:p>
        </w:tc>
        <w:tc>
          <w:tcPr>
            <w:tcW w:w="1300" w:type="dxa"/>
            <w:vAlign w:val="bottom"/>
            <w:tcBorders>
              <w:top w:val="single" w:sz="8" w:color="auto"/>
            </w:tcBorders>
            <w:vMerge w:val="restart"/>
            <w:shd w:val="clear" w:color="auto" w:fill="2AD2C9"/>
          </w:tcPr>
          <w:p>
            <w:pPr>
              <w:ind w:left="480"/>
              <w:spacing w:after="0"/>
              <w:rPr>
                <w:sz w:val="20"/>
                <w:szCs w:val="20"/>
                <w:color w:val="auto"/>
              </w:rPr>
            </w:pPr>
            <w:r>
              <w:rPr>
                <w:rFonts w:ascii="Arial" w:cs="Arial" w:eastAsia="Arial" w:hAnsi="Arial"/>
                <w:sz w:val="11"/>
                <w:szCs w:val="11"/>
                <w:b w:val="1"/>
                <w:bCs w:val="1"/>
                <w:color w:val="FFFFFF"/>
              </w:rPr>
              <w:t>Sep 23</w:t>
            </w:r>
          </w:p>
        </w:tc>
        <w:tc>
          <w:tcPr>
            <w:tcW w:w="1300" w:type="dxa"/>
            <w:vAlign w:val="bottom"/>
            <w:tcBorders>
              <w:top w:val="single" w:sz="8" w:color="auto"/>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1"/>
                <w:szCs w:val="11"/>
                <w:b w:val="1"/>
                <w:bCs w:val="1"/>
                <w:color w:val="FFFFFF"/>
              </w:rPr>
              <w:t>Sep 23</w:t>
            </w:r>
          </w:p>
        </w:tc>
        <w:tc>
          <w:tcPr>
            <w:tcW w:w="900" w:type="dxa"/>
            <w:vAlign w:val="bottom"/>
            <w:tcBorders>
              <w:top w:val="single" w:sz="8" w:color="auto"/>
            </w:tcBorders>
            <w:vMerge w:val="restart"/>
            <w:shd w:val="clear" w:color="auto" w:fill="2AD2C9"/>
          </w:tcPr>
          <w:p>
            <w:pPr>
              <w:ind w:left="320"/>
              <w:spacing w:after="0"/>
              <w:rPr>
                <w:sz w:val="20"/>
                <w:szCs w:val="20"/>
                <w:color w:val="auto"/>
              </w:rPr>
            </w:pPr>
            <w:r>
              <w:rPr>
                <w:rFonts w:ascii="Arial" w:cs="Arial" w:eastAsia="Arial" w:hAnsi="Arial"/>
                <w:sz w:val="11"/>
                <w:szCs w:val="11"/>
                <w:b w:val="1"/>
                <w:bCs w:val="1"/>
                <w:color w:val="FFFFFF"/>
              </w:rPr>
              <w:t>Dec 23</w:t>
            </w:r>
          </w:p>
        </w:tc>
        <w:tc>
          <w:tcPr>
            <w:tcW w:w="820" w:type="dxa"/>
            <w:vAlign w:val="bottom"/>
            <w:tcBorders>
              <w:top w:val="single" w:sz="8" w:color="auto"/>
              <w:right w:val="single" w:sz="8" w:color="auto"/>
            </w:tcBorders>
            <w:vMerge w:val="restart"/>
            <w:shd w:val="clear" w:color="auto" w:fill="2AD2C9"/>
          </w:tcPr>
          <w:p>
            <w:pPr>
              <w:ind w:left="220"/>
              <w:spacing w:after="0"/>
              <w:rPr>
                <w:sz w:val="20"/>
                <w:szCs w:val="20"/>
                <w:color w:val="auto"/>
              </w:rPr>
            </w:pPr>
            <w:r>
              <w:rPr>
                <w:rFonts w:ascii="Arial" w:cs="Arial" w:eastAsia="Arial" w:hAnsi="Arial"/>
                <w:sz w:val="11"/>
                <w:szCs w:val="11"/>
                <w:b w:val="1"/>
                <w:bCs w:val="1"/>
                <w:color w:val="FFFFFF"/>
              </w:rPr>
              <w:t>% share</w:t>
            </w:r>
          </w:p>
        </w:tc>
        <w:tc>
          <w:tcPr>
            <w:tcW w:w="0" w:type="dxa"/>
            <w:vAlign w:val="bottom"/>
          </w:tcPr>
          <w:p>
            <w:pPr>
              <w:spacing w:after="0"/>
              <w:rPr>
                <w:sz w:val="1"/>
                <w:szCs w:val="1"/>
                <w:color w:val="auto"/>
              </w:rPr>
            </w:pPr>
          </w:p>
        </w:tc>
      </w:tr>
      <w:tr>
        <w:trPr>
          <w:trHeight w:val="137"/>
        </w:trPr>
        <w:tc>
          <w:tcPr>
            <w:tcW w:w="3560" w:type="dxa"/>
            <w:vAlign w:val="bottom"/>
            <w:tcBorders>
              <w:left w:val="single" w:sz="8" w:color="auto"/>
              <w:bottom w:val="single" w:sz="8" w:color="auto"/>
              <w:right w:val="single" w:sz="8" w:color="auto"/>
            </w:tcBorders>
            <w:vMerge w:val="continue"/>
            <w:shd w:val="clear" w:color="auto" w:fill="2AD2C9"/>
          </w:tcPr>
          <w:p>
            <w:pPr>
              <w:spacing w:after="0"/>
              <w:rPr>
                <w:sz w:val="11"/>
                <w:szCs w:val="11"/>
                <w:color w:val="auto"/>
              </w:rPr>
            </w:pPr>
          </w:p>
        </w:tc>
        <w:tc>
          <w:tcPr>
            <w:tcW w:w="1300" w:type="dxa"/>
            <w:vAlign w:val="bottom"/>
            <w:tcBorders>
              <w:bottom w:val="single" w:sz="8" w:color="auto"/>
            </w:tcBorders>
            <w:vMerge w:val="continue"/>
            <w:shd w:val="clear" w:color="auto" w:fill="2AD2C9"/>
          </w:tcPr>
          <w:p>
            <w:pPr>
              <w:spacing w:after="0"/>
              <w:rPr>
                <w:sz w:val="11"/>
                <w:szCs w:val="11"/>
                <w:color w:val="auto"/>
              </w:rPr>
            </w:pPr>
          </w:p>
        </w:tc>
        <w:tc>
          <w:tcPr>
            <w:tcW w:w="13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 share</w:t>
            </w:r>
          </w:p>
        </w:tc>
        <w:tc>
          <w:tcPr>
            <w:tcW w:w="900" w:type="dxa"/>
            <w:vAlign w:val="bottom"/>
            <w:tcBorders>
              <w:bottom w:val="single" w:sz="8" w:color="auto"/>
            </w:tcBorders>
            <w:vMerge w:val="continue"/>
            <w:shd w:val="clear" w:color="auto" w:fill="2AD2C9"/>
          </w:tcPr>
          <w:p>
            <w:pPr>
              <w:spacing w:after="0"/>
              <w:rPr>
                <w:sz w:val="11"/>
                <w:szCs w:val="11"/>
                <w:color w:val="auto"/>
              </w:rPr>
            </w:pPr>
          </w:p>
        </w:tc>
        <w:tc>
          <w:tcPr>
            <w:tcW w:w="82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6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color w:val="auto"/>
              </w:rPr>
              <w:t>Fund 0</w:t>
            </w:r>
          </w:p>
        </w:tc>
        <w:tc>
          <w:tcPr>
            <w:tcW w:w="1300" w:type="dxa"/>
            <w:vAlign w:val="bottom"/>
          </w:tcPr>
          <w:p>
            <w:pPr>
              <w:jc w:val="center"/>
              <w:spacing w:after="0" w:line="99" w:lineRule="exact"/>
              <w:rPr>
                <w:sz w:val="20"/>
                <w:szCs w:val="20"/>
                <w:color w:val="auto"/>
              </w:rPr>
            </w:pPr>
            <w:r>
              <w:rPr>
                <w:rFonts w:ascii="Arial" w:cs="Arial" w:eastAsia="Arial" w:hAnsi="Arial"/>
                <w:sz w:val="11"/>
                <w:szCs w:val="11"/>
                <w:color w:val="auto"/>
              </w:rPr>
              <w:t>1,483</w:t>
            </w:r>
          </w:p>
        </w:tc>
        <w:tc>
          <w:tcPr>
            <w:tcW w:w="13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4.3%</w:t>
            </w:r>
          </w:p>
        </w:tc>
        <w:tc>
          <w:tcPr>
            <w:tcW w:w="900" w:type="dxa"/>
            <w:vAlign w:val="bottom"/>
          </w:tcPr>
          <w:p>
            <w:pPr>
              <w:jc w:val="center"/>
              <w:ind w:left="43"/>
              <w:spacing w:after="0" w:line="99" w:lineRule="exact"/>
              <w:rPr>
                <w:sz w:val="20"/>
                <w:szCs w:val="20"/>
                <w:color w:val="auto"/>
              </w:rPr>
            </w:pPr>
            <w:r>
              <w:rPr>
                <w:rFonts w:ascii="Arial" w:cs="Arial" w:eastAsia="Arial" w:hAnsi="Arial"/>
                <w:sz w:val="11"/>
                <w:szCs w:val="11"/>
                <w:color w:val="auto"/>
              </w:rPr>
              <w:t>1,555</w:t>
            </w:r>
          </w:p>
        </w:tc>
        <w:tc>
          <w:tcPr>
            <w:tcW w:w="820" w:type="dxa"/>
            <w:vAlign w:val="bottom"/>
            <w:tcBorders>
              <w:right w:val="single" w:sz="8" w:color="auto"/>
            </w:tcBorders>
          </w:tcPr>
          <w:p>
            <w:pPr>
              <w:jc w:val="center"/>
              <w:ind w:left="23"/>
              <w:spacing w:after="0" w:line="99" w:lineRule="exact"/>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22"/>
        </w:trPr>
        <w:tc>
          <w:tcPr>
            <w:tcW w:w="35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Fund 1</w:t>
            </w:r>
          </w:p>
        </w:tc>
        <w:tc>
          <w:tcPr>
            <w:tcW w:w="1300" w:type="dxa"/>
            <w:vAlign w:val="bottom"/>
          </w:tcPr>
          <w:p>
            <w:pPr>
              <w:jc w:val="center"/>
              <w:spacing w:after="0" w:line="122" w:lineRule="exact"/>
              <w:rPr>
                <w:sz w:val="20"/>
                <w:szCs w:val="20"/>
                <w:color w:val="auto"/>
              </w:rPr>
            </w:pPr>
            <w:r>
              <w:rPr>
                <w:rFonts w:ascii="Arial" w:cs="Arial" w:eastAsia="Arial" w:hAnsi="Arial"/>
                <w:sz w:val="11"/>
                <w:szCs w:val="11"/>
                <w:color w:val="auto"/>
              </w:rPr>
              <w:t>5,899</w:t>
            </w:r>
          </w:p>
        </w:tc>
        <w:tc>
          <w:tcPr>
            <w:tcW w:w="13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17.0%</w:t>
            </w:r>
          </w:p>
        </w:tc>
        <w:tc>
          <w:tcPr>
            <w:tcW w:w="900" w:type="dxa"/>
            <w:vAlign w:val="bottom"/>
          </w:tcPr>
          <w:p>
            <w:pPr>
              <w:jc w:val="center"/>
              <w:ind w:left="43"/>
              <w:spacing w:after="0" w:line="122" w:lineRule="exact"/>
              <w:rPr>
                <w:sz w:val="20"/>
                <w:szCs w:val="20"/>
                <w:color w:val="auto"/>
              </w:rPr>
            </w:pPr>
            <w:r>
              <w:rPr>
                <w:rFonts w:ascii="Arial" w:cs="Arial" w:eastAsia="Arial" w:hAnsi="Arial"/>
                <w:sz w:val="11"/>
                <w:szCs w:val="11"/>
                <w:color w:val="auto"/>
              </w:rPr>
              <w:t>6,385</w:t>
            </w:r>
          </w:p>
        </w:tc>
        <w:tc>
          <w:tcPr>
            <w:tcW w:w="820" w:type="dxa"/>
            <w:vAlign w:val="bottom"/>
            <w:tcBorders>
              <w:right w:val="single" w:sz="8" w:color="auto"/>
            </w:tcBorders>
          </w:tcPr>
          <w:p>
            <w:pPr>
              <w:jc w:val="center"/>
              <w:ind w:left="3"/>
              <w:spacing w:after="0" w:line="122" w:lineRule="exact"/>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122"/>
        </w:trPr>
        <w:tc>
          <w:tcPr>
            <w:tcW w:w="35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Fund 2</w:t>
            </w:r>
          </w:p>
        </w:tc>
        <w:tc>
          <w:tcPr>
            <w:tcW w:w="1300" w:type="dxa"/>
            <w:vAlign w:val="bottom"/>
          </w:tcPr>
          <w:p>
            <w:pPr>
              <w:jc w:val="center"/>
              <w:spacing w:after="0" w:line="122" w:lineRule="exact"/>
              <w:rPr>
                <w:sz w:val="20"/>
                <w:szCs w:val="20"/>
                <w:color w:val="auto"/>
              </w:rPr>
            </w:pPr>
            <w:r>
              <w:rPr>
                <w:rFonts w:ascii="Arial" w:cs="Arial" w:eastAsia="Arial" w:hAnsi="Arial"/>
                <w:sz w:val="11"/>
                <w:szCs w:val="11"/>
                <w:color w:val="auto"/>
              </w:rPr>
              <w:t>23,644</w:t>
            </w:r>
          </w:p>
        </w:tc>
        <w:tc>
          <w:tcPr>
            <w:tcW w:w="13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68.2%</w:t>
            </w:r>
          </w:p>
        </w:tc>
        <w:tc>
          <w:tcPr>
            <w:tcW w:w="900" w:type="dxa"/>
            <w:vAlign w:val="bottom"/>
          </w:tcPr>
          <w:p>
            <w:pPr>
              <w:jc w:val="center"/>
              <w:ind w:left="23"/>
              <w:spacing w:after="0" w:line="122" w:lineRule="exact"/>
              <w:rPr>
                <w:sz w:val="20"/>
                <w:szCs w:val="20"/>
                <w:color w:val="auto"/>
              </w:rPr>
            </w:pPr>
            <w:r>
              <w:rPr>
                <w:rFonts w:ascii="Arial" w:cs="Arial" w:eastAsia="Arial" w:hAnsi="Arial"/>
                <w:sz w:val="11"/>
                <w:szCs w:val="11"/>
                <w:color w:val="auto"/>
              </w:rPr>
              <w:t>25,292</w:t>
            </w:r>
          </w:p>
        </w:tc>
        <w:tc>
          <w:tcPr>
            <w:tcW w:w="820" w:type="dxa"/>
            <w:vAlign w:val="bottom"/>
            <w:tcBorders>
              <w:right w:val="single" w:sz="8" w:color="auto"/>
            </w:tcBorders>
          </w:tcPr>
          <w:p>
            <w:pPr>
              <w:jc w:val="center"/>
              <w:ind w:left="3"/>
              <w:spacing w:after="0" w:line="122" w:lineRule="exact"/>
              <w:rPr>
                <w:sz w:val="20"/>
                <w:szCs w:val="20"/>
                <w:color w:val="auto"/>
              </w:rPr>
            </w:pPr>
            <w:r>
              <w:rPr>
                <w:rFonts w:ascii="Arial" w:cs="Arial" w:eastAsia="Arial" w:hAnsi="Arial"/>
                <w:sz w:val="11"/>
                <w:szCs w:val="11"/>
                <w:color w:val="auto"/>
              </w:rPr>
              <w:t>68.6%</w:t>
            </w:r>
          </w:p>
        </w:tc>
        <w:tc>
          <w:tcPr>
            <w:tcW w:w="0" w:type="dxa"/>
            <w:vAlign w:val="bottom"/>
          </w:tcPr>
          <w:p>
            <w:pPr>
              <w:spacing w:after="0"/>
              <w:rPr>
                <w:sz w:val="1"/>
                <w:szCs w:val="1"/>
                <w:color w:val="auto"/>
              </w:rPr>
            </w:pPr>
          </w:p>
        </w:tc>
      </w:tr>
      <w:tr>
        <w:trPr>
          <w:trHeight w:val="137"/>
        </w:trPr>
        <w:tc>
          <w:tcPr>
            <w:tcW w:w="35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Fund 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3,629</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10.5%</w:t>
            </w:r>
          </w:p>
        </w:tc>
        <w:tc>
          <w:tcPr>
            <w:tcW w:w="90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color w:val="auto"/>
              </w:rPr>
              <w:t>3,619</w:t>
            </w:r>
          </w:p>
        </w:tc>
        <w:tc>
          <w:tcPr>
            <w:tcW w:w="82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14"/>
        </w:trPr>
        <w:tc>
          <w:tcPr>
            <w:tcW w:w="3560" w:type="dxa"/>
            <w:vAlign w:val="bottom"/>
            <w:tcBorders>
              <w:left w:val="single" w:sz="8" w:color="auto"/>
              <w:bottom w:val="single" w:sz="8" w:color="auto"/>
              <w:right w:val="single" w:sz="8" w:color="auto"/>
            </w:tcBorders>
          </w:tcPr>
          <w:p>
            <w:pPr>
              <w:ind w:left="100"/>
              <w:spacing w:after="0" w:line="114" w:lineRule="exact"/>
              <w:rPr>
                <w:sz w:val="20"/>
                <w:szCs w:val="20"/>
                <w:color w:val="auto"/>
              </w:rPr>
            </w:pPr>
            <w:r>
              <w:rPr>
                <w:rFonts w:ascii="Arial" w:cs="Arial" w:eastAsia="Arial" w:hAnsi="Arial"/>
                <w:sz w:val="11"/>
                <w:szCs w:val="11"/>
                <w:color w:val="auto"/>
              </w:rPr>
              <w:t>Total S/ Millions</w:t>
            </w:r>
          </w:p>
        </w:tc>
        <w:tc>
          <w:tcPr>
            <w:tcW w:w="13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34,655</w:t>
            </w:r>
          </w:p>
        </w:tc>
        <w:tc>
          <w:tcPr>
            <w:tcW w:w="13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100%</w:t>
            </w:r>
          </w:p>
        </w:tc>
        <w:tc>
          <w:tcPr>
            <w:tcW w:w="900" w:type="dxa"/>
            <w:vAlign w:val="bottom"/>
            <w:tcBorders>
              <w:bottom w:val="single" w:sz="8" w:color="auto"/>
            </w:tcBorders>
          </w:tcPr>
          <w:p>
            <w:pPr>
              <w:jc w:val="center"/>
              <w:ind w:left="23"/>
              <w:spacing w:after="0" w:line="114" w:lineRule="exact"/>
              <w:rPr>
                <w:sz w:val="20"/>
                <w:szCs w:val="20"/>
                <w:color w:val="auto"/>
              </w:rPr>
            </w:pPr>
            <w:r>
              <w:rPr>
                <w:rFonts w:ascii="Arial" w:cs="Arial" w:eastAsia="Arial" w:hAnsi="Arial"/>
                <w:sz w:val="11"/>
                <w:szCs w:val="11"/>
                <w:color w:val="auto"/>
              </w:rPr>
              <w:t>36,851</w:t>
            </w:r>
          </w:p>
        </w:tc>
        <w:tc>
          <w:tcPr>
            <w:tcW w:w="820" w:type="dxa"/>
            <w:vAlign w:val="bottom"/>
            <w:tcBorders>
              <w:bottom w:val="single" w:sz="8" w:color="auto"/>
              <w:right w:val="single" w:sz="8" w:color="auto"/>
            </w:tcBorders>
          </w:tcPr>
          <w:p>
            <w:pPr>
              <w:jc w:val="center"/>
              <w:ind w:left="23"/>
              <w:spacing w:after="0" w:line="114" w:lineRule="exact"/>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1"/>
        </w:trPr>
        <w:tc>
          <w:tcPr>
            <w:tcW w:w="3560" w:type="dxa"/>
            <w:vAlign w:val="bottom"/>
          </w:tcPr>
          <w:p>
            <w:pPr>
              <w:spacing w:after="0"/>
              <w:rPr>
                <w:sz w:val="20"/>
                <w:szCs w:val="20"/>
                <w:color w:val="auto"/>
              </w:rPr>
            </w:pPr>
            <w:r>
              <w:rPr>
                <w:rFonts w:ascii="Arial" w:cs="Arial" w:eastAsia="Arial" w:hAnsi="Arial"/>
                <w:sz w:val="11"/>
                <w:szCs w:val="11"/>
                <w:i w:val="1"/>
                <w:iCs w:val="1"/>
                <w:color w:val="auto"/>
              </w:rPr>
              <w:t>Source: SBS.</w:t>
            </w: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Nominal profitability over the last 12 months</w:t>
      </w:r>
    </w:p>
    <w:p>
      <w:pPr>
        <w:spacing w:after="0" w:line="16" w:lineRule="exact"/>
        <w:rPr>
          <w:sz w:val="20"/>
          <w:szCs w:val="20"/>
          <w:color w:val="auto"/>
        </w:rPr>
      </w:pPr>
    </w:p>
    <w:tbl>
      <w:tblPr>
        <w:tblLayout w:type="fixed"/>
        <w:tblInd w:w="12" w:type="dxa"/>
        <w:tblCellMar>
          <w:top w:w="0" w:type="dxa"/>
          <w:left w:w="0" w:type="dxa"/>
          <w:bottom w:w="0" w:type="dxa"/>
          <w:right w:w="0" w:type="dxa"/>
        </w:tblCellMar>
      </w:tblPr>
      <w:tr>
        <w:trPr>
          <w:trHeight w:val="114"/>
        </w:trPr>
        <w:tc>
          <w:tcPr>
            <w:tcW w:w="2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320" w:type="dxa"/>
            <w:vAlign w:val="bottom"/>
            <w:tcBorders>
              <w:top w:val="single" w:sz="8" w:color="auto"/>
              <w:bottom w:val="single" w:sz="8" w:color="auto"/>
            </w:tcBorders>
            <w:shd w:val="clear" w:color="auto" w:fill="2AD2C9"/>
          </w:tcPr>
          <w:p>
            <w:pPr>
              <w:jc w:val="right"/>
              <w:ind w:right="63"/>
              <w:spacing w:after="0" w:line="114" w:lineRule="exact"/>
              <w:rPr>
                <w:sz w:val="20"/>
                <w:szCs w:val="20"/>
                <w:color w:val="auto"/>
              </w:rPr>
            </w:pPr>
            <w:r>
              <w:rPr>
                <w:rFonts w:ascii="Arial" w:cs="Arial" w:eastAsia="Arial" w:hAnsi="Arial"/>
                <w:sz w:val="11"/>
                <w:szCs w:val="11"/>
                <w:b w:val="1"/>
                <w:bCs w:val="1"/>
                <w:color w:val="FFFFFF"/>
              </w:rPr>
              <w:t>Sep 23 / Sep 22(1)</w:t>
            </w:r>
          </w:p>
        </w:tc>
        <w:tc>
          <w:tcPr>
            <w:tcW w:w="140" w:type="dxa"/>
            <w:vAlign w:val="bottom"/>
            <w:tcBorders>
              <w:top w:val="single" w:sz="8" w:color="auto"/>
              <w:bottom w:val="single" w:sz="8" w:color="auto"/>
              <w:right w:val="single" w:sz="8" w:color="auto"/>
            </w:tcBorders>
            <w:shd w:val="clear" w:color="auto" w:fill="2AD2C9"/>
          </w:tcPr>
          <w:p>
            <w:pPr>
              <w:spacing w:after="0"/>
              <w:rPr>
                <w:sz w:val="9"/>
                <w:szCs w:val="9"/>
                <w:color w:val="auto"/>
              </w:rPr>
            </w:pPr>
          </w:p>
        </w:tc>
        <w:tc>
          <w:tcPr>
            <w:tcW w:w="1420" w:type="dxa"/>
            <w:vAlign w:val="bottom"/>
            <w:tcBorders>
              <w:top w:val="single" w:sz="8" w:color="auto"/>
              <w:bottom w:val="single" w:sz="8" w:color="auto"/>
              <w:right w:val="single" w:sz="8" w:color="auto"/>
            </w:tcBorders>
            <w:gridSpan w:val="3"/>
            <w:shd w:val="clear" w:color="auto" w:fill="2AD2C9"/>
          </w:tcPr>
          <w:p>
            <w:pPr>
              <w:jc w:val="right"/>
              <w:ind w:right="240"/>
              <w:spacing w:after="0" w:line="114" w:lineRule="exact"/>
              <w:rPr>
                <w:sz w:val="20"/>
                <w:szCs w:val="20"/>
                <w:color w:val="auto"/>
              </w:rPr>
            </w:pPr>
            <w:r>
              <w:rPr>
                <w:rFonts w:ascii="Arial" w:cs="Arial" w:eastAsia="Arial" w:hAnsi="Arial"/>
                <w:sz w:val="11"/>
                <w:szCs w:val="11"/>
                <w:b w:val="1"/>
                <w:bCs w:val="1"/>
                <w:color w:val="FFFFFF"/>
              </w:rPr>
              <w:t>Dec 23 / Dec 22(1)</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360" w:type="dxa"/>
            <w:vAlign w:val="bottom"/>
            <w:tcBorders>
              <w:left w:val="single" w:sz="8" w:color="auto"/>
            </w:tcBorders>
          </w:tcPr>
          <w:p>
            <w:pPr>
              <w:ind w:left="100"/>
              <w:spacing w:after="0" w:line="99" w:lineRule="exact"/>
              <w:rPr>
                <w:sz w:val="20"/>
                <w:szCs w:val="20"/>
                <w:color w:val="auto"/>
              </w:rPr>
            </w:pPr>
            <w:r>
              <w:rPr>
                <w:rFonts w:ascii="Arial" w:cs="Arial" w:eastAsia="Arial" w:hAnsi="Arial"/>
                <w:sz w:val="11"/>
                <w:szCs w:val="11"/>
                <w:color w:val="auto"/>
              </w:rPr>
              <w:t>Fund 0</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1320" w:type="dxa"/>
            <w:vAlign w:val="bottom"/>
          </w:tcPr>
          <w:p>
            <w:pPr>
              <w:jc w:val="center"/>
              <w:ind w:left="43"/>
              <w:spacing w:after="0" w:line="99" w:lineRule="exact"/>
              <w:rPr>
                <w:sz w:val="20"/>
                <w:szCs w:val="20"/>
                <w:color w:val="auto"/>
              </w:rPr>
            </w:pPr>
            <w:r>
              <w:rPr>
                <w:rFonts w:ascii="Arial" w:cs="Arial" w:eastAsia="Arial" w:hAnsi="Arial"/>
                <w:sz w:val="11"/>
                <w:szCs w:val="11"/>
                <w:color w:val="auto"/>
              </w:rPr>
              <w:t>7.8%</w:t>
            </w:r>
          </w:p>
        </w:tc>
        <w:tc>
          <w:tcPr>
            <w:tcW w:w="1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jc w:val="center"/>
              <w:spacing w:after="0" w:line="99" w:lineRule="exact"/>
              <w:rPr>
                <w:sz w:val="20"/>
                <w:szCs w:val="20"/>
                <w:color w:val="auto"/>
              </w:rPr>
            </w:pPr>
            <w:r>
              <w:rPr>
                <w:rFonts w:ascii="Arial" w:cs="Arial" w:eastAsia="Arial" w:hAnsi="Arial"/>
                <w:sz w:val="11"/>
                <w:szCs w:val="11"/>
                <w:color w:val="auto"/>
              </w:rPr>
              <w:t>8.4%</w:t>
            </w:r>
          </w:p>
        </w:tc>
        <w:tc>
          <w:tcPr>
            <w:tcW w:w="58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Fund 1</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320" w:type="dxa"/>
            <w:vAlign w:val="bottom"/>
          </w:tcPr>
          <w:p>
            <w:pPr>
              <w:jc w:val="center"/>
              <w:ind w:left="63"/>
              <w:spacing w:after="0" w:line="122" w:lineRule="exact"/>
              <w:rPr>
                <w:sz w:val="20"/>
                <w:szCs w:val="20"/>
                <w:color w:val="auto"/>
              </w:rPr>
            </w:pPr>
            <w:r>
              <w:rPr>
                <w:rFonts w:ascii="Arial" w:cs="Arial" w:eastAsia="Arial" w:hAnsi="Arial"/>
                <w:sz w:val="11"/>
                <w:szCs w:val="11"/>
                <w:color w:val="auto"/>
              </w:rPr>
              <w:t>14.3%</w:t>
            </w:r>
          </w:p>
        </w:tc>
        <w:tc>
          <w:tcPr>
            <w:tcW w:w="1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520"/>
              <w:spacing w:after="0" w:line="122" w:lineRule="exact"/>
              <w:rPr>
                <w:sz w:val="20"/>
                <w:szCs w:val="20"/>
                <w:color w:val="auto"/>
              </w:rPr>
            </w:pPr>
            <w:r>
              <w:rPr>
                <w:rFonts w:ascii="Arial" w:cs="Arial" w:eastAsia="Arial" w:hAnsi="Arial"/>
                <w:sz w:val="11"/>
                <w:szCs w:val="11"/>
                <w:color w:val="auto"/>
              </w:rPr>
              <w:t>16.4%</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Fund 2</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320" w:type="dxa"/>
            <w:vAlign w:val="bottom"/>
          </w:tcPr>
          <w:p>
            <w:pPr>
              <w:jc w:val="center"/>
              <w:ind w:left="63"/>
              <w:spacing w:after="0" w:line="122" w:lineRule="exact"/>
              <w:rPr>
                <w:sz w:val="20"/>
                <w:szCs w:val="20"/>
                <w:color w:val="auto"/>
              </w:rPr>
            </w:pPr>
            <w:r>
              <w:rPr>
                <w:rFonts w:ascii="Arial" w:cs="Arial" w:eastAsia="Arial" w:hAnsi="Arial"/>
                <w:sz w:val="11"/>
                <w:szCs w:val="11"/>
                <w:color w:val="auto"/>
              </w:rPr>
              <w:t>10.2%</w:t>
            </w:r>
          </w:p>
        </w:tc>
        <w:tc>
          <w:tcPr>
            <w:tcW w:w="1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520"/>
              <w:spacing w:after="0" w:line="122" w:lineRule="exact"/>
              <w:rPr>
                <w:sz w:val="20"/>
                <w:szCs w:val="20"/>
                <w:color w:val="auto"/>
              </w:rPr>
            </w:pPr>
            <w:r>
              <w:rPr>
                <w:rFonts w:ascii="Arial" w:cs="Arial" w:eastAsia="Arial" w:hAnsi="Arial"/>
                <w:sz w:val="11"/>
                <w:szCs w:val="11"/>
                <w:color w:val="auto"/>
              </w:rPr>
              <w:t>10.3%</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3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rPr>
              <w:t>Fund 3</w:t>
            </w: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color w:val="auto"/>
              </w:rPr>
              <w:t>3.0%</w:t>
            </w:r>
          </w:p>
        </w:tc>
        <w:tc>
          <w:tcPr>
            <w:tcW w:w="1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5.0%</w:t>
            </w:r>
          </w:p>
        </w:tc>
        <w:tc>
          <w:tcPr>
            <w:tcW w:w="580" w:type="dxa"/>
            <w:vAlign w:val="bottom"/>
            <w:tcBorders>
              <w:bottom w:val="single" w:sz="8" w:color="auto"/>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80" w:type="dxa"/>
            <w:vAlign w:val="bottom"/>
            <w:gridSpan w:val="4"/>
          </w:tcPr>
          <w:p>
            <w:pPr>
              <w:spacing w:after="0"/>
              <w:rPr>
                <w:sz w:val="20"/>
                <w:szCs w:val="20"/>
                <w:color w:val="auto"/>
              </w:rPr>
            </w:pPr>
            <w:r>
              <w:rPr>
                <w:rFonts w:ascii="Arial" w:cs="Arial" w:eastAsia="Arial" w:hAnsi="Arial"/>
                <w:sz w:val="11"/>
                <w:szCs w:val="11"/>
                <w:color w:val="auto"/>
              </w:rPr>
              <w:t>(1) Includes new methodology of SBS to calculate quota value.</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2360" w:type="dxa"/>
            <w:vAlign w:val="bottom"/>
          </w:tcPr>
          <w:p>
            <w:pPr>
              <w:spacing w:after="0"/>
              <w:rPr>
                <w:sz w:val="20"/>
                <w:szCs w:val="20"/>
                <w:color w:val="auto"/>
              </w:rPr>
            </w:pPr>
            <w:r>
              <w:rPr>
                <w:rFonts w:ascii="Arial" w:cs="Arial" w:eastAsia="Arial" w:hAnsi="Arial"/>
                <w:sz w:val="16"/>
                <w:szCs w:val="16"/>
                <w:b w:val="1"/>
                <w:bCs w:val="1"/>
                <w:color w:val="auto"/>
              </w:rPr>
              <w:t>AFP commissions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gridSpan w:val="4"/>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360" w:type="dxa"/>
            <w:vAlign w:val="bottom"/>
            <w:tcBorders>
              <w:left w:val="single" w:sz="8" w:color="auto"/>
              <w:bottom w:val="single" w:sz="8" w:color="auto"/>
            </w:tcBorders>
            <w:shd w:val="clear" w:color="auto" w:fill="2AD2C9"/>
          </w:tcPr>
          <w:p>
            <w:pPr>
              <w:ind w:left="100"/>
              <w:spacing w:after="0" w:line="114" w:lineRule="exact"/>
              <w:rPr>
                <w:sz w:val="20"/>
                <w:szCs w:val="20"/>
                <w:color w:val="auto"/>
              </w:rPr>
            </w:pPr>
            <w:r>
              <w:rPr>
                <w:rFonts w:ascii="Arial" w:cs="Arial" w:eastAsia="Arial" w:hAnsi="Arial"/>
                <w:sz w:val="11"/>
                <w:szCs w:val="11"/>
                <w:b w:val="1"/>
                <w:bCs w:val="1"/>
                <w:color w:val="FFFFFF"/>
              </w:rPr>
              <w:t>Fee based on flow</w:t>
            </w:r>
          </w:p>
        </w:tc>
        <w:tc>
          <w:tcPr>
            <w:tcW w:w="740" w:type="dxa"/>
            <w:vAlign w:val="bottom"/>
            <w:tcBorders>
              <w:bottom w:val="single" w:sz="8" w:color="auto"/>
              <w:right w:val="single" w:sz="8" w:color="auto"/>
            </w:tcBorders>
            <w:shd w:val="clear" w:color="auto" w:fill="2AD2C9"/>
          </w:tcPr>
          <w:p>
            <w:pPr>
              <w:jc w:val="right"/>
              <w:ind w:right="43"/>
              <w:spacing w:after="0" w:line="114" w:lineRule="exact"/>
              <w:rPr>
                <w:sz w:val="20"/>
                <w:szCs w:val="20"/>
                <w:color w:val="auto"/>
              </w:rPr>
            </w:pPr>
            <w:r>
              <w:rPr>
                <w:rFonts w:ascii="Arial" w:cs="Arial" w:eastAsia="Arial" w:hAnsi="Arial"/>
                <w:sz w:val="11"/>
                <w:szCs w:val="11"/>
                <w:color w:val="FFFFFF"/>
              </w:rPr>
              <w:t>1.60%</w:t>
            </w:r>
          </w:p>
        </w:tc>
        <w:tc>
          <w:tcPr>
            <w:tcW w:w="20" w:type="dxa"/>
            <w:vAlign w:val="bottom"/>
            <w:tcBorders>
              <w:bottom w:val="single" w:sz="8" w:color="auto"/>
            </w:tcBorders>
            <w:shd w:val="clear" w:color="auto" w:fill="2AD2C9"/>
          </w:tcPr>
          <w:p>
            <w:pPr>
              <w:spacing w:after="0"/>
              <w:rPr>
                <w:sz w:val="9"/>
                <w:szCs w:val="9"/>
                <w:color w:val="auto"/>
              </w:rPr>
            </w:pPr>
          </w:p>
        </w:tc>
        <w:tc>
          <w:tcPr>
            <w:tcW w:w="2720" w:type="dxa"/>
            <w:vAlign w:val="bottom"/>
            <w:tcBorders>
              <w:bottom w:val="single" w:sz="8" w:color="auto"/>
            </w:tcBorders>
            <w:gridSpan w:val="4"/>
            <w:shd w:val="clear" w:color="auto" w:fill="2AD2C9"/>
          </w:tcPr>
          <w:p>
            <w:pPr>
              <w:jc w:val="center"/>
              <w:ind w:left="243"/>
              <w:spacing w:after="0" w:line="114" w:lineRule="exact"/>
              <w:rPr>
                <w:sz w:val="20"/>
                <w:szCs w:val="20"/>
                <w:color w:val="auto"/>
              </w:rPr>
            </w:pPr>
            <w:r>
              <w:rPr>
                <w:rFonts w:ascii="Arial" w:cs="Arial" w:eastAsia="Arial" w:hAnsi="Arial"/>
                <w:sz w:val="11"/>
                <w:szCs w:val="11"/>
                <w:color w:val="FFFFFF"/>
              </w:rPr>
              <w:t>Applied to the affiliates' monthly remuneration.</w:t>
            </w:r>
          </w:p>
        </w:tc>
        <w:tc>
          <w:tcPr>
            <w:tcW w:w="340" w:type="dxa"/>
            <w:vAlign w:val="bottom"/>
            <w:tcBorders>
              <w:bottom w:val="single" w:sz="8" w:color="auto"/>
              <w:right w:val="single" w:sz="8" w:color="auto"/>
            </w:tcBorders>
            <w:shd w:val="clear" w:color="auto" w:fill="2AD2C9"/>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360" w:type="dxa"/>
            <w:vAlign w:val="bottom"/>
            <w:tcBorders>
              <w:left w:val="single" w:sz="8" w:color="auto"/>
            </w:tcBorders>
          </w:tcPr>
          <w:p>
            <w:pPr>
              <w:ind w:left="100"/>
              <w:spacing w:after="0"/>
              <w:rPr>
                <w:sz w:val="20"/>
                <w:szCs w:val="20"/>
                <w:color w:val="auto"/>
              </w:rPr>
            </w:pPr>
            <w:r>
              <w:rPr>
                <w:rFonts w:ascii="Arial" w:cs="Arial" w:eastAsia="Arial" w:hAnsi="Arial"/>
                <w:sz w:val="11"/>
                <w:szCs w:val="11"/>
                <w:b w:val="1"/>
                <w:bCs w:val="1"/>
                <w:color w:val="auto"/>
              </w:rPr>
              <w:t>Mixed fee</w:t>
            </w: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1"/>
                <w:szCs w:val="11"/>
                <w:color w:val="auto"/>
              </w:rPr>
              <w:t>Applies annualy to the new balance since February 2013</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3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60" w:type="dxa"/>
            <w:vAlign w:val="bottom"/>
            <w:tcBorders>
              <w:right w:val="single" w:sz="8" w:color="auto"/>
            </w:tcBorders>
            <w:gridSpan w:val="5"/>
            <w:vMerge w:val="continue"/>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tcBorders>
            <w:vMerge w:val="restart"/>
          </w:tcPr>
          <w:p>
            <w:pPr>
              <w:ind w:left="100"/>
              <w:spacing w:after="0"/>
              <w:rPr>
                <w:sz w:val="20"/>
                <w:szCs w:val="20"/>
                <w:color w:val="auto"/>
              </w:rPr>
            </w:pPr>
            <w:r>
              <w:rPr>
                <w:rFonts w:ascii="Arial" w:cs="Arial" w:eastAsia="Arial" w:hAnsi="Arial"/>
                <w:sz w:val="11"/>
                <w:szCs w:val="11"/>
                <w:b w:val="1"/>
                <w:bCs w:val="1"/>
                <w:color w:val="auto"/>
              </w:rPr>
              <w:t>Balance</w:t>
            </w:r>
          </w:p>
        </w:tc>
        <w:tc>
          <w:tcPr>
            <w:tcW w:w="740" w:type="dxa"/>
            <w:vAlign w:val="bottom"/>
            <w:tcBorders>
              <w:right w:val="single" w:sz="8" w:color="auto"/>
            </w:tcBorders>
            <w:vMerge w:val="restart"/>
          </w:tcPr>
          <w:p>
            <w:pPr>
              <w:jc w:val="right"/>
              <w:ind w:right="43"/>
              <w:spacing w:after="0"/>
              <w:rPr>
                <w:sz w:val="20"/>
                <w:szCs w:val="20"/>
                <w:color w:val="auto"/>
              </w:rPr>
            </w:pPr>
            <w:r>
              <w:rPr>
                <w:rFonts w:ascii="Arial" w:cs="Arial" w:eastAsia="Arial" w:hAnsi="Arial"/>
                <w:sz w:val="11"/>
                <w:szCs w:val="11"/>
                <w:color w:val="auto"/>
              </w:rPr>
              <w:t>1.25%</w:t>
            </w:r>
          </w:p>
        </w:tc>
        <w:tc>
          <w:tcPr>
            <w:tcW w:w="20" w:type="dxa"/>
            <w:vAlign w:val="bottom"/>
          </w:tcPr>
          <w:p>
            <w:pPr>
              <w:spacing w:after="0"/>
              <w:rPr>
                <w:sz w:val="10"/>
                <w:szCs w:val="10"/>
                <w:color w:val="auto"/>
              </w:rPr>
            </w:pPr>
          </w:p>
        </w:tc>
        <w:tc>
          <w:tcPr>
            <w:tcW w:w="3060" w:type="dxa"/>
            <w:vAlign w:val="bottom"/>
            <w:tcBorders>
              <w:right w:val="single" w:sz="8" w:color="auto"/>
            </w:tcBorders>
            <w:gridSpan w:val="5"/>
          </w:tcPr>
          <w:p>
            <w:pPr>
              <w:jc w:val="center"/>
              <w:spacing w:after="0" w:line="122" w:lineRule="exact"/>
              <w:rPr>
                <w:sz w:val="20"/>
                <w:szCs w:val="20"/>
                <w:color w:val="auto"/>
              </w:rPr>
            </w:pPr>
            <w:r>
              <w:rPr>
                <w:rFonts w:ascii="Arial" w:cs="Arial" w:eastAsia="Arial" w:hAnsi="Arial"/>
                <w:sz w:val="11"/>
                <w:szCs w:val="11"/>
                <w:color w:val="auto"/>
              </w:rPr>
              <w:t>for new affiliates to the system and beginning on June</w:t>
            </w: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tcBorders>
              <w:lef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Borders>
              <w:right w:val="single" w:sz="8" w:color="auto"/>
            </w:tcBorders>
            <w:gridSpan w:val="5"/>
            <w:vMerge w:val="restart"/>
          </w:tcPr>
          <w:p>
            <w:pPr>
              <w:jc w:val="center"/>
              <w:spacing w:after="0" w:line="122" w:lineRule="exact"/>
              <w:rPr>
                <w:sz w:val="20"/>
                <w:szCs w:val="20"/>
                <w:color w:val="auto"/>
              </w:rPr>
            </w:pPr>
            <w:r>
              <w:rPr>
                <w:rFonts w:ascii="Arial" w:cs="Arial" w:eastAsia="Arial" w:hAnsi="Arial"/>
                <w:sz w:val="11"/>
                <w:szCs w:val="11"/>
                <w:color w:val="auto"/>
              </w:rPr>
              <w:t>2013 for old affiliates who have chosen this commission</w:t>
            </w: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360" w:type="dxa"/>
            <w:vAlign w:val="bottom"/>
            <w:tcBorders>
              <w:lef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60" w:type="dxa"/>
            <w:vAlign w:val="bottom"/>
            <w:tcBorders>
              <w:right w:val="single" w:sz="8" w:color="auto"/>
            </w:tcBorders>
            <w:gridSpan w:val="5"/>
            <w:vMerge w:val="continue"/>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36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1"/>
                <w:szCs w:val="11"/>
                <w:color w:val="auto"/>
              </w:rPr>
              <w:t>scheme.</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Main indicators</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360" w:type="dxa"/>
            <w:vAlign w:val="bottom"/>
            <w:tcBorders>
              <w:left w:val="single" w:sz="8" w:color="2AD2C9"/>
            </w:tcBorders>
            <w:vMerge w:val="restart"/>
            <w:shd w:val="clear" w:color="auto" w:fill="2AD2C9"/>
          </w:tcPr>
          <w:p>
            <w:pPr>
              <w:ind w:left="100"/>
              <w:spacing w:after="0"/>
              <w:rPr>
                <w:sz w:val="20"/>
                <w:szCs w:val="20"/>
                <w:color w:val="auto"/>
              </w:rPr>
            </w:pPr>
            <w:r>
              <w:rPr>
                <w:rFonts w:ascii="Arial" w:cs="Arial" w:eastAsia="Arial" w:hAnsi="Arial"/>
                <w:sz w:val="11"/>
                <w:szCs w:val="11"/>
                <w:b w:val="1"/>
                <w:bCs w:val="1"/>
                <w:color w:val="FFFFFF"/>
              </w:rPr>
              <w:t>Main indicators and market share</w:t>
            </w:r>
          </w:p>
        </w:tc>
        <w:tc>
          <w:tcPr>
            <w:tcW w:w="760" w:type="dxa"/>
            <w:vAlign w:val="bottom"/>
            <w:gridSpan w:val="2"/>
            <w:shd w:val="clear" w:color="auto" w:fill="2AD2C9"/>
          </w:tcPr>
          <w:p>
            <w:pPr>
              <w:jc w:val="center"/>
              <w:ind w:left="383"/>
              <w:spacing w:after="0" w:line="99" w:lineRule="exact"/>
              <w:rPr>
                <w:sz w:val="20"/>
                <w:szCs w:val="20"/>
                <w:color w:val="auto"/>
              </w:rPr>
            </w:pPr>
            <w:r>
              <w:rPr>
                <w:rFonts w:ascii="Arial" w:cs="Arial" w:eastAsia="Arial" w:hAnsi="Arial"/>
                <w:sz w:val="11"/>
                <w:szCs w:val="11"/>
                <w:b w:val="1"/>
                <w:bCs w:val="1"/>
                <w:color w:val="FFFFFF"/>
              </w:rPr>
              <w:t>Prima</w:t>
            </w:r>
          </w:p>
        </w:tc>
        <w:tc>
          <w:tcPr>
            <w:tcW w:w="760" w:type="dxa"/>
            <w:vAlign w:val="bottom"/>
            <w:tcBorders>
              <w:right w:val="single" w:sz="8" w:color="2AD2C9"/>
            </w:tcBorders>
            <w:shd w:val="clear" w:color="auto" w:fill="2AD2C9"/>
          </w:tcPr>
          <w:p>
            <w:pPr>
              <w:spacing w:after="0"/>
              <w:rPr>
                <w:sz w:val="8"/>
                <w:szCs w:val="8"/>
                <w:color w:val="auto"/>
              </w:rPr>
            </w:pPr>
          </w:p>
        </w:tc>
        <w:tc>
          <w:tcPr>
            <w:tcW w:w="1320" w:type="dxa"/>
            <w:vAlign w:val="bottom"/>
            <w:shd w:val="clear" w:color="auto" w:fill="2AD2C9"/>
          </w:tcPr>
          <w:p>
            <w:pPr>
              <w:jc w:val="right"/>
              <w:ind w:right="483"/>
              <w:spacing w:after="0" w:line="99" w:lineRule="exact"/>
              <w:rPr>
                <w:sz w:val="20"/>
                <w:szCs w:val="20"/>
                <w:color w:val="auto"/>
              </w:rPr>
            </w:pPr>
            <w:r>
              <w:rPr>
                <w:rFonts w:ascii="Arial" w:cs="Arial" w:eastAsia="Arial" w:hAnsi="Arial"/>
                <w:sz w:val="11"/>
                <w:szCs w:val="11"/>
                <w:b w:val="1"/>
                <w:bCs w:val="1"/>
                <w:color w:val="FFFFFF"/>
              </w:rPr>
              <w:t>System</w:t>
            </w:r>
          </w:p>
        </w:tc>
        <w:tc>
          <w:tcPr>
            <w:tcW w:w="640" w:type="dxa"/>
            <w:vAlign w:val="bottom"/>
            <w:gridSpan w:val="2"/>
            <w:shd w:val="clear" w:color="auto" w:fill="2AD2C9"/>
          </w:tcPr>
          <w:p>
            <w:pPr>
              <w:jc w:val="right"/>
              <w:ind w:right="283"/>
              <w:spacing w:after="0" w:line="99" w:lineRule="exact"/>
              <w:rPr>
                <w:sz w:val="20"/>
                <w:szCs w:val="20"/>
                <w:color w:val="auto"/>
              </w:rPr>
            </w:pPr>
            <w:r>
              <w:rPr>
                <w:rFonts w:ascii="Arial" w:cs="Arial" w:eastAsia="Arial" w:hAnsi="Arial"/>
                <w:sz w:val="11"/>
                <w:szCs w:val="11"/>
                <w:b w:val="1"/>
                <w:bCs w:val="1"/>
                <w:color w:val="FFFFFF"/>
              </w:rPr>
              <w:t>%</w:t>
            </w:r>
          </w:p>
        </w:tc>
        <w:tc>
          <w:tcPr>
            <w:tcW w:w="920" w:type="dxa"/>
            <w:vAlign w:val="bottom"/>
            <w:tcBorders>
              <w:right w:val="single" w:sz="8" w:color="2AD2C9"/>
            </w:tcBorders>
            <w:gridSpan w:val="2"/>
            <w:shd w:val="clear" w:color="auto" w:fill="2AD2C9"/>
          </w:tcPr>
          <w:p>
            <w:pPr>
              <w:jc w:val="right"/>
              <w:ind w:right="420"/>
              <w:spacing w:after="0" w:line="99" w:lineRule="exact"/>
              <w:rPr>
                <w:sz w:val="20"/>
                <w:szCs w:val="20"/>
                <w:color w:val="auto"/>
              </w:rPr>
            </w:pPr>
            <w:r>
              <w:rPr>
                <w:rFonts w:ascii="Arial" w:cs="Arial" w:eastAsia="Arial" w:hAnsi="Arial"/>
                <w:sz w:val="11"/>
                <w:szCs w:val="11"/>
                <w:b w:val="1"/>
                <w:bCs w:val="1"/>
                <w:color w:val="FFFFFF"/>
              </w:rPr>
              <w:t>Prima</w:t>
            </w:r>
          </w:p>
        </w:tc>
        <w:tc>
          <w:tcPr>
            <w:tcW w:w="780" w:type="dxa"/>
            <w:vAlign w:val="bottom"/>
            <w:shd w:val="clear" w:color="auto" w:fill="2AD2C9"/>
          </w:tcPr>
          <w:p>
            <w:pPr>
              <w:jc w:val="right"/>
              <w:ind w:right="223"/>
              <w:spacing w:after="0" w:line="99" w:lineRule="exact"/>
              <w:rPr>
                <w:sz w:val="20"/>
                <w:szCs w:val="20"/>
                <w:color w:val="auto"/>
              </w:rPr>
            </w:pPr>
            <w:r>
              <w:rPr>
                <w:rFonts w:ascii="Arial" w:cs="Arial" w:eastAsia="Arial" w:hAnsi="Arial"/>
                <w:sz w:val="11"/>
                <w:szCs w:val="11"/>
                <w:b w:val="1"/>
                <w:bCs w:val="1"/>
                <w:color w:val="FFFFFF"/>
              </w:rPr>
              <w:t>Prima</w:t>
            </w:r>
          </w:p>
        </w:tc>
        <w:tc>
          <w:tcPr>
            <w:tcW w:w="520" w:type="dxa"/>
            <w:vAlign w:val="bottom"/>
            <w:shd w:val="clear" w:color="auto" w:fill="2AD2C9"/>
          </w:tcPr>
          <w:p>
            <w:pPr>
              <w:ind w:left="120"/>
              <w:spacing w:after="0" w:line="99" w:lineRule="exact"/>
              <w:rPr>
                <w:sz w:val="20"/>
                <w:szCs w:val="20"/>
                <w:color w:val="auto"/>
              </w:rPr>
            </w:pPr>
            <w:r>
              <w:rPr>
                <w:rFonts w:ascii="Arial" w:cs="Arial" w:eastAsia="Arial" w:hAnsi="Arial"/>
                <w:sz w:val="11"/>
                <w:szCs w:val="11"/>
                <w:b w:val="1"/>
                <w:bCs w:val="1"/>
                <w:color w:val="FFFFFF"/>
              </w:rPr>
              <w:t>Prima</w:t>
            </w:r>
          </w:p>
        </w:tc>
        <w:tc>
          <w:tcPr>
            <w:tcW w:w="0" w:type="dxa"/>
            <w:vAlign w:val="bottom"/>
          </w:tcPr>
          <w:p>
            <w:pPr>
              <w:spacing w:after="0"/>
              <w:rPr>
                <w:sz w:val="1"/>
                <w:szCs w:val="1"/>
                <w:color w:val="auto"/>
              </w:rPr>
            </w:pPr>
          </w:p>
        </w:tc>
      </w:tr>
      <w:tr>
        <w:trPr>
          <w:trHeight w:val="122"/>
        </w:trPr>
        <w:tc>
          <w:tcPr>
            <w:tcW w:w="2360" w:type="dxa"/>
            <w:vAlign w:val="bottom"/>
            <w:tcBorders>
              <w:left w:val="single" w:sz="8" w:color="2AD2C9"/>
            </w:tcBorders>
            <w:vMerge w:val="continue"/>
            <w:shd w:val="clear" w:color="auto" w:fill="2AD2C9"/>
          </w:tcPr>
          <w:p>
            <w:pPr>
              <w:spacing w:after="0"/>
              <w:rPr>
                <w:sz w:val="10"/>
                <w:szCs w:val="10"/>
                <w:color w:val="auto"/>
              </w:rPr>
            </w:pPr>
          </w:p>
        </w:tc>
        <w:tc>
          <w:tcPr>
            <w:tcW w:w="760" w:type="dxa"/>
            <w:vAlign w:val="bottom"/>
            <w:gridSpan w:val="2"/>
            <w:shd w:val="clear" w:color="auto" w:fill="2AD2C9"/>
          </w:tcPr>
          <w:p>
            <w:pPr>
              <w:jc w:val="center"/>
              <w:ind w:left="383"/>
              <w:spacing w:after="0" w:line="122" w:lineRule="exact"/>
              <w:rPr>
                <w:sz w:val="20"/>
                <w:szCs w:val="20"/>
                <w:color w:val="auto"/>
              </w:rPr>
            </w:pPr>
            <w:r>
              <w:rPr>
                <w:rFonts w:ascii="Arial" w:cs="Arial" w:eastAsia="Arial" w:hAnsi="Arial"/>
                <w:sz w:val="11"/>
                <w:szCs w:val="11"/>
                <w:b w:val="1"/>
                <w:bCs w:val="1"/>
                <w:color w:val="FFFFFF"/>
              </w:rPr>
              <w:t>3Q23</w:t>
            </w:r>
          </w:p>
        </w:tc>
        <w:tc>
          <w:tcPr>
            <w:tcW w:w="760" w:type="dxa"/>
            <w:vAlign w:val="bottom"/>
            <w:tcBorders>
              <w:right w:val="single" w:sz="8" w:color="2AD2C9"/>
            </w:tcBorders>
            <w:shd w:val="clear" w:color="auto" w:fill="2AD2C9"/>
          </w:tcPr>
          <w:p>
            <w:pPr>
              <w:spacing w:after="0"/>
              <w:rPr>
                <w:sz w:val="10"/>
                <w:szCs w:val="10"/>
                <w:color w:val="auto"/>
              </w:rPr>
            </w:pPr>
          </w:p>
        </w:tc>
        <w:tc>
          <w:tcPr>
            <w:tcW w:w="1320" w:type="dxa"/>
            <w:vAlign w:val="bottom"/>
            <w:shd w:val="clear" w:color="auto" w:fill="2AD2C9"/>
          </w:tcPr>
          <w:p>
            <w:pPr>
              <w:jc w:val="right"/>
              <w:ind w:right="543"/>
              <w:spacing w:after="0" w:line="122" w:lineRule="exact"/>
              <w:rPr>
                <w:sz w:val="20"/>
                <w:szCs w:val="20"/>
                <w:color w:val="auto"/>
              </w:rPr>
            </w:pPr>
            <w:r>
              <w:rPr>
                <w:rFonts w:ascii="Arial" w:cs="Arial" w:eastAsia="Arial" w:hAnsi="Arial"/>
                <w:sz w:val="11"/>
                <w:szCs w:val="11"/>
                <w:b w:val="1"/>
                <w:bCs w:val="1"/>
                <w:color w:val="FFFFFF"/>
              </w:rPr>
              <w:t>3Q23</w:t>
            </w:r>
          </w:p>
        </w:tc>
        <w:tc>
          <w:tcPr>
            <w:tcW w:w="640" w:type="dxa"/>
            <w:vAlign w:val="bottom"/>
            <w:gridSpan w:val="2"/>
            <w:shd w:val="clear" w:color="auto" w:fill="2AD2C9"/>
          </w:tcPr>
          <w:p>
            <w:pPr>
              <w:jc w:val="right"/>
              <w:ind w:right="183"/>
              <w:spacing w:after="0" w:line="122" w:lineRule="exact"/>
              <w:rPr>
                <w:sz w:val="20"/>
                <w:szCs w:val="20"/>
                <w:color w:val="auto"/>
              </w:rPr>
            </w:pPr>
            <w:r>
              <w:rPr>
                <w:rFonts w:ascii="Arial" w:cs="Arial" w:eastAsia="Arial" w:hAnsi="Arial"/>
                <w:sz w:val="11"/>
                <w:szCs w:val="11"/>
                <w:b w:val="1"/>
                <w:bCs w:val="1"/>
                <w:color w:val="FFFFFF"/>
              </w:rPr>
              <w:t>share</w:t>
            </w:r>
          </w:p>
        </w:tc>
        <w:tc>
          <w:tcPr>
            <w:tcW w:w="920" w:type="dxa"/>
            <w:vAlign w:val="bottom"/>
            <w:tcBorders>
              <w:right w:val="single" w:sz="8" w:color="2AD2C9"/>
            </w:tcBorders>
            <w:gridSpan w:val="2"/>
            <w:shd w:val="clear" w:color="auto" w:fill="2AD2C9"/>
          </w:tcPr>
          <w:p>
            <w:pPr>
              <w:jc w:val="right"/>
              <w:ind w:right="440"/>
              <w:spacing w:after="0" w:line="122" w:lineRule="exact"/>
              <w:rPr>
                <w:sz w:val="20"/>
                <w:szCs w:val="20"/>
                <w:color w:val="auto"/>
              </w:rPr>
            </w:pPr>
            <w:r>
              <w:rPr>
                <w:rFonts w:ascii="Arial" w:cs="Arial" w:eastAsia="Arial" w:hAnsi="Arial"/>
                <w:sz w:val="11"/>
                <w:szCs w:val="11"/>
                <w:b w:val="1"/>
                <w:bCs w:val="1"/>
                <w:color w:val="FFFFFF"/>
              </w:rPr>
              <w:t>4Q23</w:t>
            </w:r>
          </w:p>
        </w:tc>
        <w:tc>
          <w:tcPr>
            <w:tcW w:w="780" w:type="dxa"/>
            <w:vAlign w:val="bottom"/>
            <w:shd w:val="clear" w:color="auto" w:fill="2AD2C9"/>
          </w:tcPr>
          <w:p>
            <w:pPr>
              <w:jc w:val="right"/>
              <w:ind w:right="243"/>
              <w:spacing w:after="0" w:line="122" w:lineRule="exact"/>
              <w:rPr>
                <w:sz w:val="20"/>
                <w:szCs w:val="20"/>
                <w:color w:val="auto"/>
              </w:rPr>
            </w:pPr>
            <w:r>
              <w:rPr>
                <w:rFonts w:ascii="Arial" w:cs="Arial" w:eastAsia="Arial" w:hAnsi="Arial"/>
                <w:sz w:val="11"/>
                <w:szCs w:val="11"/>
                <w:b w:val="1"/>
                <w:bCs w:val="1"/>
                <w:color w:val="FFFFFF"/>
              </w:rPr>
              <w:t>4Q23</w:t>
            </w:r>
          </w:p>
        </w:tc>
        <w:tc>
          <w:tcPr>
            <w:tcW w:w="520" w:type="dxa"/>
            <w:vAlign w:val="bottom"/>
            <w:shd w:val="clear" w:color="auto" w:fill="2AD2C9"/>
          </w:tcPr>
          <w:p>
            <w:pPr>
              <w:ind w:left="120"/>
              <w:spacing w:after="0" w:line="122" w:lineRule="exact"/>
              <w:rPr>
                <w:sz w:val="20"/>
                <w:szCs w:val="20"/>
                <w:color w:val="auto"/>
              </w:rPr>
            </w:pPr>
            <w:r>
              <w:rPr>
                <w:rFonts w:ascii="Arial" w:cs="Arial" w:eastAsia="Arial" w:hAnsi="Arial"/>
                <w:sz w:val="11"/>
                <w:szCs w:val="11"/>
                <w:b w:val="1"/>
                <w:bCs w:val="1"/>
                <w:color w:val="FFFFFF"/>
              </w:rPr>
              <w:t>4Q23</w:t>
            </w:r>
          </w:p>
        </w:tc>
        <w:tc>
          <w:tcPr>
            <w:tcW w:w="0" w:type="dxa"/>
            <w:vAlign w:val="bottom"/>
          </w:tcPr>
          <w:p>
            <w:pPr>
              <w:spacing w:after="0"/>
              <w:rPr>
                <w:sz w:val="1"/>
                <w:szCs w:val="1"/>
                <w:color w:val="auto"/>
              </w:rPr>
            </w:pPr>
          </w:p>
        </w:tc>
      </w:tr>
      <w:tr>
        <w:trPr>
          <w:trHeight w:val="137"/>
        </w:trPr>
        <w:tc>
          <w:tcPr>
            <w:tcW w:w="2360" w:type="dxa"/>
            <w:vAlign w:val="bottom"/>
            <w:tcBorders>
              <w:left w:val="single" w:sz="8" w:color="2AD2C9"/>
              <w:bottom w:val="single" w:sz="8" w:color="auto"/>
            </w:tcBorders>
            <w:shd w:val="clear" w:color="auto" w:fill="2AD2C9"/>
          </w:tcPr>
          <w:p>
            <w:pPr>
              <w:spacing w:after="0"/>
              <w:rPr>
                <w:sz w:val="11"/>
                <w:szCs w:val="11"/>
                <w:color w:val="auto"/>
              </w:rPr>
            </w:pPr>
          </w:p>
        </w:tc>
        <w:tc>
          <w:tcPr>
            <w:tcW w:w="740" w:type="dxa"/>
            <w:vAlign w:val="bottom"/>
            <w:tcBorders>
              <w:bottom w:val="single" w:sz="8" w:color="auto"/>
              <w:right w:val="single" w:sz="8" w:color="2AD2C9"/>
            </w:tcBorders>
            <w:shd w:val="clear" w:color="auto" w:fill="2AD2C9"/>
          </w:tcPr>
          <w:p>
            <w:pPr>
              <w:spacing w:after="0"/>
              <w:rPr>
                <w:sz w:val="11"/>
                <w:szCs w:val="11"/>
                <w:color w:val="auto"/>
              </w:rPr>
            </w:pPr>
          </w:p>
        </w:tc>
        <w:tc>
          <w:tcPr>
            <w:tcW w:w="20" w:type="dxa"/>
            <w:vAlign w:val="bottom"/>
            <w:tcBorders>
              <w:bottom w:val="single" w:sz="8" w:color="auto"/>
            </w:tcBorders>
            <w:shd w:val="clear" w:color="auto" w:fill="2AD2C9"/>
          </w:tcPr>
          <w:p>
            <w:pPr>
              <w:spacing w:after="0"/>
              <w:rPr>
                <w:sz w:val="11"/>
                <w:szCs w:val="11"/>
                <w:color w:val="auto"/>
              </w:rPr>
            </w:pPr>
          </w:p>
        </w:tc>
        <w:tc>
          <w:tcPr>
            <w:tcW w:w="760" w:type="dxa"/>
            <w:vAlign w:val="bottom"/>
            <w:tcBorders>
              <w:bottom w:val="single" w:sz="8" w:color="auto"/>
              <w:right w:val="single" w:sz="8" w:color="2AD2C9"/>
            </w:tcBorders>
            <w:shd w:val="clear" w:color="auto" w:fill="2AD2C9"/>
          </w:tcPr>
          <w:p>
            <w:pPr>
              <w:spacing w:after="0"/>
              <w:rPr>
                <w:sz w:val="11"/>
                <w:szCs w:val="11"/>
                <w:color w:val="auto"/>
              </w:rPr>
            </w:pPr>
          </w:p>
        </w:tc>
        <w:tc>
          <w:tcPr>
            <w:tcW w:w="1320" w:type="dxa"/>
            <w:vAlign w:val="bottom"/>
            <w:tcBorders>
              <w:bottom w:val="single" w:sz="8" w:color="auto"/>
            </w:tcBorders>
            <w:shd w:val="clear" w:color="auto" w:fill="2AD2C9"/>
          </w:tcPr>
          <w:p>
            <w:pPr>
              <w:spacing w:after="0"/>
              <w:rPr>
                <w:sz w:val="11"/>
                <w:szCs w:val="11"/>
                <w:color w:val="auto"/>
              </w:rPr>
            </w:pPr>
          </w:p>
        </w:tc>
        <w:tc>
          <w:tcPr>
            <w:tcW w:w="640" w:type="dxa"/>
            <w:vAlign w:val="bottom"/>
            <w:tcBorders>
              <w:bottom w:val="single" w:sz="8" w:color="auto"/>
            </w:tcBorders>
            <w:gridSpan w:val="2"/>
            <w:shd w:val="clear" w:color="auto" w:fill="2AD2C9"/>
          </w:tcPr>
          <w:p>
            <w:pPr>
              <w:jc w:val="right"/>
              <w:ind w:right="203"/>
              <w:spacing w:after="0"/>
              <w:rPr>
                <w:sz w:val="20"/>
                <w:szCs w:val="20"/>
                <w:color w:val="auto"/>
              </w:rPr>
            </w:pPr>
            <w:r>
              <w:rPr>
                <w:rFonts w:ascii="Arial" w:cs="Arial" w:eastAsia="Arial" w:hAnsi="Arial"/>
                <w:sz w:val="11"/>
                <w:szCs w:val="11"/>
                <w:b w:val="1"/>
                <w:bCs w:val="1"/>
                <w:color w:val="FFFFFF"/>
              </w:rPr>
              <w:t>3Q23</w:t>
            </w:r>
          </w:p>
        </w:tc>
        <w:tc>
          <w:tcPr>
            <w:tcW w:w="340" w:type="dxa"/>
            <w:vAlign w:val="bottom"/>
            <w:tcBorders>
              <w:bottom w:val="single" w:sz="8" w:color="auto"/>
              <w:right w:val="single" w:sz="8" w:color="2AD2C9"/>
            </w:tcBorders>
            <w:shd w:val="clear" w:color="auto" w:fill="2AD2C9"/>
          </w:tcPr>
          <w:p>
            <w:pPr>
              <w:spacing w:after="0"/>
              <w:rPr>
                <w:sz w:val="11"/>
                <w:szCs w:val="11"/>
                <w:color w:val="auto"/>
              </w:rPr>
            </w:pPr>
          </w:p>
        </w:tc>
        <w:tc>
          <w:tcPr>
            <w:tcW w:w="580" w:type="dxa"/>
            <w:vAlign w:val="bottom"/>
            <w:tcBorders>
              <w:bottom w:val="single" w:sz="8" w:color="auto"/>
              <w:right w:val="single" w:sz="8" w:color="2AD2C9"/>
            </w:tcBorders>
            <w:shd w:val="clear" w:color="auto" w:fill="2AD2C9"/>
          </w:tcPr>
          <w:p>
            <w:pPr>
              <w:spacing w:after="0"/>
              <w:rPr>
                <w:sz w:val="11"/>
                <w:szCs w:val="11"/>
                <w:color w:val="auto"/>
              </w:rPr>
            </w:pPr>
          </w:p>
        </w:tc>
        <w:tc>
          <w:tcPr>
            <w:tcW w:w="780" w:type="dxa"/>
            <w:vAlign w:val="bottom"/>
            <w:tcBorders>
              <w:bottom w:val="single" w:sz="8" w:color="auto"/>
            </w:tcBorders>
            <w:shd w:val="clear" w:color="auto" w:fill="2AD2C9"/>
          </w:tcPr>
          <w:p>
            <w:pPr>
              <w:spacing w:after="0"/>
              <w:rPr>
                <w:sz w:val="11"/>
                <w:szCs w:val="11"/>
                <w:color w:val="auto"/>
              </w:rPr>
            </w:pPr>
          </w:p>
        </w:tc>
        <w:tc>
          <w:tcPr>
            <w:tcW w:w="520" w:type="dxa"/>
            <w:vAlign w:val="bottom"/>
            <w:tcBorders>
              <w:bottom w:val="single" w:sz="8" w:color="auto"/>
            </w:tcBorders>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360" w:type="dxa"/>
            <w:vAlign w:val="bottom"/>
          </w:tcPr>
          <w:p>
            <w:pPr>
              <w:ind w:left="100"/>
              <w:spacing w:after="0" w:line="99" w:lineRule="exact"/>
              <w:rPr>
                <w:sz w:val="20"/>
                <w:szCs w:val="20"/>
                <w:color w:val="auto"/>
              </w:rPr>
            </w:pPr>
            <w:r>
              <w:rPr>
                <w:rFonts w:ascii="Arial" w:cs="Arial" w:eastAsia="Arial" w:hAnsi="Arial"/>
                <w:sz w:val="11"/>
                <w:szCs w:val="11"/>
                <w:color w:val="auto"/>
              </w:rPr>
              <w:t>Affiliates</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jc w:val="right"/>
              <w:ind w:right="163"/>
              <w:spacing w:after="0" w:line="99" w:lineRule="exact"/>
              <w:rPr>
                <w:sz w:val="20"/>
                <w:szCs w:val="20"/>
                <w:color w:val="auto"/>
              </w:rPr>
            </w:pPr>
            <w:r>
              <w:rPr>
                <w:rFonts w:ascii="Arial" w:cs="Arial" w:eastAsia="Arial" w:hAnsi="Arial"/>
                <w:sz w:val="11"/>
                <w:szCs w:val="11"/>
                <w:color w:val="auto"/>
              </w:rPr>
              <w:t>2,342,210</w:t>
            </w:r>
          </w:p>
        </w:tc>
        <w:tc>
          <w:tcPr>
            <w:tcW w:w="1320" w:type="dxa"/>
            <w:vAlign w:val="bottom"/>
          </w:tcPr>
          <w:p>
            <w:pPr>
              <w:jc w:val="right"/>
              <w:ind w:right="43"/>
              <w:spacing w:after="0" w:line="99" w:lineRule="exact"/>
              <w:rPr>
                <w:sz w:val="20"/>
                <w:szCs w:val="20"/>
                <w:color w:val="auto"/>
              </w:rPr>
            </w:pPr>
            <w:r>
              <w:rPr>
                <w:rFonts w:ascii="Arial" w:cs="Arial" w:eastAsia="Arial" w:hAnsi="Arial"/>
                <w:sz w:val="11"/>
                <w:szCs w:val="11"/>
                <w:color w:val="auto"/>
              </w:rPr>
              <w:t>9,183,319</w:t>
            </w:r>
          </w:p>
        </w:tc>
        <w:tc>
          <w:tcPr>
            <w:tcW w:w="640" w:type="dxa"/>
            <w:vAlign w:val="bottom"/>
            <w:gridSpan w:val="2"/>
          </w:tcPr>
          <w:p>
            <w:pPr>
              <w:jc w:val="right"/>
              <w:ind w:right="183"/>
              <w:spacing w:after="0" w:line="99" w:lineRule="exact"/>
              <w:rPr>
                <w:sz w:val="20"/>
                <w:szCs w:val="20"/>
                <w:color w:val="auto"/>
              </w:rPr>
            </w:pPr>
            <w:r>
              <w:rPr>
                <w:rFonts w:ascii="Arial" w:cs="Arial" w:eastAsia="Arial" w:hAnsi="Arial"/>
                <w:sz w:val="11"/>
                <w:szCs w:val="11"/>
                <w:color w:val="auto"/>
              </w:rPr>
              <w:t>25.5%</w:t>
            </w:r>
          </w:p>
        </w:tc>
        <w:tc>
          <w:tcPr>
            <w:tcW w:w="920" w:type="dxa"/>
            <w:vAlign w:val="bottom"/>
            <w:gridSpan w:val="2"/>
          </w:tcPr>
          <w:p>
            <w:pPr>
              <w:jc w:val="right"/>
              <w:ind w:right="200"/>
              <w:spacing w:after="0" w:line="99" w:lineRule="exact"/>
              <w:rPr>
                <w:sz w:val="20"/>
                <w:szCs w:val="20"/>
                <w:color w:val="auto"/>
              </w:rPr>
            </w:pPr>
            <w:r>
              <w:rPr>
                <w:rFonts w:ascii="Arial" w:cs="Arial" w:eastAsia="Arial" w:hAnsi="Arial"/>
                <w:sz w:val="11"/>
                <w:szCs w:val="11"/>
                <w:color w:val="auto"/>
              </w:rPr>
              <w:t>2,342,422</w:t>
            </w:r>
          </w:p>
        </w:tc>
        <w:tc>
          <w:tcPr>
            <w:tcW w:w="780" w:type="dxa"/>
            <w:vAlign w:val="bottom"/>
          </w:tcPr>
          <w:p>
            <w:pPr>
              <w:jc w:val="right"/>
              <w:ind w:right="43"/>
              <w:spacing w:after="0" w:line="99" w:lineRule="exact"/>
              <w:rPr>
                <w:sz w:val="20"/>
                <w:szCs w:val="20"/>
                <w:color w:val="auto"/>
              </w:rPr>
            </w:pPr>
            <w:r>
              <w:rPr>
                <w:rFonts w:ascii="Arial" w:cs="Arial" w:eastAsia="Arial" w:hAnsi="Arial"/>
                <w:sz w:val="11"/>
                <w:szCs w:val="11"/>
                <w:color w:val="auto"/>
              </w:rPr>
              <w:t>-</w:t>
            </w:r>
          </w:p>
        </w:tc>
        <w:tc>
          <w:tcPr>
            <w:tcW w:w="520" w:type="dxa"/>
            <w:vAlign w:val="bottom"/>
          </w:tcPr>
          <w:p>
            <w:pPr>
              <w:jc w:val="right"/>
              <w:ind w:right="43"/>
              <w:spacing w:after="0" w:line="99" w:lineRule="exact"/>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22"/>
        </w:trPr>
        <w:tc>
          <w:tcPr>
            <w:tcW w:w="2360" w:type="dxa"/>
            <w:vAlign w:val="bottom"/>
          </w:tcPr>
          <w:p>
            <w:pPr>
              <w:ind w:left="100"/>
              <w:spacing w:after="0" w:line="122" w:lineRule="exact"/>
              <w:rPr>
                <w:sz w:val="20"/>
                <w:szCs w:val="20"/>
                <w:color w:val="auto"/>
              </w:rPr>
            </w:pPr>
            <w:r>
              <w:rPr>
                <w:rFonts w:ascii="Arial" w:cs="Arial" w:eastAsia="Arial" w:hAnsi="Arial"/>
                <w:sz w:val="11"/>
                <w:szCs w:val="11"/>
                <w:color w:val="auto"/>
              </w:rPr>
              <w:t>New affiliations</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jc w:val="right"/>
              <w:ind w:right="263"/>
              <w:spacing w:after="0" w:line="122" w:lineRule="exact"/>
              <w:rPr>
                <w:sz w:val="20"/>
                <w:szCs w:val="20"/>
                <w:color w:val="auto"/>
              </w:rPr>
            </w:pPr>
            <w:r>
              <w:rPr>
                <w:rFonts w:ascii="Arial" w:cs="Arial" w:eastAsia="Arial" w:hAnsi="Arial"/>
                <w:sz w:val="11"/>
                <w:szCs w:val="11"/>
                <w:color w:val="auto"/>
              </w:rPr>
              <w:t>-</w:t>
            </w:r>
          </w:p>
        </w:tc>
        <w:tc>
          <w:tcPr>
            <w:tcW w:w="1320" w:type="dxa"/>
            <w:vAlign w:val="bottom"/>
          </w:tcPr>
          <w:p>
            <w:pPr>
              <w:ind w:left="760"/>
              <w:spacing w:after="0" w:line="122" w:lineRule="exact"/>
              <w:rPr>
                <w:sz w:val="20"/>
                <w:szCs w:val="20"/>
                <w:color w:val="auto"/>
              </w:rPr>
            </w:pPr>
            <w:r>
              <w:rPr>
                <w:rFonts w:ascii="Arial" w:cs="Arial" w:eastAsia="Arial" w:hAnsi="Arial"/>
                <w:sz w:val="11"/>
                <w:szCs w:val="11"/>
                <w:color w:val="auto"/>
              </w:rPr>
              <w:t>123,295</w:t>
            </w:r>
          </w:p>
        </w:tc>
        <w:tc>
          <w:tcPr>
            <w:tcW w:w="640" w:type="dxa"/>
            <w:vAlign w:val="bottom"/>
            <w:gridSpan w:val="2"/>
          </w:tcPr>
          <w:p>
            <w:pPr>
              <w:jc w:val="right"/>
              <w:ind w:right="183"/>
              <w:spacing w:after="0" w:line="122" w:lineRule="exact"/>
              <w:rPr>
                <w:sz w:val="20"/>
                <w:szCs w:val="20"/>
                <w:color w:val="auto"/>
              </w:rPr>
            </w:pPr>
            <w:r>
              <w:rPr>
                <w:rFonts w:ascii="Arial" w:cs="Arial" w:eastAsia="Arial" w:hAnsi="Arial"/>
                <w:sz w:val="11"/>
                <w:szCs w:val="11"/>
                <w:color w:val="auto"/>
              </w:rPr>
              <w:t>0.0%</w:t>
            </w:r>
          </w:p>
        </w:tc>
        <w:tc>
          <w:tcPr>
            <w:tcW w:w="9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107,451</w:t>
            </w: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360" w:type="dxa"/>
            <w:vAlign w:val="bottom"/>
          </w:tcPr>
          <w:p>
            <w:pPr>
              <w:ind w:left="100"/>
              <w:spacing w:after="0" w:line="122" w:lineRule="exact"/>
              <w:rPr>
                <w:sz w:val="20"/>
                <w:szCs w:val="20"/>
                <w:color w:val="auto"/>
              </w:rPr>
            </w:pPr>
            <w:r>
              <w:rPr>
                <w:rFonts w:ascii="Arial" w:cs="Arial" w:eastAsia="Arial" w:hAnsi="Arial"/>
                <w:sz w:val="11"/>
                <w:szCs w:val="11"/>
                <w:color w:val="auto"/>
              </w:rPr>
              <w:t>Funds under management (S/ Millions)</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jc w:val="right"/>
              <w:ind w:right="243"/>
              <w:spacing w:after="0" w:line="122" w:lineRule="exact"/>
              <w:rPr>
                <w:sz w:val="20"/>
                <w:szCs w:val="20"/>
                <w:color w:val="auto"/>
              </w:rPr>
            </w:pPr>
            <w:r>
              <w:rPr>
                <w:rFonts w:ascii="Arial" w:cs="Arial" w:eastAsia="Arial" w:hAnsi="Arial"/>
                <w:sz w:val="11"/>
                <w:szCs w:val="11"/>
                <w:color w:val="auto"/>
              </w:rPr>
              <w:t>34,655</w:t>
            </w:r>
          </w:p>
        </w:tc>
        <w:tc>
          <w:tcPr>
            <w:tcW w:w="1320" w:type="dxa"/>
            <w:vAlign w:val="bottom"/>
          </w:tcPr>
          <w:p>
            <w:pPr>
              <w:ind w:left="760"/>
              <w:spacing w:after="0" w:line="122" w:lineRule="exact"/>
              <w:rPr>
                <w:sz w:val="20"/>
                <w:szCs w:val="20"/>
                <w:color w:val="auto"/>
              </w:rPr>
            </w:pPr>
            <w:r>
              <w:rPr>
                <w:rFonts w:ascii="Arial" w:cs="Arial" w:eastAsia="Arial" w:hAnsi="Arial"/>
                <w:sz w:val="11"/>
                <w:szCs w:val="11"/>
                <w:color w:val="auto"/>
              </w:rPr>
              <w:t>115,565</w:t>
            </w:r>
          </w:p>
        </w:tc>
        <w:tc>
          <w:tcPr>
            <w:tcW w:w="640" w:type="dxa"/>
            <w:vAlign w:val="bottom"/>
            <w:gridSpan w:val="2"/>
          </w:tcPr>
          <w:p>
            <w:pPr>
              <w:jc w:val="right"/>
              <w:ind w:right="183"/>
              <w:spacing w:after="0" w:line="122" w:lineRule="exact"/>
              <w:rPr>
                <w:sz w:val="20"/>
                <w:szCs w:val="20"/>
                <w:color w:val="auto"/>
              </w:rPr>
            </w:pPr>
            <w:r>
              <w:rPr>
                <w:rFonts w:ascii="Arial" w:cs="Arial" w:eastAsia="Arial" w:hAnsi="Arial"/>
                <w:sz w:val="11"/>
                <w:szCs w:val="11"/>
                <w:color w:val="auto"/>
              </w:rPr>
              <w:t>30.0%</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36,851</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122,806</w:t>
            </w: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122"/>
        </w:trPr>
        <w:tc>
          <w:tcPr>
            <w:tcW w:w="2360" w:type="dxa"/>
            <w:vAlign w:val="bottom"/>
          </w:tcPr>
          <w:p>
            <w:pPr>
              <w:ind w:left="100"/>
              <w:spacing w:after="0" w:line="122" w:lineRule="exact"/>
              <w:rPr>
                <w:sz w:val="20"/>
                <w:szCs w:val="20"/>
                <w:color w:val="auto"/>
              </w:rPr>
            </w:pPr>
            <w:r>
              <w:rPr>
                <w:rFonts w:ascii="Arial" w:cs="Arial" w:eastAsia="Arial" w:hAnsi="Arial"/>
                <w:sz w:val="11"/>
                <w:szCs w:val="11"/>
                <w:color w:val="auto"/>
              </w:rPr>
              <w:t>Collections (S/ Millions)</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jc w:val="right"/>
              <w:ind w:right="203"/>
              <w:spacing w:after="0" w:line="122" w:lineRule="exact"/>
              <w:rPr>
                <w:sz w:val="20"/>
                <w:szCs w:val="20"/>
                <w:color w:val="auto"/>
              </w:rPr>
            </w:pPr>
            <w:r>
              <w:rPr>
                <w:rFonts w:ascii="Arial" w:cs="Arial" w:eastAsia="Arial" w:hAnsi="Arial"/>
                <w:sz w:val="11"/>
                <w:szCs w:val="11"/>
                <w:color w:val="auto"/>
              </w:rPr>
              <w:t>997</w:t>
            </w:r>
          </w:p>
        </w:tc>
        <w:tc>
          <w:tcPr>
            <w:tcW w:w="13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3,690</w:t>
            </w:r>
          </w:p>
        </w:tc>
        <w:tc>
          <w:tcPr>
            <w:tcW w:w="640" w:type="dxa"/>
            <w:vAlign w:val="bottom"/>
            <w:gridSpan w:val="2"/>
          </w:tcPr>
          <w:p>
            <w:pPr>
              <w:jc w:val="right"/>
              <w:ind w:right="183"/>
              <w:spacing w:after="0" w:line="122" w:lineRule="exact"/>
              <w:rPr>
                <w:sz w:val="20"/>
                <w:szCs w:val="20"/>
                <w:color w:val="auto"/>
              </w:rPr>
            </w:pPr>
            <w:r>
              <w:rPr>
                <w:rFonts w:ascii="Arial" w:cs="Arial" w:eastAsia="Arial" w:hAnsi="Arial"/>
                <w:sz w:val="11"/>
                <w:szCs w:val="11"/>
                <w:color w:val="auto"/>
              </w:rPr>
              <w:t>27.0%</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1,030</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3,783</w:t>
            </w: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22"/>
        </w:trPr>
        <w:tc>
          <w:tcPr>
            <w:tcW w:w="2360" w:type="dxa"/>
            <w:vAlign w:val="bottom"/>
          </w:tcPr>
          <w:p>
            <w:pPr>
              <w:ind w:left="100"/>
              <w:spacing w:after="0" w:line="122" w:lineRule="exact"/>
              <w:rPr>
                <w:sz w:val="20"/>
                <w:szCs w:val="20"/>
                <w:color w:val="auto"/>
              </w:rPr>
            </w:pPr>
            <w:r>
              <w:rPr>
                <w:rFonts w:ascii="Arial" w:cs="Arial" w:eastAsia="Arial" w:hAnsi="Arial"/>
                <w:sz w:val="11"/>
                <w:szCs w:val="11"/>
                <w:color w:val="auto"/>
              </w:rPr>
              <w:t>Voluntary contributions (S/ Millions)</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jc w:val="right"/>
              <w:ind w:right="203"/>
              <w:spacing w:after="0" w:line="122" w:lineRule="exact"/>
              <w:rPr>
                <w:sz w:val="20"/>
                <w:szCs w:val="20"/>
                <w:color w:val="auto"/>
              </w:rPr>
            </w:pPr>
            <w:r>
              <w:rPr>
                <w:rFonts w:ascii="Arial" w:cs="Arial" w:eastAsia="Arial" w:hAnsi="Arial"/>
                <w:sz w:val="11"/>
                <w:szCs w:val="11"/>
                <w:color w:val="auto"/>
              </w:rPr>
              <w:t>814</w:t>
            </w:r>
          </w:p>
        </w:tc>
        <w:tc>
          <w:tcPr>
            <w:tcW w:w="13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2,009</w:t>
            </w:r>
          </w:p>
        </w:tc>
        <w:tc>
          <w:tcPr>
            <w:tcW w:w="640" w:type="dxa"/>
            <w:vAlign w:val="bottom"/>
            <w:gridSpan w:val="2"/>
          </w:tcPr>
          <w:p>
            <w:pPr>
              <w:jc w:val="right"/>
              <w:ind w:right="183"/>
              <w:spacing w:after="0" w:line="122" w:lineRule="exact"/>
              <w:rPr>
                <w:sz w:val="20"/>
                <w:szCs w:val="20"/>
                <w:color w:val="auto"/>
              </w:rPr>
            </w:pPr>
            <w:r>
              <w:rPr>
                <w:rFonts w:ascii="Arial" w:cs="Arial" w:eastAsia="Arial" w:hAnsi="Arial"/>
                <w:sz w:val="11"/>
                <w:szCs w:val="11"/>
                <w:color w:val="auto"/>
              </w:rPr>
              <w:t>40.9%</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817</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1,945</w:t>
            </w: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44"/>
        </w:trPr>
        <w:tc>
          <w:tcPr>
            <w:tcW w:w="2360" w:type="dxa"/>
            <w:vAlign w:val="bottom"/>
          </w:tcPr>
          <w:p>
            <w:pPr>
              <w:ind w:left="100"/>
              <w:spacing w:after="0"/>
              <w:rPr>
                <w:sz w:val="20"/>
                <w:szCs w:val="20"/>
                <w:color w:val="auto"/>
              </w:rPr>
            </w:pPr>
            <w:r>
              <w:rPr>
                <w:rFonts w:ascii="Arial" w:cs="Arial" w:eastAsia="Arial" w:hAnsi="Arial"/>
                <w:sz w:val="11"/>
                <w:szCs w:val="11"/>
                <w:color w:val="auto"/>
              </w:rPr>
              <w:t>RAM Flow (S/ Millions) (3)</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ind w:right="243"/>
              <w:spacing w:after="0"/>
              <w:rPr>
                <w:sz w:val="20"/>
                <w:szCs w:val="20"/>
                <w:color w:val="auto"/>
              </w:rPr>
            </w:pPr>
            <w:r>
              <w:rPr>
                <w:rFonts w:ascii="Arial" w:cs="Arial" w:eastAsia="Arial" w:hAnsi="Arial"/>
                <w:sz w:val="11"/>
                <w:szCs w:val="11"/>
                <w:color w:val="auto"/>
              </w:rPr>
              <w:t>1,383</w:t>
            </w:r>
          </w:p>
        </w:tc>
        <w:tc>
          <w:tcPr>
            <w:tcW w:w="1320" w:type="dxa"/>
            <w:vAlign w:val="bottom"/>
          </w:tcPr>
          <w:p>
            <w:pPr>
              <w:jc w:val="right"/>
              <w:ind w:right="43"/>
              <w:spacing w:after="0"/>
              <w:rPr>
                <w:sz w:val="20"/>
                <w:szCs w:val="20"/>
                <w:color w:val="auto"/>
              </w:rPr>
            </w:pPr>
            <w:r>
              <w:rPr>
                <w:rFonts w:ascii="Arial" w:cs="Arial" w:eastAsia="Arial" w:hAnsi="Arial"/>
                <w:sz w:val="11"/>
                <w:szCs w:val="11"/>
                <w:color w:val="auto"/>
              </w:rPr>
              <w:t>4,571</w:t>
            </w:r>
          </w:p>
        </w:tc>
        <w:tc>
          <w:tcPr>
            <w:tcW w:w="640" w:type="dxa"/>
            <w:vAlign w:val="bottom"/>
            <w:gridSpan w:val="2"/>
          </w:tcPr>
          <w:p>
            <w:pPr>
              <w:jc w:val="right"/>
              <w:ind w:right="183"/>
              <w:spacing w:after="0"/>
              <w:rPr>
                <w:sz w:val="20"/>
                <w:szCs w:val="20"/>
                <w:color w:val="auto"/>
              </w:rPr>
            </w:pPr>
            <w:r>
              <w:rPr>
                <w:rFonts w:ascii="Arial" w:cs="Arial" w:eastAsia="Arial" w:hAnsi="Arial"/>
                <w:sz w:val="11"/>
                <w:szCs w:val="11"/>
                <w:color w:val="auto"/>
              </w:rPr>
              <w:t>30.3%</w:t>
            </w: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auto"/>
              </w:rPr>
              <w:t>1,399</w:t>
            </w: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4,627</w:t>
            </w: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-715645</wp:posOffset>
            </wp:positionV>
            <wp:extent cx="5125085" cy="7200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25085" cy="720090"/>
                    </a:xfrm>
                    <a:prstGeom prst="rect">
                      <a:avLst/>
                    </a:prstGeom>
                    <a:noFill/>
                  </pic:spPr>
                </pic:pic>
              </a:graphicData>
            </a:graphic>
          </wp:anchor>
        </w:drawing>
      </w:r>
    </w:p>
    <w:p>
      <w:pPr>
        <w:ind w:left="2"/>
        <w:spacing w:after="0" w:line="231" w:lineRule="auto"/>
        <w:rPr>
          <w:sz w:val="20"/>
          <w:szCs w:val="20"/>
          <w:color w:val="auto"/>
        </w:rPr>
      </w:pPr>
      <w:r>
        <w:rPr>
          <w:rFonts w:ascii="Arial" w:cs="Arial" w:eastAsia="Arial" w:hAnsi="Arial"/>
          <w:sz w:val="11"/>
          <w:szCs w:val="11"/>
          <w:color w:val="auto"/>
        </w:rPr>
        <w:t>Source: SBS</w:t>
      </w:r>
    </w:p>
    <w:p>
      <w:pPr>
        <w:ind w:left="2"/>
        <w:spacing w:after="0"/>
        <w:rPr>
          <w:sz w:val="20"/>
          <w:szCs w:val="20"/>
          <w:color w:val="auto"/>
        </w:rPr>
      </w:pPr>
      <w:r>
        <w:rPr>
          <w:rFonts w:ascii="Arial" w:cs="Arial" w:eastAsia="Arial" w:hAnsi="Arial"/>
          <w:sz w:val="11"/>
          <w:szCs w:val="11"/>
          <w:color w:val="auto"/>
        </w:rPr>
        <w:t>(1) Prima AFP estimate: Average of aggregated income for flow during the last 4 months.</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2"/>
          </w:cols>
          <w:pgMar w:left="318" w:top="313" w:right="319" w:bottom="1440" w:gutter="0" w:footer="0" w:header="0"/>
        </w:sectPr>
      </w:pPr>
    </w:p>
    <w:bookmarkStart w:id="77" w:name="page78"/>
    <w:bookmarkEnd w:id="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2460" w:type="dxa"/>
            <w:vAlign w:val="bottom"/>
            <w:tcBorders>
              <w:left w:val="single" w:sz="8" w:color="auto"/>
            </w:tcBorders>
            <w:shd w:val="clear" w:color="auto" w:fill="000000"/>
          </w:tcPr>
          <w:p>
            <w:pPr>
              <w:spacing w:after="0"/>
              <w:rPr>
                <w:sz w:val="24"/>
                <w:szCs w:val="24"/>
                <w:color w:val="auto"/>
              </w:rPr>
            </w:pPr>
          </w:p>
        </w:tc>
        <w:tc>
          <w:tcPr>
            <w:tcW w:w="3080" w:type="dxa"/>
            <w:vAlign w:val="bottom"/>
            <w:gridSpan w:val="4"/>
            <w:shd w:val="clear" w:color="auto" w:fill="000000"/>
          </w:tcPr>
          <w:p>
            <w:pPr>
              <w:ind w:left="26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1300" w:type="dxa"/>
            <w:vAlign w:val="bottom"/>
            <w:tcBorders>
              <w:right w:val="single" w:sz="8" w:color="auto"/>
            </w:tcBorders>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3760" w:type="dxa"/>
            <w:vAlign w:val="bottom"/>
            <w:gridSpan w:val="6"/>
            <w:shd w:val="clear" w:color="auto" w:fill="000000"/>
          </w:tcPr>
          <w:p>
            <w:pPr>
              <w:ind w:left="20"/>
              <w:spacing w:after="0"/>
              <w:rPr>
                <w:sz w:val="20"/>
                <w:szCs w:val="20"/>
                <w:color w:val="auto"/>
              </w:rPr>
            </w:pPr>
            <w:r>
              <w:rPr>
                <w:rFonts w:ascii="Arial" w:cs="Arial" w:eastAsia="Arial" w:hAnsi="Arial"/>
                <w:sz w:val="18"/>
                <w:szCs w:val="18"/>
                <w:b w:val="1"/>
                <w:bCs w:val="1"/>
                <w:color w:val="E93BAC"/>
              </w:rPr>
              <w:t>Analysis of 4Q23 Consolidated Results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60" w:type="dxa"/>
            <w:vAlign w:val="bottom"/>
            <w:tcBorders>
              <w:left w:val="single" w:sz="8" w:color="auto"/>
            </w:tcBorders>
            <w:shd w:val="clear" w:color="auto" w:fill="000000"/>
          </w:tcPr>
          <w:p>
            <w:pPr>
              <w:spacing w:after="0"/>
              <w:rPr>
                <w:sz w:val="17"/>
                <w:szCs w:val="17"/>
                <w:color w:val="auto"/>
              </w:rPr>
            </w:pPr>
          </w:p>
        </w:tc>
        <w:tc>
          <w:tcPr>
            <w:tcW w:w="1160" w:type="dxa"/>
            <w:vAlign w:val="bottom"/>
            <w:tcBorders>
              <w:right w:val="single" w:sz="8" w:color="auto"/>
            </w:tcBorders>
            <w:shd w:val="clear" w:color="auto" w:fill="000000"/>
          </w:tcPr>
          <w:p>
            <w:pPr>
              <w:spacing w:after="0"/>
              <w:rPr>
                <w:sz w:val="17"/>
                <w:szCs w:val="17"/>
                <w:color w:val="auto"/>
              </w:rPr>
            </w:pPr>
          </w:p>
        </w:tc>
        <w:tc>
          <w:tcPr>
            <w:tcW w:w="460" w:type="dxa"/>
            <w:vAlign w:val="bottom"/>
            <w:tcBorders>
              <w:right w:val="single" w:sz="8" w:color="auto"/>
            </w:tcBorders>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1300" w:type="dxa"/>
            <w:vAlign w:val="bottom"/>
            <w:tcBorders>
              <w:right w:val="single" w:sz="8" w:color="auto"/>
            </w:tcBorders>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220" w:type="dxa"/>
            <w:vAlign w:val="bottom"/>
            <w:tcBorders>
              <w:right w:val="single" w:sz="8" w:color="auto"/>
            </w:tcBorders>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90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460" w:type="dxa"/>
            <w:vAlign w:val="bottom"/>
            <w:tcBorders>
              <w:left w:val="single" w:sz="8" w:color="E93BAB"/>
            </w:tcBorders>
            <w:shd w:val="clear" w:color="auto" w:fill="E93BAB"/>
          </w:tcPr>
          <w:p>
            <w:pPr>
              <w:ind w:left="40"/>
              <w:spacing w:after="0"/>
              <w:rPr>
                <w:sz w:val="20"/>
                <w:szCs w:val="20"/>
                <w:color w:val="auto"/>
              </w:rPr>
            </w:pPr>
            <w:r>
              <w:rPr>
                <w:rFonts w:ascii="Arial" w:cs="Arial" w:eastAsia="Arial" w:hAnsi="Arial"/>
                <w:sz w:val="18"/>
                <w:szCs w:val="18"/>
                <w:b w:val="1"/>
                <w:bCs w:val="1"/>
                <w:color w:val="FFFFFF"/>
              </w:rPr>
              <w:t>12. Appendix</w:t>
            </w:r>
          </w:p>
        </w:tc>
        <w:tc>
          <w:tcPr>
            <w:tcW w:w="1160" w:type="dxa"/>
            <w:vAlign w:val="bottom"/>
            <w:tcBorders>
              <w:right w:val="single" w:sz="8" w:color="E93BAB"/>
            </w:tcBorders>
            <w:shd w:val="clear" w:color="auto" w:fill="E93BAB"/>
          </w:tcPr>
          <w:p>
            <w:pPr>
              <w:spacing w:after="0"/>
              <w:rPr>
                <w:sz w:val="24"/>
                <w:szCs w:val="24"/>
                <w:color w:val="auto"/>
              </w:rPr>
            </w:pPr>
          </w:p>
        </w:tc>
        <w:tc>
          <w:tcPr>
            <w:tcW w:w="460" w:type="dxa"/>
            <w:vAlign w:val="bottom"/>
            <w:tcBorders>
              <w:right w:val="single" w:sz="8" w:color="E93BAB"/>
            </w:tcBorders>
            <w:shd w:val="clear" w:color="auto" w:fill="E93BAB"/>
          </w:tcPr>
          <w:p>
            <w:pPr>
              <w:spacing w:after="0"/>
              <w:rPr>
                <w:sz w:val="24"/>
                <w:szCs w:val="24"/>
                <w:color w:val="auto"/>
              </w:rPr>
            </w:pPr>
          </w:p>
        </w:tc>
        <w:tc>
          <w:tcPr>
            <w:tcW w:w="300" w:type="dxa"/>
            <w:vAlign w:val="bottom"/>
            <w:shd w:val="clear" w:color="auto" w:fill="E93BAB"/>
          </w:tcPr>
          <w:p>
            <w:pPr>
              <w:spacing w:after="0"/>
              <w:rPr>
                <w:sz w:val="24"/>
                <w:szCs w:val="24"/>
                <w:color w:val="auto"/>
              </w:rPr>
            </w:pPr>
          </w:p>
        </w:tc>
        <w:tc>
          <w:tcPr>
            <w:tcW w:w="1160" w:type="dxa"/>
            <w:vAlign w:val="bottom"/>
            <w:shd w:val="clear" w:color="auto" w:fill="E93BAB"/>
          </w:tcPr>
          <w:p>
            <w:pPr>
              <w:spacing w:after="0"/>
              <w:rPr>
                <w:sz w:val="24"/>
                <w:szCs w:val="24"/>
                <w:color w:val="auto"/>
              </w:rPr>
            </w:pPr>
          </w:p>
        </w:tc>
        <w:tc>
          <w:tcPr>
            <w:tcW w:w="1300" w:type="dxa"/>
            <w:vAlign w:val="bottom"/>
            <w:tcBorders>
              <w:right w:val="single" w:sz="8" w:color="E93BAB"/>
            </w:tcBorders>
            <w:shd w:val="clear" w:color="auto" w:fill="E93BAB"/>
          </w:tcPr>
          <w:p>
            <w:pPr>
              <w:spacing w:after="0"/>
              <w:rPr>
                <w:sz w:val="24"/>
                <w:szCs w:val="24"/>
                <w:color w:val="auto"/>
              </w:rPr>
            </w:pPr>
          </w:p>
        </w:tc>
        <w:tc>
          <w:tcPr>
            <w:tcW w:w="660" w:type="dxa"/>
            <w:vAlign w:val="bottom"/>
            <w:shd w:val="clear" w:color="auto" w:fill="E93BAB"/>
          </w:tcPr>
          <w:p>
            <w:pPr>
              <w:spacing w:after="0"/>
              <w:rPr>
                <w:sz w:val="24"/>
                <w:szCs w:val="24"/>
                <w:color w:val="auto"/>
              </w:rPr>
            </w:pPr>
          </w:p>
        </w:tc>
        <w:tc>
          <w:tcPr>
            <w:tcW w:w="220" w:type="dxa"/>
            <w:vAlign w:val="bottom"/>
            <w:tcBorders>
              <w:right w:val="single" w:sz="8" w:color="E93BAB"/>
            </w:tcBorders>
            <w:shd w:val="clear" w:color="auto" w:fill="E93BAB"/>
          </w:tcPr>
          <w:p>
            <w:pPr>
              <w:spacing w:after="0"/>
              <w:rPr>
                <w:sz w:val="24"/>
                <w:szCs w:val="24"/>
                <w:color w:val="auto"/>
              </w:rPr>
            </w:pPr>
          </w:p>
        </w:tc>
        <w:tc>
          <w:tcPr>
            <w:tcW w:w="880" w:type="dxa"/>
            <w:vAlign w:val="bottom"/>
            <w:shd w:val="clear" w:color="auto" w:fill="E93BAB"/>
          </w:tcPr>
          <w:p>
            <w:pPr>
              <w:spacing w:after="0"/>
              <w:rPr>
                <w:sz w:val="24"/>
                <w:szCs w:val="24"/>
                <w:color w:val="auto"/>
              </w:rPr>
            </w:pPr>
          </w:p>
        </w:tc>
        <w:tc>
          <w:tcPr>
            <w:tcW w:w="320" w:type="dxa"/>
            <w:vAlign w:val="bottom"/>
            <w:tcBorders>
              <w:right w:val="single" w:sz="8" w:color="E93BAB"/>
            </w:tcBorders>
            <w:shd w:val="clear" w:color="auto" w:fill="E93BAB"/>
          </w:tcPr>
          <w:p>
            <w:pPr>
              <w:spacing w:after="0"/>
              <w:rPr>
                <w:sz w:val="24"/>
                <w:szCs w:val="24"/>
                <w:color w:val="auto"/>
              </w:rPr>
            </w:pPr>
          </w:p>
        </w:tc>
        <w:tc>
          <w:tcPr>
            <w:tcW w:w="900" w:type="dxa"/>
            <w:vAlign w:val="bottom"/>
            <w:shd w:val="clear" w:color="auto" w:fill="E93BAB"/>
          </w:tcPr>
          <w:p>
            <w:pPr>
              <w:spacing w:after="0"/>
              <w:rPr>
                <w:sz w:val="24"/>
                <w:szCs w:val="24"/>
                <w:color w:val="auto"/>
              </w:rPr>
            </w:pPr>
          </w:p>
        </w:tc>
        <w:tc>
          <w:tcPr>
            <w:tcW w:w="320" w:type="dxa"/>
            <w:vAlign w:val="bottom"/>
            <w:tcBorders>
              <w:right w:val="single" w:sz="8" w:color="E93BAB"/>
            </w:tcBorders>
            <w:shd w:val="clear" w:color="auto" w:fill="E93BAB"/>
          </w:tcPr>
          <w:p>
            <w:pPr>
              <w:spacing w:after="0"/>
              <w:rPr>
                <w:sz w:val="24"/>
                <w:szCs w:val="24"/>
                <w:color w:val="auto"/>
              </w:rPr>
            </w:pPr>
          </w:p>
        </w:tc>
        <w:tc>
          <w:tcPr>
            <w:tcW w:w="1120" w:type="dxa"/>
            <w:vAlign w:val="bottom"/>
            <w:shd w:val="clear" w:color="auto" w:fill="E93BAB"/>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60" w:type="dxa"/>
            <w:vAlign w:val="bottom"/>
            <w:tcBorders>
              <w:left w:val="single" w:sz="8" w:color="E93BAB"/>
            </w:tcBorders>
            <w:shd w:val="clear" w:color="auto" w:fill="E93BAB"/>
          </w:tcPr>
          <w:p>
            <w:pPr>
              <w:spacing w:after="0"/>
              <w:rPr>
                <w:sz w:val="5"/>
                <w:szCs w:val="5"/>
                <w:color w:val="auto"/>
              </w:rPr>
            </w:pPr>
          </w:p>
        </w:tc>
        <w:tc>
          <w:tcPr>
            <w:tcW w:w="1160" w:type="dxa"/>
            <w:vAlign w:val="bottom"/>
            <w:tcBorders>
              <w:right w:val="single" w:sz="8" w:color="E93BAB"/>
            </w:tcBorders>
            <w:shd w:val="clear" w:color="auto" w:fill="E93BAB"/>
          </w:tcPr>
          <w:p>
            <w:pPr>
              <w:spacing w:after="0"/>
              <w:rPr>
                <w:sz w:val="5"/>
                <w:szCs w:val="5"/>
                <w:color w:val="auto"/>
              </w:rPr>
            </w:pPr>
          </w:p>
        </w:tc>
        <w:tc>
          <w:tcPr>
            <w:tcW w:w="460" w:type="dxa"/>
            <w:vAlign w:val="bottom"/>
            <w:tcBorders>
              <w:right w:val="single" w:sz="8" w:color="E93BAB"/>
            </w:tcBorders>
            <w:shd w:val="clear" w:color="auto" w:fill="E93BAB"/>
          </w:tcPr>
          <w:p>
            <w:pPr>
              <w:spacing w:after="0"/>
              <w:rPr>
                <w:sz w:val="5"/>
                <w:szCs w:val="5"/>
                <w:color w:val="auto"/>
              </w:rPr>
            </w:pPr>
          </w:p>
        </w:tc>
        <w:tc>
          <w:tcPr>
            <w:tcW w:w="300" w:type="dxa"/>
            <w:vAlign w:val="bottom"/>
            <w:shd w:val="clear" w:color="auto" w:fill="E93BAB"/>
          </w:tcPr>
          <w:p>
            <w:pPr>
              <w:spacing w:after="0"/>
              <w:rPr>
                <w:sz w:val="5"/>
                <w:szCs w:val="5"/>
                <w:color w:val="auto"/>
              </w:rPr>
            </w:pPr>
          </w:p>
        </w:tc>
        <w:tc>
          <w:tcPr>
            <w:tcW w:w="1160" w:type="dxa"/>
            <w:vAlign w:val="bottom"/>
            <w:shd w:val="clear" w:color="auto" w:fill="E93BAB"/>
          </w:tcPr>
          <w:p>
            <w:pPr>
              <w:spacing w:after="0"/>
              <w:rPr>
                <w:sz w:val="5"/>
                <w:szCs w:val="5"/>
                <w:color w:val="auto"/>
              </w:rPr>
            </w:pPr>
          </w:p>
        </w:tc>
        <w:tc>
          <w:tcPr>
            <w:tcW w:w="1300" w:type="dxa"/>
            <w:vAlign w:val="bottom"/>
            <w:tcBorders>
              <w:right w:val="single" w:sz="8" w:color="E93BAB"/>
            </w:tcBorders>
            <w:shd w:val="clear" w:color="auto" w:fill="E93BAB"/>
          </w:tcPr>
          <w:p>
            <w:pPr>
              <w:spacing w:after="0"/>
              <w:rPr>
                <w:sz w:val="5"/>
                <w:szCs w:val="5"/>
                <w:color w:val="auto"/>
              </w:rPr>
            </w:pPr>
          </w:p>
        </w:tc>
        <w:tc>
          <w:tcPr>
            <w:tcW w:w="660" w:type="dxa"/>
            <w:vAlign w:val="bottom"/>
            <w:shd w:val="clear" w:color="auto" w:fill="E93BAB"/>
          </w:tcPr>
          <w:p>
            <w:pPr>
              <w:spacing w:after="0"/>
              <w:rPr>
                <w:sz w:val="5"/>
                <w:szCs w:val="5"/>
                <w:color w:val="auto"/>
              </w:rPr>
            </w:pPr>
          </w:p>
        </w:tc>
        <w:tc>
          <w:tcPr>
            <w:tcW w:w="220" w:type="dxa"/>
            <w:vAlign w:val="bottom"/>
            <w:tcBorders>
              <w:right w:val="single" w:sz="8" w:color="E93BAB"/>
            </w:tcBorders>
            <w:shd w:val="clear" w:color="auto" w:fill="E93BAB"/>
          </w:tcPr>
          <w:p>
            <w:pPr>
              <w:spacing w:after="0"/>
              <w:rPr>
                <w:sz w:val="5"/>
                <w:szCs w:val="5"/>
                <w:color w:val="auto"/>
              </w:rPr>
            </w:pPr>
          </w:p>
        </w:tc>
        <w:tc>
          <w:tcPr>
            <w:tcW w:w="880" w:type="dxa"/>
            <w:vAlign w:val="bottom"/>
            <w:shd w:val="clear" w:color="auto" w:fill="E93BAB"/>
          </w:tcPr>
          <w:p>
            <w:pPr>
              <w:spacing w:after="0"/>
              <w:rPr>
                <w:sz w:val="5"/>
                <w:szCs w:val="5"/>
                <w:color w:val="auto"/>
              </w:rPr>
            </w:pPr>
          </w:p>
        </w:tc>
        <w:tc>
          <w:tcPr>
            <w:tcW w:w="320" w:type="dxa"/>
            <w:vAlign w:val="bottom"/>
            <w:tcBorders>
              <w:right w:val="single" w:sz="8" w:color="E93BAB"/>
            </w:tcBorders>
            <w:shd w:val="clear" w:color="auto" w:fill="E93BAB"/>
          </w:tcPr>
          <w:p>
            <w:pPr>
              <w:spacing w:after="0"/>
              <w:rPr>
                <w:sz w:val="5"/>
                <w:szCs w:val="5"/>
                <w:color w:val="auto"/>
              </w:rPr>
            </w:pPr>
          </w:p>
        </w:tc>
        <w:tc>
          <w:tcPr>
            <w:tcW w:w="900" w:type="dxa"/>
            <w:vAlign w:val="bottom"/>
            <w:shd w:val="clear" w:color="auto" w:fill="E93BAB"/>
          </w:tcPr>
          <w:p>
            <w:pPr>
              <w:spacing w:after="0"/>
              <w:rPr>
                <w:sz w:val="5"/>
                <w:szCs w:val="5"/>
                <w:color w:val="auto"/>
              </w:rPr>
            </w:pPr>
          </w:p>
        </w:tc>
        <w:tc>
          <w:tcPr>
            <w:tcW w:w="320" w:type="dxa"/>
            <w:vAlign w:val="bottom"/>
            <w:tcBorders>
              <w:right w:val="single" w:sz="8" w:color="E93BAB"/>
            </w:tcBorders>
            <w:shd w:val="clear" w:color="auto" w:fill="E93BAB"/>
          </w:tcPr>
          <w:p>
            <w:pPr>
              <w:spacing w:after="0"/>
              <w:rPr>
                <w:sz w:val="5"/>
                <w:szCs w:val="5"/>
                <w:color w:val="auto"/>
              </w:rPr>
            </w:pPr>
          </w:p>
        </w:tc>
        <w:tc>
          <w:tcPr>
            <w:tcW w:w="1120" w:type="dxa"/>
            <w:vAlign w:val="bottom"/>
            <w:shd w:val="clear" w:color="auto" w:fill="E93BA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20"/>
                <w:szCs w:val="20"/>
                <w:color w:val="auto"/>
              </w:rPr>
            </w:pPr>
            <w:r>
              <w:rPr>
                <w:rFonts w:ascii="Arial" w:cs="Arial" w:eastAsia="Arial" w:hAnsi="Arial"/>
                <w:sz w:val="16"/>
                <w:szCs w:val="16"/>
                <w:b w:val="1"/>
                <w:bCs w:val="1"/>
                <w:color w:val="auto"/>
              </w:rPr>
              <w:t>12.6.8. Grupo Pacifico</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4"/>
            <w:vMerge w:val="restart"/>
          </w:tcPr>
          <w:p>
            <w:pPr>
              <w:jc w:val="center"/>
              <w:ind w:right="283"/>
              <w:spacing w:after="0"/>
              <w:rPr>
                <w:sz w:val="20"/>
                <w:szCs w:val="20"/>
                <w:color w:val="auto"/>
              </w:rPr>
            </w:pPr>
            <w:r>
              <w:rPr>
                <w:rFonts w:ascii="Arial" w:cs="Arial" w:eastAsia="Arial" w:hAnsi="Arial"/>
                <w:sz w:val="16"/>
                <w:szCs w:val="16"/>
                <w:b w:val="1"/>
                <w:bCs w:val="1"/>
                <w:color w:val="auto"/>
              </w:rPr>
              <w:t>Key Indicators of Financial Position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 Thousands, IFRS)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300" w:type="dxa"/>
            <w:vAlign w:val="bottom"/>
            <w:shd w:val="clear" w:color="auto" w:fill="2AD2C9"/>
          </w:tcPr>
          <w:p>
            <w:pPr>
              <w:spacing w:after="0"/>
              <w:rPr>
                <w:sz w:val="8"/>
                <w:szCs w:val="8"/>
                <w:color w:val="auto"/>
              </w:rPr>
            </w:pPr>
          </w:p>
        </w:tc>
        <w:tc>
          <w:tcPr>
            <w:tcW w:w="1160" w:type="dxa"/>
            <w:vAlign w:val="bottom"/>
            <w:vMerge w:val="restart"/>
            <w:shd w:val="clear" w:color="auto" w:fill="2AD2C9"/>
          </w:tcPr>
          <w:p>
            <w:pPr>
              <w:ind w:left="100"/>
              <w:spacing w:after="0"/>
              <w:rPr>
                <w:sz w:val="20"/>
                <w:szCs w:val="20"/>
                <w:color w:val="auto"/>
              </w:rPr>
            </w:pPr>
            <w:r>
              <w:rPr>
                <w:rFonts w:ascii="Arial" w:cs="Arial" w:eastAsia="Arial" w:hAnsi="Arial"/>
                <w:sz w:val="11"/>
                <w:szCs w:val="11"/>
                <w:b w:val="1"/>
                <w:bCs w:val="1"/>
                <w:color w:val="FFFFFF"/>
              </w:rPr>
              <w:t>Dec 22</w:t>
            </w:r>
          </w:p>
        </w:tc>
        <w:tc>
          <w:tcPr>
            <w:tcW w:w="1300" w:type="dxa"/>
            <w:vAlign w:val="bottom"/>
            <w:tcBorders>
              <w:right w:val="single" w:sz="8" w:color="2AD2C9"/>
            </w:tcBorders>
            <w:shd w:val="clear" w:color="auto" w:fill="2AD2C9"/>
          </w:tcPr>
          <w:p>
            <w:pPr>
              <w:jc w:val="center"/>
              <w:ind w:right="563"/>
              <w:spacing w:after="0" w:line="99" w:lineRule="exact"/>
              <w:rPr>
                <w:sz w:val="20"/>
                <w:szCs w:val="20"/>
                <w:color w:val="auto"/>
              </w:rPr>
            </w:pPr>
            <w:r>
              <w:rPr>
                <w:rFonts w:ascii="Arial" w:cs="Arial" w:eastAsia="Arial" w:hAnsi="Arial"/>
                <w:sz w:val="11"/>
                <w:szCs w:val="11"/>
                <w:b w:val="1"/>
                <w:bCs w:val="1"/>
                <w:color w:val="FFFFFF"/>
              </w:rPr>
              <w:t>As of</w:t>
            </w:r>
          </w:p>
        </w:tc>
        <w:tc>
          <w:tcPr>
            <w:tcW w:w="660" w:type="dxa"/>
            <w:vAlign w:val="bottom"/>
            <w:vMerge w:val="restart"/>
            <w:shd w:val="clear" w:color="auto" w:fill="2AD2C9"/>
          </w:tcPr>
          <w:p>
            <w:pPr>
              <w:ind w:left="80"/>
              <w:spacing w:after="0"/>
              <w:rPr>
                <w:sz w:val="20"/>
                <w:szCs w:val="20"/>
                <w:color w:val="auto"/>
              </w:rPr>
            </w:pPr>
            <w:r>
              <w:rPr>
                <w:rFonts w:ascii="Arial" w:cs="Arial" w:eastAsia="Arial" w:hAnsi="Arial"/>
                <w:sz w:val="11"/>
                <w:szCs w:val="11"/>
                <w:b w:val="1"/>
                <w:bCs w:val="1"/>
                <w:color w:val="FFFFFF"/>
              </w:rPr>
              <w:t>Dec 23</w:t>
            </w:r>
          </w:p>
        </w:tc>
        <w:tc>
          <w:tcPr>
            <w:tcW w:w="220" w:type="dxa"/>
            <w:vAlign w:val="bottom"/>
            <w:tcBorders>
              <w:right w:val="single" w:sz="8" w:color="auto"/>
            </w:tcBorders>
            <w:shd w:val="clear" w:color="auto" w:fill="2AD2C9"/>
          </w:tcPr>
          <w:p>
            <w:pPr>
              <w:spacing w:after="0"/>
              <w:rPr>
                <w:sz w:val="8"/>
                <w:szCs w:val="8"/>
                <w:color w:val="auto"/>
              </w:rPr>
            </w:pPr>
          </w:p>
        </w:tc>
        <w:tc>
          <w:tcPr>
            <w:tcW w:w="880" w:type="dxa"/>
            <w:vAlign w:val="bottom"/>
            <w:vMerge w:val="restart"/>
            <w:shd w:val="clear" w:color="auto" w:fill="2AD2C9"/>
          </w:tcPr>
          <w:p>
            <w:pPr>
              <w:ind w:left="460"/>
              <w:spacing w:after="0"/>
              <w:rPr>
                <w:sz w:val="20"/>
                <w:szCs w:val="20"/>
                <w:color w:val="auto"/>
              </w:rPr>
            </w:pPr>
            <w:r>
              <w:rPr>
                <w:rFonts w:ascii="Arial" w:cs="Arial" w:eastAsia="Arial" w:hAnsi="Arial"/>
                <w:sz w:val="11"/>
                <w:szCs w:val="11"/>
                <w:b w:val="1"/>
                <w:bCs w:val="1"/>
                <w:color w:val="FFFFFF"/>
              </w:rPr>
              <w:t>QoQ</w:t>
            </w:r>
          </w:p>
        </w:tc>
        <w:tc>
          <w:tcPr>
            <w:tcW w:w="1220" w:type="dxa"/>
            <w:vAlign w:val="bottom"/>
            <w:gridSpan w:val="2"/>
            <w:shd w:val="clear" w:color="auto" w:fill="2AD2C9"/>
          </w:tcPr>
          <w:p>
            <w:pPr>
              <w:ind w:left="40"/>
              <w:spacing w:after="0" w:line="99" w:lineRule="exact"/>
              <w:rPr>
                <w:sz w:val="20"/>
                <w:szCs w:val="20"/>
                <w:color w:val="auto"/>
              </w:rPr>
            </w:pPr>
            <w:r>
              <w:rPr>
                <w:rFonts w:ascii="Arial" w:cs="Arial" w:eastAsia="Arial" w:hAnsi="Arial"/>
                <w:sz w:val="11"/>
                <w:szCs w:val="11"/>
                <w:b w:val="1"/>
                <w:bCs w:val="1"/>
                <w:color w:val="FFFFFF"/>
              </w:rPr>
              <w:t>% Change</w:t>
            </w:r>
          </w:p>
        </w:tc>
        <w:tc>
          <w:tcPr>
            <w:tcW w:w="320" w:type="dxa"/>
            <w:vAlign w:val="bottom"/>
            <w:tcBorders>
              <w:right w:val="single" w:sz="8" w:color="auto"/>
            </w:tcBorders>
            <w:shd w:val="clear" w:color="auto" w:fill="2AD2C9"/>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4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shd w:val="clear" w:color="auto" w:fill="2AD2C9"/>
          </w:tcPr>
          <w:p>
            <w:pPr>
              <w:spacing w:after="0"/>
              <w:rPr>
                <w:sz w:val="11"/>
                <w:szCs w:val="11"/>
                <w:color w:val="auto"/>
              </w:rPr>
            </w:pPr>
          </w:p>
        </w:tc>
        <w:tc>
          <w:tcPr>
            <w:tcW w:w="1160" w:type="dxa"/>
            <w:vAlign w:val="bottom"/>
            <w:tcBorders>
              <w:bottom w:val="single" w:sz="8" w:color="auto"/>
            </w:tcBorders>
            <w:vMerge w:val="continue"/>
            <w:shd w:val="clear" w:color="auto" w:fill="2AD2C9"/>
          </w:tcPr>
          <w:p>
            <w:pPr>
              <w:spacing w:after="0"/>
              <w:rPr>
                <w:sz w:val="11"/>
                <w:szCs w:val="11"/>
                <w:color w:val="auto"/>
              </w:rPr>
            </w:pPr>
          </w:p>
        </w:tc>
        <w:tc>
          <w:tcPr>
            <w:tcW w:w="1300" w:type="dxa"/>
            <w:vAlign w:val="bottom"/>
            <w:tcBorders>
              <w:bottom w:val="single" w:sz="8" w:color="auto"/>
              <w:right w:val="single" w:sz="8" w:color="2AD2C9"/>
            </w:tcBorders>
            <w:shd w:val="clear" w:color="auto" w:fill="2AD2C9"/>
          </w:tcPr>
          <w:p>
            <w:pPr>
              <w:jc w:val="center"/>
              <w:ind w:right="563"/>
              <w:spacing w:after="0"/>
              <w:rPr>
                <w:sz w:val="20"/>
                <w:szCs w:val="20"/>
                <w:color w:val="auto"/>
              </w:rPr>
            </w:pPr>
            <w:r>
              <w:rPr>
                <w:rFonts w:ascii="Arial" w:cs="Arial" w:eastAsia="Arial" w:hAnsi="Arial"/>
                <w:sz w:val="11"/>
                <w:szCs w:val="11"/>
                <w:b w:val="1"/>
                <w:bCs w:val="1"/>
                <w:color w:val="FFFFFF"/>
              </w:rPr>
              <w:t>Sep 23</w:t>
            </w:r>
          </w:p>
        </w:tc>
        <w:tc>
          <w:tcPr>
            <w:tcW w:w="660" w:type="dxa"/>
            <w:vAlign w:val="bottom"/>
            <w:tcBorders>
              <w:bottom w:val="single" w:sz="8" w:color="auto"/>
            </w:tcBorders>
            <w:vMerge w:val="continue"/>
            <w:shd w:val="clear" w:color="auto" w:fill="2AD2C9"/>
          </w:tcPr>
          <w:p>
            <w:pPr>
              <w:spacing w:after="0"/>
              <w:rPr>
                <w:sz w:val="11"/>
                <w:szCs w:val="11"/>
                <w:color w:val="auto"/>
              </w:rPr>
            </w:pPr>
          </w:p>
        </w:tc>
        <w:tc>
          <w:tcPr>
            <w:tcW w:w="220" w:type="dxa"/>
            <w:vAlign w:val="bottom"/>
            <w:tcBorders>
              <w:bottom w:val="single" w:sz="8" w:color="auto"/>
              <w:right w:val="single" w:sz="8" w:color="auto"/>
            </w:tcBorders>
            <w:shd w:val="clear" w:color="auto" w:fill="2AD2C9"/>
          </w:tcPr>
          <w:p>
            <w:pPr>
              <w:spacing w:after="0"/>
              <w:rPr>
                <w:sz w:val="11"/>
                <w:szCs w:val="11"/>
                <w:color w:val="auto"/>
              </w:rPr>
            </w:pPr>
          </w:p>
        </w:tc>
        <w:tc>
          <w:tcPr>
            <w:tcW w:w="880" w:type="dxa"/>
            <w:vAlign w:val="bottom"/>
            <w:tcBorders>
              <w:bottom w:val="single" w:sz="8" w:color="auto"/>
            </w:tcBorders>
            <w:vMerge w:val="continue"/>
            <w:shd w:val="clear" w:color="auto" w:fill="2AD2C9"/>
          </w:tcPr>
          <w:p>
            <w:pPr>
              <w:spacing w:after="0"/>
              <w:rPr>
                <w:sz w:val="11"/>
                <w:szCs w:val="11"/>
                <w:color w:val="auto"/>
              </w:rPr>
            </w:pPr>
          </w:p>
        </w:tc>
        <w:tc>
          <w:tcPr>
            <w:tcW w:w="320" w:type="dxa"/>
            <w:vAlign w:val="bottom"/>
            <w:tcBorders>
              <w:bottom w:val="single" w:sz="8" w:color="auto"/>
              <w:right w:val="single" w:sz="8" w:color="2AD2C9"/>
            </w:tcBorders>
            <w:shd w:val="clear" w:color="auto" w:fill="2AD2C9"/>
          </w:tcPr>
          <w:p>
            <w:pPr>
              <w:spacing w:after="0"/>
              <w:rPr>
                <w:sz w:val="11"/>
                <w:szCs w:val="11"/>
                <w:color w:val="auto"/>
              </w:rPr>
            </w:pPr>
          </w:p>
        </w:tc>
        <w:tc>
          <w:tcPr>
            <w:tcW w:w="900" w:type="dxa"/>
            <w:vAlign w:val="bottom"/>
            <w:tcBorders>
              <w:bottom w:val="single" w:sz="8" w:color="auto"/>
            </w:tcBorders>
            <w:shd w:val="clear" w:color="auto" w:fill="2AD2C9"/>
          </w:tcPr>
          <w:p>
            <w:pPr>
              <w:ind w:left="480"/>
              <w:spacing w:after="0"/>
              <w:rPr>
                <w:sz w:val="20"/>
                <w:szCs w:val="20"/>
                <w:color w:val="auto"/>
              </w:rPr>
            </w:pPr>
            <w:r>
              <w:rPr>
                <w:rFonts w:ascii="Arial" w:cs="Arial" w:eastAsia="Arial" w:hAnsi="Arial"/>
                <w:sz w:val="11"/>
                <w:szCs w:val="11"/>
                <w:b w:val="1"/>
                <w:bCs w:val="1"/>
                <w:color w:val="FFFFFF"/>
              </w:rPr>
              <w:t>YoY</w:t>
            </w:r>
          </w:p>
        </w:tc>
        <w:tc>
          <w:tcPr>
            <w:tcW w:w="320" w:type="dxa"/>
            <w:vAlign w:val="bottom"/>
            <w:tcBorders>
              <w:bottom w:val="single" w:sz="8" w:color="auto"/>
              <w:right w:val="single" w:sz="8" w:color="auto"/>
            </w:tcBorders>
            <w:shd w:val="clear" w:color="auto" w:fill="2AD2C9"/>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60" w:type="dxa"/>
            <w:vAlign w:val="bottom"/>
            <w:tcBorders>
              <w:left w:val="single" w:sz="8" w:color="auto"/>
            </w:tcBorders>
          </w:tcPr>
          <w:p>
            <w:pPr>
              <w:ind w:left="100"/>
              <w:spacing w:after="0" w:line="99" w:lineRule="exact"/>
              <w:rPr>
                <w:sz w:val="20"/>
                <w:szCs w:val="20"/>
                <w:color w:val="auto"/>
              </w:rPr>
            </w:pPr>
            <w:r>
              <w:rPr>
                <w:rFonts w:ascii="Arial" w:cs="Arial" w:eastAsia="Arial" w:hAnsi="Arial"/>
                <w:sz w:val="11"/>
                <w:szCs w:val="11"/>
                <w:color w:val="auto"/>
              </w:rPr>
              <w:t>Total Assets</w:t>
            </w:r>
          </w:p>
        </w:tc>
        <w:tc>
          <w:tcPr>
            <w:tcW w:w="116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jc w:val="center"/>
              <w:ind w:right="520"/>
              <w:spacing w:after="0" w:line="99" w:lineRule="exact"/>
              <w:rPr>
                <w:sz w:val="20"/>
                <w:szCs w:val="20"/>
                <w:color w:val="auto"/>
              </w:rPr>
            </w:pPr>
            <w:r>
              <w:rPr>
                <w:rFonts w:ascii="Arial" w:cs="Arial" w:eastAsia="Arial" w:hAnsi="Arial"/>
                <w:sz w:val="11"/>
                <w:szCs w:val="11"/>
                <w:color w:val="auto"/>
              </w:rPr>
              <w:t>15,895,361</w:t>
            </w:r>
          </w:p>
        </w:tc>
        <w:tc>
          <w:tcPr>
            <w:tcW w:w="1300" w:type="dxa"/>
            <w:vAlign w:val="bottom"/>
          </w:tcPr>
          <w:p>
            <w:pPr>
              <w:jc w:val="center"/>
              <w:ind w:right="543"/>
              <w:spacing w:after="0" w:line="99" w:lineRule="exact"/>
              <w:rPr>
                <w:sz w:val="20"/>
                <w:szCs w:val="20"/>
                <w:color w:val="auto"/>
              </w:rPr>
            </w:pPr>
            <w:r>
              <w:rPr>
                <w:rFonts w:ascii="Arial" w:cs="Arial" w:eastAsia="Arial" w:hAnsi="Arial"/>
                <w:sz w:val="11"/>
                <w:szCs w:val="11"/>
                <w:color w:val="auto"/>
              </w:rPr>
              <w:t>15,796,121</w:t>
            </w:r>
          </w:p>
        </w:tc>
        <w:tc>
          <w:tcPr>
            <w:tcW w:w="660" w:type="dxa"/>
            <w:vAlign w:val="bottom"/>
          </w:tcPr>
          <w:p>
            <w:pPr>
              <w:jc w:val="center"/>
              <w:ind w:right="63"/>
              <w:spacing w:after="0" w:line="99" w:lineRule="exact"/>
              <w:rPr>
                <w:sz w:val="20"/>
                <w:szCs w:val="20"/>
                <w:color w:val="auto"/>
              </w:rPr>
            </w:pPr>
            <w:r>
              <w:rPr>
                <w:rFonts w:ascii="Arial" w:cs="Arial" w:eastAsia="Arial" w:hAnsi="Arial"/>
                <w:sz w:val="11"/>
                <w:szCs w:val="11"/>
                <w:color w:val="auto"/>
                <w:w w:val="98"/>
              </w:rPr>
              <w:t>16,549,171</w:t>
            </w:r>
          </w:p>
        </w:tc>
        <w:tc>
          <w:tcPr>
            <w:tcW w:w="220" w:type="dxa"/>
            <w:vAlign w:val="bottom"/>
            <w:tcBorders>
              <w:right w:val="single" w:sz="8" w:color="auto"/>
            </w:tcBorders>
          </w:tcPr>
          <w:p>
            <w:pPr>
              <w:spacing w:after="0"/>
              <w:rPr>
                <w:sz w:val="8"/>
                <w:szCs w:val="8"/>
                <w:color w:val="auto"/>
              </w:rPr>
            </w:pPr>
          </w:p>
        </w:tc>
        <w:tc>
          <w:tcPr>
            <w:tcW w:w="880" w:type="dxa"/>
            <w:vAlign w:val="bottom"/>
          </w:tcPr>
          <w:p>
            <w:pPr>
              <w:ind w:left="460"/>
              <w:spacing w:after="0" w:line="99" w:lineRule="exact"/>
              <w:rPr>
                <w:sz w:val="20"/>
                <w:szCs w:val="20"/>
                <w:color w:val="auto"/>
              </w:rPr>
            </w:pPr>
            <w:r>
              <w:rPr>
                <w:rFonts w:ascii="Arial" w:cs="Arial" w:eastAsia="Arial" w:hAnsi="Arial"/>
                <w:sz w:val="11"/>
                <w:szCs w:val="11"/>
                <w:color w:val="auto"/>
              </w:rPr>
              <w:t>4.8%</w:t>
            </w:r>
          </w:p>
        </w:tc>
        <w:tc>
          <w:tcPr>
            <w:tcW w:w="1220" w:type="dxa"/>
            <w:vAlign w:val="bottom"/>
            <w:gridSpan w:val="2"/>
          </w:tcPr>
          <w:p>
            <w:pPr>
              <w:jc w:val="center"/>
              <w:ind w:left="543"/>
              <w:spacing w:after="0" w:line="99" w:lineRule="exact"/>
              <w:rPr>
                <w:sz w:val="20"/>
                <w:szCs w:val="20"/>
                <w:color w:val="auto"/>
              </w:rPr>
            </w:pPr>
            <w:r>
              <w:rPr>
                <w:rFonts w:ascii="Arial" w:cs="Arial" w:eastAsia="Arial" w:hAnsi="Arial"/>
                <w:sz w:val="11"/>
                <w:szCs w:val="11"/>
                <w:color w:val="auto"/>
              </w:rPr>
              <w:t>4.1%</w:t>
            </w:r>
          </w:p>
        </w:tc>
        <w:tc>
          <w:tcPr>
            <w:tcW w:w="320" w:type="dxa"/>
            <w:vAlign w:val="bottom"/>
            <w:tcBorders>
              <w:righ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Investment on Securities (1)</w:t>
            </w:r>
          </w:p>
        </w:tc>
        <w:tc>
          <w:tcPr>
            <w:tcW w:w="11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right="520"/>
              <w:spacing w:after="0" w:line="122" w:lineRule="exact"/>
              <w:rPr>
                <w:sz w:val="20"/>
                <w:szCs w:val="20"/>
                <w:color w:val="auto"/>
              </w:rPr>
            </w:pPr>
            <w:r>
              <w:rPr>
                <w:rFonts w:ascii="Arial" w:cs="Arial" w:eastAsia="Arial" w:hAnsi="Arial"/>
                <w:sz w:val="11"/>
                <w:szCs w:val="11"/>
                <w:color w:val="auto"/>
              </w:rPr>
              <w:t>10,736,289</w:t>
            </w:r>
          </w:p>
        </w:tc>
        <w:tc>
          <w:tcPr>
            <w:tcW w:w="1300" w:type="dxa"/>
            <w:vAlign w:val="bottom"/>
          </w:tcPr>
          <w:p>
            <w:pPr>
              <w:jc w:val="center"/>
              <w:ind w:right="563"/>
              <w:spacing w:after="0" w:line="122" w:lineRule="exact"/>
              <w:rPr>
                <w:sz w:val="20"/>
                <w:szCs w:val="20"/>
                <w:color w:val="auto"/>
              </w:rPr>
            </w:pPr>
            <w:r>
              <w:rPr>
                <w:rFonts w:ascii="Arial" w:cs="Arial" w:eastAsia="Arial" w:hAnsi="Arial"/>
                <w:sz w:val="11"/>
                <w:szCs w:val="11"/>
                <w:color w:val="auto"/>
              </w:rPr>
              <w:t>11,974,672</w:t>
            </w:r>
          </w:p>
        </w:tc>
        <w:tc>
          <w:tcPr>
            <w:tcW w:w="660" w:type="dxa"/>
            <w:vAlign w:val="bottom"/>
          </w:tcPr>
          <w:p>
            <w:pPr>
              <w:jc w:val="center"/>
              <w:ind w:right="63"/>
              <w:spacing w:after="0" w:line="122" w:lineRule="exact"/>
              <w:rPr>
                <w:sz w:val="20"/>
                <w:szCs w:val="20"/>
                <w:color w:val="auto"/>
              </w:rPr>
            </w:pPr>
            <w:r>
              <w:rPr>
                <w:rFonts w:ascii="Arial" w:cs="Arial" w:eastAsia="Arial" w:hAnsi="Arial"/>
                <w:sz w:val="11"/>
                <w:szCs w:val="11"/>
                <w:color w:val="auto"/>
                <w:w w:val="98"/>
              </w:rPr>
              <w:t>12,704,842</w:t>
            </w:r>
          </w:p>
        </w:tc>
        <w:tc>
          <w:tcPr>
            <w:tcW w:w="220" w:type="dxa"/>
            <w:vAlign w:val="bottom"/>
            <w:tcBorders>
              <w:right w:val="single" w:sz="8" w:color="auto"/>
            </w:tcBorders>
          </w:tcPr>
          <w:p>
            <w:pPr>
              <w:spacing w:after="0"/>
              <w:rPr>
                <w:sz w:val="10"/>
                <w:szCs w:val="10"/>
                <w:color w:val="auto"/>
              </w:rPr>
            </w:pPr>
          </w:p>
        </w:tc>
        <w:tc>
          <w:tcPr>
            <w:tcW w:w="880" w:type="dxa"/>
            <w:vAlign w:val="bottom"/>
          </w:tcPr>
          <w:p>
            <w:pPr>
              <w:ind w:left="460"/>
              <w:spacing w:after="0" w:line="122" w:lineRule="exact"/>
              <w:rPr>
                <w:sz w:val="20"/>
                <w:szCs w:val="20"/>
                <w:color w:val="auto"/>
              </w:rPr>
            </w:pPr>
            <w:r>
              <w:rPr>
                <w:rFonts w:ascii="Arial" w:cs="Arial" w:eastAsia="Arial" w:hAnsi="Arial"/>
                <w:sz w:val="11"/>
                <w:szCs w:val="11"/>
                <w:color w:val="auto"/>
              </w:rPr>
              <w:t>6.1%</w:t>
            </w:r>
          </w:p>
        </w:tc>
        <w:tc>
          <w:tcPr>
            <w:tcW w:w="1220" w:type="dxa"/>
            <w:vAlign w:val="bottom"/>
            <w:gridSpan w:val="2"/>
          </w:tcPr>
          <w:p>
            <w:pPr>
              <w:jc w:val="center"/>
              <w:ind w:left="563"/>
              <w:spacing w:after="0" w:line="122" w:lineRule="exact"/>
              <w:rPr>
                <w:sz w:val="20"/>
                <w:szCs w:val="20"/>
                <w:color w:val="auto"/>
              </w:rPr>
            </w:pPr>
            <w:r>
              <w:rPr>
                <w:rFonts w:ascii="Arial" w:cs="Arial" w:eastAsia="Arial" w:hAnsi="Arial"/>
                <w:sz w:val="11"/>
                <w:szCs w:val="11"/>
                <w:color w:val="auto"/>
              </w:rPr>
              <w:t>18.3%</w:t>
            </w:r>
          </w:p>
        </w:tc>
        <w:tc>
          <w:tcPr>
            <w:tcW w:w="32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Total Liabilities</w:t>
            </w:r>
          </w:p>
        </w:tc>
        <w:tc>
          <w:tcPr>
            <w:tcW w:w="11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right="520"/>
              <w:spacing w:after="0" w:line="122" w:lineRule="exact"/>
              <w:rPr>
                <w:sz w:val="20"/>
                <w:szCs w:val="20"/>
                <w:color w:val="auto"/>
              </w:rPr>
            </w:pPr>
            <w:r>
              <w:rPr>
                <w:rFonts w:ascii="Arial" w:cs="Arial" w:eastAsia="Arial" w:hAnsi="Arial"/>
                <w:sz w:val="11"/>
                <w:szCs w:val="11"/>
                <w:color w:val="auto"/>
              </w:rPr>
              <w:t>13,486,189</w:t>
            </w:r>
          </w:p>
        </w:tc>
        <w:tc>
          <w:tcPr>
            <w:tcW w:w="1300" w:type="dxa"/>
            <w:vAlign w:val="bottom"/>
          </w:tcPr>
          <w:p>
            <w:pPr>
              <w:jc w:val="center"/>
              <w:ind w:right="543"/>
              <w:spacing w:after="0" w:line="122" w:lineRule="exact"/>
              <w:rPr>
                <w:sz w:val="20"/>
                <w:szCs w:val="20"/>
                <w:color w:val="auto"/>
              </w:rPr>
            </w:pPr>
            <w:r>
              <w:rPr>
                <w:rFonts w:ascii="Arial" w:cs="Arial" w:eastAsia="Arial" w:hAnsi="Arial"/>
                <w:sz w:val="11"/>
                <w:szCs w:val="11"/>
                <w:color w:val="auto"/>
              </w:rPr>
              <w:t>12,822,135</w:t>
            </w:r>
          </w:p>
        </w:tc>
        <w:tc>
          <w:tcPr>
            <w:tcW w:w="660" w:type="dxa"/>
            <w:vAlign w:val="bottom"/>
          </w:tcPr>
          <w:p>
            <w:pPr>
              <w:jc w:val="center"/>
              <w:ind w:right="63"/>
              <w:spacing w:after="0" w:line="122" w:lineRule="exact"/>
              <w:rPr>
                <w:sz w:val="20"/>
                <w:szCs w:val="20"/>
                <w:color w:val="auto"/>
              </w:rPr>
            </w:pPr>
            <w:r>
              <w:rPr>
                <w:rFonts w:ascii="Arial" w:cs="Arial" w:eastAsia="Arial" w:hAnsi="Arial"/>
                <w:sz w:val="11"/>
                <w:szCs w:val="11"/>
                <w:color w:val="auto"/>
                <w:w w:val="98"/>
              </w:rPr>
              <w:t>13,443,688</w:t>
            </w:r>
          </w:p>
        </w:tc>
        <w:tc>
          <w:tcPr>
            <w:tcW w:w="220" w:type="dxa"/>
            <w:vAlign w:val="bottom"/>
            <w:tcBorders>
              <w:right w:val="single" w:sz="8" w:color="auto"/>
            </w:tcBorders>
          </w:tcPr>
          <w:p>
            <w:pPr>
              <w:spacing w:after="0"/>
              <w:rPr>
                <w:sz w:val="10"/>
                <w:szCs w:val="10"/>
                <w:color w:val="auto"/>
              </w:rPr>
            </w:pPr>
          </w:p>
        </w:tc>
        <w:tc>
          <w:tcPr>
            <w:tcW w:w="880" w:type="dxa"/>
            <w:vAlign w:val="bottom"/>
          </w:tcPr>
          <w:p>
            <w:pPr>
              <w:ind w:left="460"/>
              <w:spacing w:after="0" w:line="122" w:lineRule="exact"/>
              <w:rPr>
                <w:sz w:val="20"/>
                <w:szCs w:val="20"/>
                <w:color w:val="auto"/>
              </w:rPr>
            </w:pPr>
            <w:r>
              <w:rPr>
                <w:rFonts w:ascii="Arial" w:cs="Arial" w:eastAsia="Arial" w:hAnsi="Arial"/>
                <w:sz w:val="11"/>
                <w:szCs w:val="11"/>
                <w:color w:val="auto"/>
              </w:rPr>
              <w:t>4.8%</w:t>
            </w:r>
          </w:p>
        </w:tc>
        <w:tc>
          <w:tcPr>
            <w:tcW w:w="1220" w:type="dxa"/>
            <w:vAlign w:val="bottom"/>
            <w:gridSpan w:val="2"/>
          </w:tcPr>
          <w:p>
            <w:pPr>
              <w:jc w:val="center"/>
              <w:ind w:left="543"/>
              <w:spacing w:after="0" w:line="122" w:lineRule="exact"/>
              <w:rPr>
                <w:sz w:val="20"/>
                <w:szCs w:val="20"/>
                <w:color w:val="auto"/>
              </w:rPr>
            </w:pPr>
            <w:r>
              <w:rPr>
                <w:rFonts w:ascii="Arial" w:cs="Arial" w:eastAsia="Arial" w:hAnsi="Arial"/>
                <w:sz w:val="11"/>
                <w:szCs w:val="11"/>
                <w:color w:val="auto"/>
              </w:rPr>
              <w:t>-0.3%</w:t>
            </w:r>
          </w:p>
        </w:tc>
        <w:tc>
          <w:tcPr>
            <w:tcW w:w="32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4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rPr>
              <w:t>Net Equity</w:t>
            </w:r>
          </w:p>
        </w:tc>
        <w:tc>
          <w:tcPr>
            <w:tcW w:w="116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520"/>
              <w:spacing w:after="0"/>
              <w:rPr>
                <w:sz w:val="20"/>
                <w:szCs w:val="20"/>
                <w:color w:val="auto"/>
              </w:rPr>
            </w:pPr>
            <w:r>
              <w:rPr>
                <w:rFonts w:ascii="Arial" w:cs="Arial" w:eastAsia="Arial" w:hAnsi="Arial"/>
                <w:sz w:val="11"/>
                <w:szCs w:val="11"/>
                <w:color w:val="auto"/>
              </w:rPr>
              <w:t>2,390,599</w:t>
            </w:r>
          </w:p>
        </w:tc>
        <w:tc>
          <w:tcPr>
            <w:tcW w:w="1300" w:type="dxa"/>
            <w:vAlign w:val="bottom"/>
            <w:tcBorders>
              <w:bottom w:val="single" w:sz="8" w:color="auto"/>
            </w:tcBorders>
          </w:tcPr>
          <w:p>
            <w:pPr>
              <w:jc w:val="center"/>
              <w:ind w:right="543"/>
              <w:spacing w:after="0"/>
              <w:rPr>
                <w:sz w:val="20"/>
                <w:szCs w:val="20"/>
                <w:color w:val="auto"/>
              </w:rPr>
            </w:pPr>
            <w:r>
              <w:rPr>
                <w:rFonts w:ascii="Arial" w:cs="Arial" w:eastAsia="Arial" w:hAnsi="Arial"/>
                <w:sz w:val="11"/>
                <w:szCs w:val="11"/>
                <w:color w:val="auto"/>
              </w:rPr>
              <w:t>2,956,944</w:t>
            </w:r>
          </w:p>
        </w:tc>
        <w:tc>
          <w:tcPr>
            <w:tcW w:w="66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color w:val="auto"/>
              </w:rPr>
              <w:t>3,086,571</w:t>
            </w:r>
          </w:p>
        </w:tc>
        <w:tc>
          <w:tcPr>
            <w:tcW w:w="22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rPr>
              <w:t>4.4%</w:t>
            </w:r>
          </w:p>
        </w:tc>
        <w:tc>
          <w:tcPr>
            <w:tcW w:w="1220" w:type="dxa"/>
            <w:vAlign w:val="bottom"/>
            <w:tcBorders>
              <w:bottom w:val="single" w:sz="8" w:color="auto"/>
            </w:tcBorders>
            <w:gridSpan w:val="2"/>
          </w:tcPr>
          <w:p>
            <w:pPr>
              <w:jc w:val="center"/>
              <w:ind w:left="563"/>
              <w:spacing w:after="0"/>
              <w:rPr>
                <w:sz w:val="20"/>
                <w:szCs w:val="20"/>
                <w:color w:val="auto"/>
              </w:rPr>
            </w:pPr>
            <w:r>
              <w:rPr>
                <w:rFonts w:ascii="Arial" w:cs="Arial" w:eastAsia="Arial" w:hAnsi="Arial"/>
                <w:sz w:val="11"/>
                <w:szCs w:val="11"/>
                <w:color w:val="auto"/>
              </w:rPr>
              <w:t>29.1%</w:t>
            </w:r>
          </w:p>
        </w:tc>
        <w:tc>
          <w:tcPr>
            <w:tcW w:w="320" w:type="dxa"/>
            <w:vAlign w:val="bottom"/>
            <w:tcBorders>
              <w:bottom w:val="single" w:sz="8" w:color="auto"/>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1"/>
        </w:trPr>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Statement of Income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 Thousands, IFRS)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760" w:type="dxa"/>
            <w:vAlign w:val="bottom"/>
            <w:gridSpan w:val="2"/>
            <w:vMerge w:val="restart"/>
            <w:shd w:val="clear" w:color="auto" w:fill="2AD2C9"/>
          </w:tcPr>
          <w:p>
            <w:pPr>
              <w:jc w:val="center"/>
              <w:ind w:left="263"/>
              <w:spacing w:after="0"/>
              <w:rPr>
                <w:sz w:val="20"/>
                <w:szCs w:val="20"/>
                <w:color w:val="auto"/>
              </w:rPr>
            </w:pPr>
            <w:r>
              <w:rPr>
                <w:rFonts w:ascii="Arial" w:cs="Arial" w:eastAsia="Arial" w:hAnsi="Arial"/>
                <w:sz w:val="11"/>
                <w:szCs w:val="11"/>
                <w:b w:val="1"/>
                <w:bCs w:val="1"/>
                <w:color w:val="FFFFFF"/>
              </w:rPr>
              <w:t>4Q22</w:t>
            </w:r>
          </w:p>
        </w:tc>
        <w:tc>
          <w:tcPr>
            <w:tcW w:w="1160" w:type="dxa"/>
            <w:vAlign w:val="bottom"/>
            <w:shd w:val="clear" w:color="auto" w:fill="2AD2C9"/>
          </w:tcPr>
          <w:p>
            <w:pPr>
              <w:ind w:left="620"/>
              <w:spacing w:after="0" w:line="99" w:lineRule="exact"/>
              <w:rPr>
                <w:sz w:val="20"/>
                <w:szCs w:val="20"/>
                <w:color w:val="auto"/>
              </w:rPr>
            </w:pPr>
            <w:r>
              <w:rPr>
                <w:rFonts w:ascii="Arial" w:cs="Arial" w:eastAsia="Arial" w:hAnsi="Arial"/>
                <w:sz w:val="11"/>
                <w:szCs w:val="11"/>
                <w:b w:val="1"/>
                <w:bCs w:val="1"/>
                <w:color w:val="FFFFFF"/>
              </w:rPr>
              <w:t>Quarter</w:t>
            </w:r>
          </w:p>
        </w:tc>
        <w:tc>
          <w:tcPr>
            <w:tcW w:w="1300" w:type="dxa"/>
            <w:vAlign w:val="bottom"/>
            <w:tcBorders>
              <w:right w:val="single" w:sz="8" w:color="auto"/>
            </w:tcBorders>
            <w:vMerge w:val="restart"/>
            <w:shd w:val="clear" w:color="auto" w:fill="2AD2C9"/>
          </w:tcPr>
          <w:p>
            <w:pPr>
              <w:jc w:val="center"/>
              <w:ind w:left="203"/>
              <w:spacing w:after="0"/>
              <w:rPr>
                <w:sz w:val="20"/>
                <w:szCs w:val="20"/>
                <w:color w:val="auto"/>
              </w:rPr>
            </w:pPr>
            <w:r>
              <w:rPr>
                <w:rFonts w:ascii="Arial" w:cs="Arial" w:eastAsia="Arial" w:hAnsi="Arial"/>
                <w:sz w:val="11"/>
                <w:szCs w:val="11"/>
                <w:b w:val="1"/>
                <w:bCs w:val="1"/>
                <w:color w:val="FFFFFF"/>
              </w:rPr>
              <w:t>4Q23</w:t>
            </w:r>
          </w:p>
        </w:tc>
        <w:tc>
          <w:tcPr>
            <w:tcW w:w="660" w:type="dxa"/>
            <w:vAlign w:val="bottom"/>
            <w:vMerge w:val="restart"/>
            <w:shd w:val="clear" w:color="auto" w:fill="2AD2C9"/>
          </w:tcPr>
          <w:p>
            <w:pPr>
              <w:ind w:left="340"/>
              <w:spacing w:after="0"/>
              <w:rPr>
                <w:sz w:val="20"/>
                <w:szCs w:val="20"/>
                <w:color w:val="auto"/>
              </w:rPr>
            </w:pPr>
            <w:r>
              <w:rPr>
                <w:rFonts w:ascii="Arial" w:cs="Arial" w:eastAsia="Arial" w:hAnsi="Arial"/>
                <w:sz w:val="11"/>
                <w:szCs w:val="11"/>
                <w:b w:val="1"/>
                <w:bCs w:val="1"/>
                <w:color w:val="FFFFFF"/>
              </w:rPr>
              <w:t>QoQ</w:t>
            </w:r>
          </w:p>
        </w:tc>
        <w:tc>
          <w:tcPr>
            <w:tcW w:w="1100" w:type="dxa"/>
            <w:vAlign w:val="bottom"/>
            <w:gridSpan w:val="2"/>
            <w:shd w:val="clear" w:color="auto" w:fill="2AD2C9"/>
          </w:tcPr>
          <w:p>
            <w:pPr>
              <w:ind w:left="100"/>
              <w:spacing w:after="0" w:line="99" w:lineRule="exact"/>
              <w:rPr>
                <w:sz w:val="20"/>
                <w:szCs w:val="20"/>
                <w:color w:val="auto"/>
              </w:rPr>
            </w:pPr>
            <w:r>
              <w:rPr>
                <w:rFonts w:ascii="Arial" w:cs="Arial" w:eastAsia="Arial" w:hAnsi="Arial"/>
                <w:sz w:val="11"/>
                <w:szCs w:val="11"/>
                <w:b w:val="1"/>
                <w:bCs w:val="1"/>
                <w:color w:val="FFFFFF"/>
              </w:rPr>
              <w:t>% Change</w:t>
            </w:r>
          </w:p>
        </w:tc>
        <w:tc>
          <w:tcPr>
            <w:tcW w:w="320" w:type="dxa"/>
            <w:vAlign w:val="bottom"/>
            <w:tcBorders>
              <w:right w:val="single" w:sz="8" w:color="auto"/>
            </w:tcBorders>
            <w:shd w:val="clear" w:color="auto" w:fill="2AD2C9"/>
          </w:tcPr>
          <w:p>
            <w:pPr>
              <w:spacing w:after="0"/>
              <w:rPr>
                <w:sz w:val="8"/>
                <w:szCs w:val="8"/>
                <w:color w:val="auto"/>
              </w:rPr>
            </w:pPr>
          </w:p>
        </w:tc>
        <w:tc>
          <w:tcPr>
            <w:tcW w:w="900" w:type="dxa"/>
            <w:vAlign w:val="bottom"/>
            <w:vMerge w:val="restart"/>
            <w:shd w:val="clear" w:color="auto" w:fill="2AD2C9"/>
          </w:tcPr>
          <w:p>
            <w:pPr>
              <w:ind w:left="360"/>
              <w:spacing w:after="0"/>
              <w:rPr>
                <w:sz w:val="20"/>
                <w:szCs w:val="20"/>
                <w:color w:val="auto"/>
              </w:rPr>
            </w:pPr>
            <w:r>
              <w:rPr>
                <w:rFonts w:ascii="Arial" w:cs="Arial" w:eastAsia="Arial" w:hAnsi="Arial"/>
                <w:sz w:val="11"/>
                <w:szCs w:val="11"/>
                <w:b w:val="1"/>
                <w:bCs w:val="1"/>
                <w:color w:val="FFFFFF"/>
              </w:rPr>
              <w:t>Dec 22</w:t>
            </w:r>
          </w:p>
        </w:tc>
        <w:tc>
          <w:tcPr>
            <w:tcW w:w="1440" w:type="dxa"/>
            <w:vAlign w:val="bottom"/>
            <w:gridSpan w:val="2"/>
            <w:shd w:val="clear" w:color="auto" w:fill="2AD2C9"/>
          </w:tcPr>
          <w:p>
            <w:pPr>
              <w:ind w:left="120"/>
              <w:spacing w:after="0" w:line="99" w:lineRule="exact"/>
              <w:rPr>
                <w:sz w:val="20"/>
                <w:szCs w:val="20"/>
                <w:color w:val="auto"/>
              </w:rPr>
            </w:pPr>
            <w:r>
              <w:rPr>
                <w:rFonts w:ascii="Arial" w:cs="Arial" w:eastAsia="Arial" w:hAnsi="Arial"/>
                <w:sz w:val="11"/>
                <w:szCs w:val="11"/>
                <w:b w:val="1"/>
                <w:bCs w:val="1"/>
                <w:color w:val="FFFFFF"/>
              </w:rPr>
              <w:t>As of</w:t>
            </w: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46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gridSpan w:val="2"/>
            <w:vMerge w:val="continue"/>
            <w:shd w:val="clear" w:color="auto" w:fill="2AD2C9"/>
          </w:tcPr>
          <w:p>
            <w:pPr>
              <w:spacing w:after="0"/>
              <w:rPr>
                <w:sz w:val="11"/>
                <w:szCs w:val="11"/>
                <w:color w:val="auto"/>
              </w:rPr>
            </w:pPr>
          </w:p>
        </w:tc>
        <w:tc>
          <w:tcPr>
            <w:tcW w:w="1160" w:type="dxa"/>
            <w:vAlign w:val="bottom"/>
            <w:tcBorders>
              <w:bottom w:val="single" w:sz="8" w:color="auto"/>
            </w:tcBorders>
            <w:shd w:val="clear" w:color="auto" w:fill="2AD2C9"/>
          </w:tcPr>
          <w:p>
            <w:pPr>
              <w:jc w:val="center"/>
              <w:ind w:left="560"/>
              <w:spacing w:after="0"/>
              <w:rPr>
                <w:sz w:val="20"/>
                <w:szCs w:val="20"/>
                <w:color w:val="auto"/>
              </w:rPr>
            </w:pPr>
            <w:r>
              <w:rPr>
                <w:rFonts w:ascii="Arial" w:cs="Arial" w:eastAsia="Arial" w:hAnsi="Arial"/>
                <w:sz w:val="11"/>
                <w:szCs w:val="11"/>
                <w:b w:val="1"/>
                <w:bCs w:val="1"/>
                <w:color w:val="FFFFFF"/>
                <w:w w:val="96"/>
              </w:rPr>
              <w:t>3Q23</w:t>
            </w:r>
          </w:p>
        </w:tc>
        <w:tc>
          <w:tcPr>
            <w:tcW w:w="130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660" w:type="dxa"/>
            <w:vAlign w:val="bottom"/>
            <w:tcBorders>
              <w:bottom w:val="single" w:sz="8" w:color="auto"/>
            </w:tcBorders>
            <w:vMerge w:val="continue"/>
            <w:shd w:val="clear" w:color="auto" w:fill="2AD2C9"/>
          </w:tcPr>
          <w:p>
            <w:pPr>
              <w:spacing w:after="0"/>
              <w:rPr>
                <w:sz w:val="11"/>
                <w:szCs w:val="11"/>
                <w:color w:val="auto"/>
              </w:rPr>
            </w:pPr>
          </w:p>
        </w:tc>
        <w:tc>
          <w:tcPr>
            <w:tcW w:w="220" w:type="dxa"/>
            <w:vAlign w:val="bottom"/>
            <w:tcBorders>
              <w:bottom w:val="single" w:sz="8" w:color="auto"/>
              <w:right w:val="single" w:sz="8" w:color="2AD2C9"/>
            </w:tcBorders>
            <w:shd w:val="clear" w:color="auto" w:fill="2AD2C9"/>
          </w:tcPr>
          <w:p>
            <w:pPr>
              <w:spacing w:after="0"/>
              <w:rPr>
                <w:sz w:val="11"/>
                <w:szCs w:val="11"/>
                <w:color w:val="auto"/>
              </w:rPr>
            </w:pPr>
          </w:p>
        </w:tc>
        <w:tc>
          <w:tcPr>
            <w:tcW w:w="880" w:type="dxa"/>
            <w:vAlign w:val="bottom"/>
            <w:tcBorders>
              <w:bottom w:val="single" w:sz="8" w:color="auto"/>
            </w:tcBorders>
            <w:shd w:val="clear" w:color="auto" w:fill="2AD2C9"/>
          </w:tcPr>
          <w:p>
            <w:pPr>
              <w:ind w:left="520"/>
              <w:spacing w:after="0"/>
              <w:rPr>
                <w:sz w:val="20"/>
                <w:szCs w:val="20"/>
                <w:color w:val="auto"/>
              </w:rPr>
            </w:pPr>
            <w:r>
              <w:rPr>
                <w:rFonts w:ascii="Arial" w:cs="Arial" w:eastAsia="Arial" w:hAnsi="Arial"/>
                <w:sz w:val="11"/>
                <w:szCs w:val="11"/>
                <w:b w:val="1"/>
                <w:bCs w:val="1"/>
                <w:color w:val="FFFFFF"/>
              </w:rPr>
              <w:t>YoY</w:t>
            </w:r>
          </w:p>
        </w:tc>
        <w:tc>
          <w:tcPr>
            <w:tcW w:w="320" w:type="dxa"/>
            <w:vAlign w:val="bottom"/>
            <w:tcBorders>
              <w:bottom w:val="single" w:sz="8" w:color="auto"/>
              <w:right w:val="single" w:sz="8" w:color="auto"/>
            </w:tcBorders>
            <w:shd w:val="clear" w:color="auto" w:fill="2AD2C9"/>
          </w:tcPr>
          <w:p>
            <w:pPr>
              <w:spacing w:after="0"/>
              <w:rPr>
                <w:sz w:val="11"/>
                <w:szCs w:val="11"/>
                <w:color w:val="auto"/>
              </w:rPr>
            </w:pPr>
          </w:p>
        </w:tc>
        <w:tc>
          <w:tcPr>
            <w:tcW w:w="900" w:type="dxa"/>
            <w:vAlign w:val="bottom"/>
            <w:tcBorders>
              <w:bottom w:val="single" w:sz="8" w:color="auto"/>
            </w:tcBorders>
            <w:vMerge w:val="continue"/>
            <w:shd w:val="clear" w:color="auto" w:fill="2AD2C9"/>
          </w:tcPr>
          <w:p>
            <w:pPr>
              <w:spacing w:after="0"/>
              <w:rPr>
                <w:sz w:val="11"/>
                <w:szCs w:val="11"/>
                <w:color w:val="auto"/>
              </w:rPr>
            </w:pPr>
          </w:p>
        </w:tc>
        <w:tc>
          <w:tcPr>
            <w:tcW w:w="320" w:type="dxa"/>
            <w:vAlign w:val="bottom"/>
            <w:tcBorders>
              <w:bottom w:val="single" w:sz="8" w:color="auto"/>
              <w:right w:val="single" w:sz="8" w:color="2AD2C9"/>
            </w:tcBorders>
            <w:shd w:val="clear" w:color="auto" w:fill="2AD2C9"/>
          </w:tcPr>
          <w:p>
            <w:pPr>
              <w:spacing w:after="0"/>
              <w:rPr>
                <w:sz w:val="11"/>
                <w:szCs w:val="11"/>
                <w:color w:val="auto"/>
              </w:rPr>
            </w:pPr>
          </w:p>
        </w:tc>
        <w:tc>
          <w:tcPr>
            <w:tcW w:w="112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Dec 23</w:t>
            </w: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60" w:type="dxa"/>
            <w:vAlign w:val="bottom"/>
            <w:tcBorders>
              <w:left w:val="single" w:sz="8" w:color="auto"/>
            </w:tcBorders>
          </w:tcPr>
          <w:p>
            <w:pPr>
              <w:ind w:left="100"/>
              <w:spacing w:after="0" w:line="99" w:lineRule="exact"/>
              <w:rPr>
                <w:sz w:val="20"/>
                <w:szCs w:val="20"/>
                <w:color w:val="auto"/>
              </w:rPr>
            </w:pPr>
            <w:r>
              <w:rPr>
                <w:rFonts w:ascii="Arial" w:cs="Arial" w:eastAsia="Arial" w:hAnsi="Arial"/>
                <w:sz w:val="11"/>
                <w:szCs w:val="11"/>
                <w:color w:val="auto"/>
              </w:rPr>
              <w:t>Insurance Service Result</w:t>
            </w:r>
          </w:p>
        </w:tc>
        <w:tc>
          <w:tcPr>
            <w:tcW w:w="1160" w:type="dxa"/>
            <w:vAlign w:val="bottom"/>
            <w:tcBorders>
              <w:right w:val="single" w:sz="8" w:color="auto"/>
            </w:tcBorders>
          </w:tcPr>
          <w:p>
            <w:pPr>
              <w:spacing w:after="0"/>
              <w:rPr>
                <w:sz w:val="8"/>
                <w:szCs w:val="8"/>
                <w:color w:val="auto"/>
              </w:rPr>
            </w:pPr>
          </w:p>
        </w:tc>
        <w:tc>
          <w:tcPr>
            <w:tcW w:w="760" w:type="dxa"/>
            <w:vAlign w:val="bottom"/>
            <w:gridSpan w:val="2"/>
          </w:tcPr>
          <w:p>
            <w:pPr>
              <w:jc w:val="center"/>
              <w:ind w:left="263"/>
              <w:spacing w:after="0" w:line="99" w:lineRule="exact"/>
              <w:rPr>
                <w:sz w:val="20"/>
                <w:szCs w:val="20"/>
                <w:color w:val="auto"/>
              </w:rPr>
            </w:pPr>
            <w:r>
              <w:rPr>
                <w:rFonts w:ascii="Arial" w:cs="Arial" w:eastAsia="Arial" w:hAnsi="Arial"/>
                <w:sz w:val="11"/>
                <w:szCs w:val="11"/>
                <w:color w:val="auto"/>
              </w:rPr>
              <w:t>146,137</w:t>
            </w:r>
          </w:p>
        </w:tc>
        <w:tc>
          <w:tcPr>
            <w:tcW w:w="1160" w:type="dxa"/>
            <w:vAlign w:val="bottom"/>
          </w:tcPr>
          <w:p>
            <w:pPr>
              <w:jc w:val="center"/>
              <w:ind w:left="560"/>
              <w:spacing w:after="0" w:line="99" w:lineRule="exact"/>
              <w:rPr>
                <w:sz w:val="20"/>
                <w:szCs w:val="20"/>
                <w:color w:val="auto"/>
              </w:rPr>
            </w:pPr>
            <w:r>
              <w:rPr>
                <w:rFonts w:ascii="Arial" w:cs="Arial" w:eastAsia="Arial" w:hAnsi="Arial"/>
                <w:sz w:val="11"/>
                <w:szCs w:val="11"/>
                <w:color w:val="auto"/>
              </w:rPr>
              <w:t>324,995</w:t>
            </w:r>
          </w:p>
        </w:tc>
        <w:tc>
          <w:tcPr>
            <w:tcW w:w="1300" w:type="dxa"/>
            <w:vAlign w:val="bottom"/>
            <w:tcBorders>
              <w:right w:val="single" w:sz="8" w:color="auto"/>
            </w:tcBorders>
          </w:tcPr>
          <w:p>
            <w:pPr>
              <w:jc w:val="center"/>
              <w:ind w:left="203"/>
              <w:spacing w:after="0" w:line="99" w:lineRule="exact"/>
              <w:rPr>
                <w:sz w:val="20"/>
                <w:szCs w:val="20"/>
                <w:color w:val="auto"/>
              </w:rPr>
            </w:pPr>
            <w:r>
              <w:rPr>
                <w:rFonts w:ascii="Arial" w:cs="Arial" w:eastAsia="Arial" w:hAnsi="Arial"/>
                <w:sz w:val="11"/>
                <w:szCs w:val="11"/>
                <w:color w:val="auto"/>
              </w:rPr>
              <w:t>255,886</w:t>
            </w:r>
          </w:p>
        </w:tc>
        <w:tc>
          <w:tcPr>
            <w:tcW w:w="660" w:type="dxa"/>
            <w:vAlign w:val="bottom"/>
          </w:tcPr>
          <w:p>
            <w:pPr>
              <w:jc w:val="center"/>
              <w:ind w:left="243"/>
              <w:spacing w:after="0" w:line="99" w:lineRule="exact"/>
              <w:rPr>
                <w:sz w:val="20"/>
                <w:szCs w:val="20"/>
                <w:color w:val="auto"/>
              </w:rPr>
            </w:pPr>
            <w:r>
              <w:rPr>
                <w:rFonts w:ascii="Arial" w:cs="Arial" w:eastAsia="Arial" w:hAnsi="Arial"/>
                <w:sz w:val="11"/>
                <w:szCs w:val="11"/>
                <w:color w:val="auto"/>
              </w:rPr>
              <w:t>-21.3%</w:t>
            </w:r>
          </w:p>
        </w:tc>
        <w:tc>
          <w:tcPr>
            <w:tcW w:w="1100" w:type="dxa"/>
            <w:vAlign w:val="bottom"/>
            <w:gridSpan w:val="2"/>
          </w:tcPr>
          <w:p>
            <w:pPr>
              <w:jc w:val="center"/>
              <w:ind w:left="561"/>
              <w:spacing w:after="0" w:line="99" w:lineRule="exact"/>
              <w:rPr>
                <w:sz w:val="20"/>
                <w:szCs w:val="20"/>
                <w:color w:val="auto"/>
              </w:rPr>
            </w:pPr>
            <w:r>
              <w:rPr>
                <w:rFonts w:ascii="Arial" w:cs="Arial" w:eastAsia="Arial" w:hAnsi="Arial"/>
                <w:sz w:val="11"/>
                <w:szCs w:val="11"/>
                <w:color w:val="auto"/>
              </w:rPr>
              <w:t>75.1%</w:t>
            </w:r>
          </w:p>
        </w:tc>
        <w:tc>
          <w:tcPr>
            <w:tcW w:w="320" w:type="dxa"/>
            <w:vAlign w:val="bottom"/>
            <w:tcBorders>
              <w:right w:val="single" w:sz="8" w:color="auto"/>
            </w:tcBorders>
          </w:tcPr>
          <w:p>
            <w:pPr>
              <w:spacing w:after="0"/>
              <w:rPr>
                <w:sz w:val="8"/>
                <w:szCs w:val="8"/>
                <w:color w:val="auto"/>
              </w:rPr>
            </w:pPr>
          </w:p>
        </w:tc>
        <w:tc>
          <w:tcPr>
            <w:tcW w:w="900" w:type="dxa"/>
            <w:vAlign w:val="bottom"/>
          </w:tcPr>
          <w:p>
            <w:pPr>
              <w:jc w:val="center"/>
              <w:ind w:left="143"/>
              <w:spacing w:after="0" w:line="99" w:lineRule="exact"/>
              <w:rPr>
                <w:sz w:val="20"/>
                <w:szCs w:val="20"/>
                <w:color w:val="auto"/>
              </w:rPr>
            </w:pPr>
            <w:r>
              <w:rPr>
                <w:rFonts w:ascii="Arial" w:cs="Arial" w:eastAsia="Arial" w:hAnsi="Arial"/>
                <w:sz w:val="11"/>
                <w:szCs w:val="11"/>
                <w:color w:val="auto"/>
              </w:rPr>
              <w:t>852,103</w:t>
            </w:r>
          </w:p>
        </w:tc>
        <w:tc>
          <w:tcPr>
            <w:tcW w:w="1440" w:type="dxa"/>
            <w:vAlign w:val="bottom"/>
            <w:gridSpan w:val="2"/>
          </w:tcPr>
          <w:p>
            <w:pPr>
              <w:jc w:val="center"/>
              <w:ind w:left="123"/>
              <w:spacing w:after="0" w:line="99" w:lineRule="exact"/>
              <w:rPr>
                <w:sz w:val="20"/>
                <w:szCs w:val="20"/>
                <w:color w:val="auto"/>
              </w:rPr>
            </w:pPr>
            <w:r>
              <w:rPr>
                <w:rFonts w:ascii="Arial" w:cs="Arial" w:eastAsia="Arial" w:hAnsi="Arial"/>
                <w:sz w:val="11"/>
                <w:szCs w:val="11"/>
                <w:color w:val="auto"/>
              </w:rPr>
              <w:t>1,152,472</w:t>
            </w: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Reinsurance Result</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rPr>
              <w:t>-113,012</w:t>
            </w:r>
          </w:p>
        </w:tc>
        <w:tc>
          <w:tcPr>
            <w:tcW w:w="1160" w:type="dxa"/>
            <w:vAlign w:val="bottom"/>
          </w:tcPr>
          <w:p>
            <w:pPr>
              <w:jc w:val="center"/>
              <w:ind w:left="580"/>
              <w:spacing w:after="0" w:line="122" w:lineRule="exact"/>
              <w:rPr>
                <w:sz w:val="20"/>
                <w:szCs w:val="20"/>
                <w:color w:val="auto"/>
              </w:rPr>
            </w:pPr>
            <w:r>
              <w:rPr>
                <w:rFonts w:ascii="Arial" w:cs="Arial" w:eastAsia="Arial" w:hAnsi="Arial"/>
                <w:sz w:val="11"/>
                <w:szCs w:val="11"/>
                <w:color w:val="auto"/>
              </w:rPr>
              <w:t>-118,588</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-96,996</w:t>
            </w:r>
          </w:p>
        </w:tc>
        <w:tc>
          <w:tcPr>
            <w:tcW w:w="66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-18.2%</w:t>
            </w:r>
          </w:p>
        </w:tc>
        <w:tc>
          <w:tcPr>
            <w:tcW w:w="1100" w:type="dxa"/>
            <w:vAlign w:val="bottom"/>
            <w:gridSpan w:val="2"/>
          </w:tcPr>
          <w:p>
            <w:pPr>
              <w:jc w:val="center"/>
              <w:ind w:left="561"/>
              <w:spacing w:after="0" w:line="122" w:lineRule="exact"/>
              <w:rPr>
                <w:sz w:val="20"/>
                <w:szCs w:val="20"/>
                <w:color w:val="auto"/>
              </w:rPr>
            </w:pPr>
            <w:r>
              <w:rPr>
                <w:rFonts w:ascii="Arial" w:cs="Arial" w:eastAsia="Arial" w:hAnsi="Arial"/>
                <w:sz w:val="11"/>
                <w:szCs w:val="11"/>
                <w:color w:val="auto"/>
              </w:rPr>
              <w:t>-14.2%</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-460,899</w:t>
            </w:r>
          </w:p>
        </w:tc>
        <w:tc>
          <w:tcPr>
            <w:tcW w:w="1440" w:type="dxa"/>
            <w:vAlign w:val="bottom"/>
            <w:gridSpan w:val="2"/>
          </w:tcPr>
          <w:p>
            <w:pPr>
              <w:jc w:val="center"/>
              <w:ind w:left="143"/>
              <w:spacing w:after="0" w:line="122" w:lineRule="exact"/>
              <w:rPr>
                <w:sz w:val="20"/>
                <w:szCs w:val="20"/>
                <w:color w:val="auto"/>
              </w:rPr>
            </w:pPr>
            <w:r>
              <w:rPr>
                <w:rFonts w:ascii="Arial" w:cs="Arial" w:eastAsia="Arial" w:hAnsi="Arial"/>
                <w:sz w:val="11"/>
                <w:szCs w:val="11"/>
                <w:color w:val="auto"/>
              </w:rPr>
              <w:t>-426,290</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Insurance underwriting result</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b w:val="1"/>
                <w:bCs w:val="1"/>
                <w:color w:val="auto"/>
              </w:rPr>
              <w:t>33,125</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b w:val="1"/>
                <w:bCs w:val="1"/>
                <w:color w:val="auto"/>
              </w:rPr>
              <w:t>206,407</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b w:val="1"/>
                <w:bCs w:val="1"/>
                <w:color w:val="auto"/>
              </w:rPr>
              <w:t>158,890</w:t>
            </w:r>
          </w:p>
        </w:tc>
        <w:tc>
          <w:tcPr>
            <w:tcW w:w="660" w:type="dxa"/>
            <w:vAlign w:val="bottom"/>
          </w:tcPr>
          <w:p>
            <w:pPr>
              <w:jc w:val="center"/>
              <w:ind w:left="243"/>
              <w:spacing w:after="0" w:line="122" w:lineRule="exact"/>
              <w:rPr>
                <w:sz w:val="20"/>
                <w:szCs w:val="20"/>
                <w:color w:val="auto"/>
              </w:rPr>
            </w:pPr>
            <w:r>
              <w:rPr>
                <w:rFonts w:ascii="Arial" w:cs="Arial" w:eastAsia="Arial" w:hAnsi="Arial"/>
                <w:sz w:val="11"/>
                <w:szCs w:val="11"/>
                <w:b w:val="1"/>
                <w:bCs w:val="1"/>
                <w:color w:val="auto"/>
              </w:rPr>
              <w:t>-23.0%</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b w:val="1"/>
                <w:bCs w:val="1"/>
                <w:color w:val="auto"/>
              </w:rPr>
              <w:t>379.7%</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b w:val="1"/>
                <w:bCs w:val="1"/>
                <w:color w:val="auto"/>
              </w:rPr>
              <w:t>391,204</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b w:val="1"/>
                <w:bCs w:val="1"/>
                <w:color w:val="auto"/>
              </w:rPr>
              <w:t>726,182</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Interest income</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rPr>
              <w:t>198,145</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195,214</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183,933</w:t>
            </w:r>
          </w:p>
        </w:tc>
        <w:tc>
          <w:tcPr>
            <w:tcW w:w="66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-5.8%</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color w:val="auto"/>
              </w:rPr>
              <w:t>-7.2%</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756,602</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color w:val="auto"/>
              </w:rPr>
              <w:t>778,281</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i w:val="1"/>
                <w:iCs w:val="1"/>
                <w:color w:val="auto"/>
              </w:rPr>
              <w:t>Interest Expenses</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rPr>
              <w:t>-109,852</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-123,388</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-126,387</w:t>
            </w:r>
          </w:p>
        </w:tc>
        <w:tc>
          <w:tcPr>
            <w:tcW w:w="660" w:type="dxa"/>
            <w:vAlign w:val="bottom"/>
          </w:tcPr>
          <w:p>
            <w:pPr>
              <w:jc w:val="center"/>
              <w:ind w:left="223"/>
              <w:spacing w:after="0" w:line="122" w:lineRule="exact"/>
              <w:rPr>
                <w:sz w:val="20"/>
                <w:szCs w:val="20"/>
                <w:color w:val="auto"/>
              </w:rPr>
            </w:pPr>
            <w:r>
              <w:rPr>
                <w:rFonts w:ascii="Arial" w:cs="Arial" w:eastAsia="Arial" w:hAnsi="Arial"/>
                <w:sz w:val="11"/>
                <w:szCs w:val="11"/>
                <w:b w:val="1"/>
                <w:bCs w:val="1"/>
                <w:color w:val="auto"/>
              </w:rPr>
              <w:t>2.4%</w:t>
            </w:r>
          </w:p>
        </w:tc>
        <w:tc>
          <w:tcPr>
            <w:tcW w:w="1100" w:type="dxa"/>
            <w:vAlign w:val="bottom"/>
            <w:gridSpan w:val="2"/>
          </w:tcPr>
          <w:p>
            <w:pPr>
              <w:jc w:val="center"/>
              <w:ind w:left="561"/>
              <w:spacing w:after="0" w:line="122" w:lineRule="exact"/>
              <w:rPr>
                <w:sz w:val="20"/>
                <w:szCs w:val="20"/>
                <w:color w:val="auto"/>
              </w:rPr>
            </w:pPr>
            <w:r>
              <w:rPr>
                <w:rFonts w:ascii="Arial" w:cs="Arial" w:eastAsia="Arial" w:hAnsi="Arial"/>
                <w:sz w:val="11"/>
                <w:szCs w:val="11"/>
                <w:color w:val="auto"/>
              </w:rPr>
              <w:t>15.1%</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-455,794</w:t>
            </w:r>
          </w:p>
        </w:tc>
        <w:tc>
          <w:tcPr>
            <w:tcW w:w="1440" w:type="dxa"/>
            <w:vAlign w:val="bottom"/>
            <w:gridSpan w:val="2"/>
          </w:tcPr>
          <w:p>
            <w:pPr>
              <w:jc w:val="center"/>
              <w:ind w:left="143"/>
              <w:spacing w:after="0" w:line="122" w:lineRule="exact"/>
              <w:rPr>
                <w:sz w:val="20"/>
                <w:szCs w:val="20"/>
                <w:color w:val="auto"/>
              </w:rPr>
            </w:pPr>
            <w:r>
              <w:rPr>
                <w:rFonts w:ascii="Arial" w:cs="Arial" w:eastAsia="Arial" w:hAnsi="Arial"/>
                <w:sz w:val="11"/>
                <w:szCs w:val="11"/>
                <w:color w:val="auto"/>
              </w:rPr>
              <w:t>-493,247</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Net Interest Income</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b w:val="1"/>
                <w:bCs w:val="1"/>
                <w:color w:val="auto"/>
              </w:rPr>
              <w:t>88,293</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b w:val="1"/>
                <w:bCs w:val="1"/>
                <w:color w:val="auto"/>
              </w:rPr>
              <w:t>71,826</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b w:val="1"/>
                <w:bCs w:val="1"/>
                <w:color w:val="auto"/>
              </w:rPr>
              <w:t>57,546</w:t>
            </w:r>
          </w:p>
        </w:tc>
        <w:tc>
          <w:tcPr>
            <w:tcW w:w="660" w:type="dxa"/>
            <w:vAlign w:val="bottom"/>
          </w:tcPr>
          <w:p>
            <w:pPr>
              <w:jc w:val="center"/>
              <w:ind w:left="243"/>
              <w:spacing w:after="0" w:line="122" w:lineRule="exact"/>
              <w:rPr>
                <w:sz w:val="20"/>
                <w:szCs w:val="20"/>
                <w:color w:val="auto"/>
              </w:rPr>
            </w:pPr>
            <w:r>
              <w:rPr>
                <w:rFonts w:ascii="Arial" w:cs="Arial" w:eastAsia="Arial" w:hAnsi="Arial"/>
                <w:sz w:val="11"/>
                <w:szCs w:val="11"/>
                <w:b w:val="1"/>
                <w:bCs w:val="1"/>
                <w:color w:val="auto"/>
              </w:rPr>
              <w:t>-19.9%</w:t>
            </w:r>
          </w:p>
        </w:tc>
        <w:tc>
          <w:tcPr>
            <w:tcW w:w="1100" w:type="dxa"/>
            <w:vAlign w:val="bottom"/>
            <w:gridSpan w:val="2"/>
          </w:tcPr>
          <w:p>
            <w:pPr>
              <w:jc w:val="center"/>
              <w:ind w:left="561"/>
              <w:spacing w:after="0" w:line="122" w:lineRule="exact"/>
              <w:rPr>
                <w:sz w:val="20"/>
                <w:szCs w:val="20"/>
                <w:color w:val="auto"/>
              </w:rPr>
            </w:pPr>
            <w:r>
              <w:rPr>
                <w:rFonts w:ascii="Arial" w:cs="Arial" w:eastAsia="Arial" w:hAnsi="Arial"/>
                <w:sz w:val="11"/>
                <w:szCs w:val="11"/>
                <w:b w:val="1"/>
                <w:bCs w:val="1"/>
                <w:color w:val="auto"/>
              </w:rPr>
              <w:t>-34.8%</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b w:val="1"/>
                <w:bCs w:val="1"/>
                <w:color w:val="auto"/>
              </w:rPr>
              <w:t>300,808</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b w:val="1"/>
                <w:bCs w:val="1"/>
                <w:color w:val="auto"/>
              </w:rPr>
              <w:t>285,034</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Fee Income and Gain in FX</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rPr>
              <w:t>-2,628</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-2,561</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-2,744</w:t>
            </w:r>
          </w:p>
        </w:tc>
        <w:tc>
          <w:tcPr>
            <w:tcW w:w="66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7.1%</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color w:val="auto"/>
              </w:rPr>
              <w:t>4.4%</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-10,385</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color w:val="auto"/>
              </w:rPr>
              <w:t>-11,951</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i w:val="1"/>
                <w:iCs w:val="1"/>
                <w:color w:val="auto"/>
              </w:rPr>
              <w:t>Other Income No Core:</w:t>
            </w:r>
          </w:p>
        </w:tc>
        <w:tc>
          <w:tcPr>
            <w:tcW w:w="11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Net gain (loss) from exchange differences</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rPr>
              <w:t>10,768</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20,672</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893</w:t>
            </w:r>
          </w:p>
        </w:tc>
        <w:tc>
          <w:tcPr>
            <w:tcW w:w="66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-95.7%</w:t>
            </w:r>
          </w:p>
        </w:tc>
        <w:tc>
          <w:tcPr>
            <w:tcW w:w="1100" w:type="dxa"/>
            <w:vAlign w:val="bottom"/>
            <w:gridSpan w:val="2"/>
          </w:tcPr>
          <w:p>
            <w:pPr>
              <w:jc w:val="center"/>
              <w:ind w:left="561"/>
              <w:spacing w:after="0" w:line="122" w:lineRule="exact"/>
              <w:rPr>
                <w:sz w:val="20"/>
                <w:szCs w:val="20"/>
                <w:color w:val="auto"/>
              </w:rPr>
            </w:pPr>
            <w:r>
              <w:rPr>
                <w:rFonts w:ascii="Arial" w:cs="Arial" w:eastAsia="Arial" w:hAnsi="Arial"/>
                <w:sz w:val="11"/>
                <w:szCs w:val="11"/>
                <w:color w:val="auto"/>
              </w:rPr>
              <w:t>-91.7%</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12,222</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color w:val="auto"/>
              </w:rPr>
              <w:t>15,888</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Net loss on securities and associates</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rPr>
              <w:t>17,574</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27,460</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39,233</w:t>
            </w:r>
          </w:p>
        </w:tc>
        <w:tc>
          <w:tcPr>
            <w:tcW w:w="66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42.9%</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color w:val="auto"/>
              </w:rPr>
              <w:t>123.2%</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20,382</w:t>
            </w:r>
          </w:p>
        </w:tc>
        <w:tc>
          <w:tcPr>
            <w:tcW w:w="1440" w:type="dxa"/>
            <w:vAlign w:val="bottom"/>
            <w:gridSpan w:val="2"/>
          </w:tcPr>
          <w:p>
            <w:pPr>
              <w:jc w:val="center"/>
              <w:ind w:left="143"/>
              <w:spacing w:after="0" w:line="122" w:lineRule="exact"/>
              <w:rPr>
                <w:sz w:val="20"/>
                <w:szCs w:val="20"/>
                <w:color w:val="auto"/>
              </w:rPr>
            </w:pPr>
            <w:r>
              <w:rPr>
                <w:rFonts w:ascii="Arial" w:cs="Arial" w:eastAsia="Arial" w:hAnsi="Arial"/>
                <w:sz w:val="11"/>
                <w:szCs w:val="11"/>
                <w:color w:val="auto"/>
              </w:rPr>
              <w:t>118,319</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Other Income not operational</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w w:val="96"/>
              </w:rPr>
              <w:t>-11,517</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25,779</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32,649</w:t>
            </w:r>
          </w:p>
        </w:tc>
        <w:tc>
          <w:tcPr>
            <w:tcW w:w="66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26.6%</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color w:val="auto"/>
              </w:rPr>
              <w:t>-383.5%</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32,073</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color w:val="auto"/>
              </w:rPr>
              <w:t>94,611</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Other Income</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b w:val="1"/>
                <w:bCs w:val="1"/>
                <w:color w:val="auto"/>
              </w:rPr>
              <w:t>14,197</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b w:val="1"/>
                <w:bCs w:val="1"/>
                <w:color w:val="auto"/>
              </w:rPr>
              <w:t>71,350</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b w:val="1"/>
                <w:bCs w:val="1"/>
                <w:color w:val="auto"/>
              </w:rPr>
              <w:t>70,031</w:t>
            </w:r>
          </w:p>
        </w:tc>
        <w:tc>
          <w:tcPr>
            <w:tcW w:w="660" w:type="dxa"/>
            <w:vAlign w:val="bottom"/>
          </w:tcPr>
          <w:p>
            <w:pPr>
              <w:jc w:val="center"/>
              <w:ind w:left="223"/>
              <w:spacing w:after="0" w:line="122" w:lineRule="exact"/>
              <w:rPr>
                <w:sz w:val="20"/>
                <w:szCs w:val="20"/>
                <w:color w:val="auto"/>
              </w:rPr>
            </w:pPr>
            <w:r>
              <w:rPr>
                <w:rFonts w:ascii="Arial" w:cs="Arial" w:eastAsia="Arial" w:hAnsi="Arial"/>
                <w:sz w:val="11"/>
                <w:szCs w:val="11"/>
                <w:b w:val="1"/>
                <w:bCs w:val="1"/>
                <w:color w:val="auto"/>
              </w:rPr>
              <w:t>-1.8%</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b w:val="1"/>
                <w:bCs w:val="1"/>
                <w:color w:val="auto"/>
              </w:rPr>
              <w:t>393.3%</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b w:val="1"/>
                <w:bCs w:val="1"/>
                <w:color w:val="auto"/>
              </w:rPr>
              <w:t>54,292</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b w:val="1"/>
                <w:bCs w:val="1"/>
                <w:color w:val="auto"/>
              </w:rPr>
              <w:t>216,867</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Operating expenses</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w w:val="96"/>
              </w:rPr>
              <w:t>-82,114</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-79,355</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-85,485</w:t>
            </w:r>
          </w:p>
        </w:tc>
        <w:tc>
          <w:tcPr>
            <w:tcW w:w="66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7.7%</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color w:val="auto"/>
              </w:rPr>
              <w:t>4.1%</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-262,796</w:t>
            </w:r>
          </w:p>
        </w:tc>
        <w:tc>
          <w:tcPr>
            <w:tcW w:w="1440" w:type="dxa"/>
            <w:vAlign w:val="bottom"/>
            <w:gridSpan w:val="2"/>
          </w:tcPr>
          <w:p>
            <w:pPr>
              <w:jc w:val="center"/>
              <w:ind w:left="143"/>
              <w:spacing w:after="0" w:line="122" w:lineRule="exact"/>
              <w:rPr>
                <w:sz w:val="20"/>
                <w:szCs w:val="20"/>
                <w:color w:val="auto"/>
              </w:rPr>
            </w:pPr>
            <w:r>
              <w:rPr>
                <w:rFonts w:ascii="Arial" w:cs="Arial" w:eastAsia="Arial" w:hAnsi="Arial"/>
                <w:sz w:val="11"/>
                <w:szCs w:val="11"/>
                <w:color w:val="auto"/>
              </w:rPr>
              <w:t>-301,816</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Other expenses</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rPr>
              <w:t>6,582</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-19,594</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-35,317</w:t>
            </w:r>
          </w:p>
        </w:tc>
        <w:tc>
          <w:tcPr>
            <w:tcW w:w="660" w:type="dxa"/>
            <w:vAlign w:val="bottom"/>
          </w:tcPr>
          <w:p>
            <w:pPr>
              <w:jc w:val="center"/>
              <w:ind w:left="243"/>
              <w:spacing w:after="0" w:line="122" w:lineRule="exact"/>
              <w:rPr>
                <w:sz w:val="20"/>
                <w:szCs w:val="20"/>
                <w:color w:val="auto"/>
              </w:rPr>
            </w:pPr>
            <w:r>
              <w:rPr>
                <w:rFonts w:ascii="Arial" w:cs="Arial" w:eastAsia="Arial" w:hAnsi="Arial"/>
                <w:sz w:val="11"/>
                <w:szCs w:val="11"/>
                <w:color w:val="auto"/>
              </w:rPr>
              <w:t>80.2%</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color w:val="auto"/>
              </w:rPr>
              <w:t>-636.6%</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-4,787</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color w:val="auto"/>
              </w:rPr>
              <w:t>-75,549</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b w:val="1"/>
                <w:bCs w:val="1"/>
                <w:color w:val="auto"/>
              </w:rPr>
              <w:t>Total Expenses</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b w:val="1"/>
                <w:bCs w:val="1"/>
                <w:color w:val="auto"/>
              </w:rPr>
              <w:t>-75,532</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b w:val="1"/>
                <w:bCs w:val="1"/>
                <w:color w:val="auto"/>
              </w:rPr>
              <w:t>-98,949</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b w:val="1"/>
                <w:bCs w:val="1"/>
                <w:color w:val="auto"/>
              </w:rPr>
              <w:t>-120,802</w:t>
            </w:r>
          </w:p>
        </w:tc>
        <w:tc>
          <w:tcPr>
            <w:tcW w:w="660" w:type="dxa"/>
            <w:vAlign w:val="bottom"/>
          </w:tcPr>
          <w:p>
            <w:pPr>
              <w:jc w:val="center"/>
              <w:ind w:left="243"/>
              <w:spacing w:after="0" w:line="122" w:lineRule="exact"/>
              <w:rPr>
                <w:sz w:val="20"/>
                <w:szCs w:val="20"/>
                <w:color w:val="auto"/>
              </w:rPr>
            </w:pPr>
            <w:r>
              <w:rPr>
                <w:rFonts w:ascii="Arial" w:cs="Arial" w:eastAsia="Arial" w:hAnsi="Arial"/>
                <w:sz w:val="11"/>
                <w:szCs w:val="11"/>
                <w:b w:val="1"/>
                <w:bCs w:val="1"/>
                <w:color w:val="auto"/>
              </w:rPr>
              <w:t>22.1%</w:t>
            </w:r>
          </w:p>
        </w:tc>
        <w:tc>
          <w:tcPr>
            <w:tcW w:w="1100" w:type="dxa"/>
            <w:vAlign w:val="bottom"/>
            <w:gridSpan w:val="2"/>
          </w:tcPr>
          <w:p>
            <w:pPr>
              <w:jc w:val="center"/>
              <w:ind w:left="561"/>
              <w:spacing w:after="0" w:line="122" w:lineRule="exact"/>
              <w:rPr>
                <w:sz w:val="20"/>
                <w:szCs w:val="20"/>
                <w:color w:val="auto"/>
              </w:rPr>
            </w:pPr>
            <w:r>
              <w:rPr>
                <w:rFonts w:ascii="Arial" w:cs="Arial" w:eastAsia="Arial" w:hAnsi="Arial"/>
                <w:sz w:val="11"/>
                <w:szCs w:val="11"/>
                <w:b w:val="1"/>
                <w:bCs w:val="1"/>
                <w:color w:val="auto"/>
              </w:rPr>
              <w:t>59.9%</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b w:val="1"/>
                <w:bCs w:val="1"/>
                <w:color w:val="auto"/>
              </w:rPr>
              <w:t>-267,583</w:t>
            </w:r>
          </w:p>
        </w:tc>
        <w:tc>
          <w:tcPr>
            <w:tcW w:w="1440" w:type="dxa"/>
            <w:vAlign w:val="bottom"/>
            <w:gridSpan w:val="2"/>
          </w:tcPr>
          <w:p>
            <w:pPr>
              <w:jc w:val="center"/>
              <w:ind w:left="143"/>
              <w:spacing w:after="0" w:line="122" w:lineRule="exact"/>
              <w:rPr>
                <w:sz w:val="20"/>
                <w:szCs w:val="20"/>
                <w:color w:val="auto"/>
              </w:rPr>
            </w:pPr>
            <w:r>
              <w:rPr>
                <w:rFonts w:ascii="Arial" w:cs="Arial" w:eastAsia="Arial" w:hAnsi="Arial"/>
                <w:sz w:val="11"/>
                <w:szCs w:val="11"/>
                <w:b w:val="1"/>
                <w:bCs w:val="1"/>
                <w:color w:val="auto"/>
              </w:rPr>
              <w:t>-377,365</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tcPr>
          <w:p>
            <w:pPr>
              <w:ind w:left="100"/>
              <w:spacing w:after="0" w:line="122" w:lineRule="exact"/>
              <w:rPr>
                <w:sz w:val="20"/>
                <w:szCs w:val="20"/>
                <w:color w:val="auto"/>
              </w:rPr>
            </w:pPr>
            <w:r>
              <w:rPr>
                <w:rFonts w:ascii="Arial" w:cs="Arial" w:eastAsia="Arial" w:hAnsi="Arial"/>
                <w:sz w:val="11"/>
                <w:szCs w:val="11"/>
                <w:color w:val="auto"/>
              </w:rPr>
              <w:t>Income tax</w:t>
            </w:r>
          </w:p>
        </w:tc>
        <w:tc>
          <w:tcPr>
            <w:tcW w:w="1160" w:type="dxa"/>
            <w:vAlign w:val="bottom"/>
            <w:tcBorders>
              <w:right w:val="single" w:sz="8" w:color="auto"/>
            </w:tcBorders>
          </w:tcPr>
          <w:p>
            <w:pPr>
              <w:spacing w:after="0"/>
              <w:rPr>
                <w:sz w:val="10"/>
                <w:szCs w:val="10"/>
                <w:color w:val="auto"/>
              </w:rPr>
            </w:pPr>
          </w:p>
        </w:tc>
        <w:tc>
          <w:tcPr>
            <w:tcW w:w="760" w:type="dxa"/>
            <w:vAlign w:val="bottom"/>
            <w:gridSpan w:val="2"/>
          </w:tcPr>
          <w:p>
            <w:pPr>
              <w:jc w:val="center"/>
              <w:ind w:left="263"/>
              <w:spacing w:after="0" w:line="122" w:lineRule="exact"/>
              <w:rPr>
                <w:sz w:val="20"/>
                <w:szCs w:val="20"/>
                <w:color w:val="auto"/>
              </w:rPr>
            </w:pPr>
            <w:r>
              <w:rPr>
                <w:rFonts w:ascii="Arial" w:cs="Arial" w:eastAsia="Arial" w:hAnsi="Arial"/>
                <w:sz w:val="11"/>
                <w:szCs w:val="11"/>
                <w:color w:val="auto"/>
              </w:rPr>
              <w:t>-3,096</w:t>
            </w:r>
          </w:p>
        </w:tc>
        <w:tc>
          <w:tcPr>
            <w:tcW w:w="1160" w:type="dxa"/>
            <w:vAlign w:val="bottom"/>
          </w:tcPr>
          <w:p>
            <w:pPr>
              <w:jc w:val="center"/>
              <w:ind w:left="560"/>
              <w:spacing w:after="0" w:line="122" w:lineRule="exact"/>
              <w:rPr>
                <w:sz w:val="20"/>
                <w:szCs w:val="20"/>
                <w:color w:val="auto"/>
              </w:rPr>
            </w:pPr>
            <w:r>
              <w:rPr>
                <w:rFonts w:ascii="Arial" w:cs="Arial" w:eastAsia="Arial" w:hAnsi="Arial"/>
                <w:sz w:val="11"/>
                <w:szCs w:val="11"/>
                <w:color w:val="auto"/>
              </w:rPr>
              <w:t>-4,307</w:t>
            </w:r>
          </w:p>
        </w:tc>
        <w:tc>
          <w:tcPr>
            <w:tcW w:w="1300" w:type="dxa"/>
            <w:vAlign w:val="bottom"/>
            <w:tcBorders>
              <w:right w:val="single" w:sz="8" w:color="auto"/>
            </w:tcBorders>
          </w:tcPr>
          <w:p>
            <w:pPr>
              <w:jc w:val="center"/>
              <w:ind w:left="203"/>
              <w:spacing w:after="0" w:line="122" w:lineRule="exact"/>
              <w:rPr>
                <w:sz w:val="20"/>
                <w:szCs w:val="20"/>
                <w:color w:val="auto"/>
              </w:rPr>
            </w:pPr>
            <w:r>
              <w:rPr>
                <w:rFonts w:ascii="Arial" w:cs="Arial" w:eastAsia="Arial" w:hAnsi="Arial"/>
                <w:sz w:val="11"/>
                <w:szCs w:val="11"/>
                <w:color w:val="auto"/>
              </w:rPr>
              <w:t>-29,667</w:t>
            </w:r>
          </w:p>
        </w:tc>
        <w:tc>
          <w:tcPr>
            <w:tcW w:w="660" w:type="dxa"/>
            <w:vAlign w:val="bottom"/>
          </w:tcPr>
          <w:p>
            <w:pPr>
              <w:jc w:val="center"/>
              <w:ind w:left="223"/>
              <w:spacing w:after="0" w:line="122" w:lineRule="exact"/>
              <w:rPr>
                <w:sz w:val="20"/>
                <w:szCs w:val="20"/>
                <w:color w:val="auto"/>
              </w:rPr>
            </w:pPr>
            <w:r>
              <w:rPr>
                <w:rFonts w:ascii="Arial" w:cs="Arial" w:eastAsia="Arial" w:hAnsi="Arial"/>
                <w:sz w:val="11"/>
                <w:szCs w:val="11"/>
                <w:color w:val="auto"/>
              </w:rPr>
              <w:t>588.8%</w:t>
            </w:r>
          </w:p>
        </w:tc>
        <w:tc>
          <w:tcPr>
            <w:tcW w:w="1100" w:type="dxa"/>
            <w:vAlign w:val="bottom"/>
            <w:gridSpan w:val="2"/>
          </w:tcPr>
          <w:p>
            <w:pPr>
              <w:jc w:val="center"/>
              <w:ind w:left="541"/>
              <w:spacing w:after="0" w:line="122" w:lineRule="exact"/>
              <w:rPr>
                <w:sz w:val="20"/>
                <w:szCs w:val="20"/>
                <w:color w:val="auto"/>
              </w:rPr>
            </w:pPr>
            <w:r>
              <w:rPr>
                <w:rFonts w:ascii="Arial" w:cs="Arial" w:eastAsia="Arial" w:hAnsi="Arial"/>
                <w:sz w:val="11"/>
                <w:szCs w:val="11"/>
                <w:color w:val="auto"/>
              </w:rPr>
              <w:t>858.2%</w:t>
            </w:r>
          </w:p>
        </w:tc>
        <w:tc>
          <w:tcPr>
            <w:tcW w:w="320" w:type="dxa"/>
            <w:vAlign w:val="bottom"/>
            <w:tcBorders>
              <w:right w:val="single" w:sz="8" w:color="auto"/>
            </w:tcBorders>
          </w:tcPr>
          <w:p>
            <w:pPr>
              <w:spacing w:after="0"/>
              <w:rPr>
                <w:sz w:val="10"/>
                <w:szCs w:val="10"/>
                <w:color w:val="auto"/>
              </w:rPr>
            </w:pPr>
          </w:p>
        </w:tc>
        <w:tc>
          <w:tcPr>
            <w:tcW w:w="900" w:type="dxa"/>
            <w:vAlign w:val="bottom"/>
          </w:tcPr>
          <w:p>
            <w:pPr>
              <w:jc w:val="center"/>
              <w:ind w:left="143"/>
              <w:spacing w:after="0" w:line="122" w:lineRule="exact"/>
              <w:rPr>
                <w:sz w:val="20"/>
                <w:szCs w:val="20"/>
                <w:color w:val="auto"/>
              </w:rPr>
            </w:pPr>
            <w:r>
              <w:rPr>
                <w:rFonts w:ascii="Arial" w:cs="Arial" w:eastAsia="Arial" w:hAnsi="Arial"/>
                <w:sz w:val="11"/>
                <w:szCs w:val="11"/>
                <w:color w:val="auto"/>
              </w:rPr>
              <w:t>-12,318</w:t>
            </w:r>
          </w:p>
        </w:tc>
        <w:tc>
          <w:tcPr>
            <w:tcW w:w="1440" w:type="dxa"/>
            <w:vAlign w:val="bottom"/>
            <w:gridSpan w:val="2"/>
          </w:tcPr>
          <w:p>
            <w:pPr>
              <w:jc w:val="center"/>
              <w:ind w:left="123"/>
              <w:spacing w:after="0" w:line="122" w:lineRule="exact"/>
              <w:rPr>
                <w:sz w:val="20"/>
                <w:szCs w:val="20"/>
                <w:color w:val="auto"/>
              </w:rPr>
            </w:pPr>
            <w:r>
              <w:rPr>
                <w:rFonts w:ascii="Arial" w:cs="Arial" w:eastAsia="Arial" w:hAnsi="Arial"/>
                <w:sz w:val="11"/>
                <w:szCs w:val="11"/>
                <w:color w:val="auto"/>
              </w:rPr>
              <w:t>-40,290</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4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b w:val="1"/>
                <w:bCs w:val="1"/>
                <w:color w:val="auto"/>
              </w:rPr>
              <w:t>Net income</w:t>
            </w:r>
          </w:p>
        </w:tc>
        <w:tc>
          <w:tcPr>
            <w:tcW w:w="11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gridSpan w:val="2"/>
          </w:tcPr>
          <w:p>
            <w:pPr>
              <w:jc w:val="center"/>
              <w:ind w:left="263"/>
              <w:spacing w:after="0"/>
              <w:rPr>
                <w:sz w:val="20"/>
                <w:szCs w:val="20"/>
                <w:color w:val="auto"/>
              </w:rPr>
            </w:pPr>
            <w:r>
              <w:rPr>
                <w:rFonts w:ascii="Arial" w:cs="Arial" w:eastAsia="Arial" w:hAnsi="Arial"/>
                <w:sz w:val="11"/>
                <w:szCs w:val="11"/>
                <w:b w:val="1"/>
                <w:bCs w:val="1"/>
                <w:color w:val="auto"/>
              </w:rPr>
              <w:t>56,987</w:t>
            </w:r>
          </w:p>
        </w:tc>
        <w:tc>
          <w:tcPr>
            <w:tcW w:w="1160" w:type="dxa"/>
            <w:vAlign w:val="bottom"/>
            <w:tcBorders>
              <w:bottom w:val="single" w:sz="8" w:color="auto"/>
            </w:tcBorders>
          </w:tcPr>
          <w:p>
            <w:pPr>
              <w:jc w:val="center"/>
              <w:ind w:left="560"/>
              <w:spacing w:after="0"/>
              <w:rPr>
                <w:sz w:val="20"/>
                <w:szCs w:val="20"/>
                <w:color w:val="auto"/>
              </w:rPr>
            </w:pPr>
            <w:r>
              <w:rPr>
                <w:rFonts w:ascii="Arial" w:cs="Arial" w:eastAsia="Arial" w:hAnsi="Arial"/>
                <w:sz w:val="11"/>
                <w:szCs w:val="11"/>
                <w:b w:val="1"/>
                <w:bCs w:val="1"/>
                <w:color w:val="auto"/>
              </w:rPr>
              <w:t>246,327</w:t>
            </w:r>
          </w:p>
        </w:tc>
        <w:tc>
          <w:tcPr>
            <w:tcW w:w="130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135,998</w:t>
            </w:r>
          </w:p>
        </w:tc>
        <w:tc>
          <w:tcPr>
            <w:tcW w:w="66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rPr>
              <w:t>-44.8%</w:t>
            </w:r>
          </w:p>
        </w:tc>
        <w:tc>
          <w:tcPr>
            <w:tcW w:w="110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1"/>
                <w:szCs w:val="11"/>
                <w:b w:val="1"/>
                <w:bCs w:val="1"/>
                <w:color w:val="auto"/>
              </w:rPr>
              <w:t>138.6%</w:t>
            </w:r>
          </w:p>
        </w:tc>
        <w:tc>
          <w:tcPr>
            <w:tcW w:w="3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jc w:val="center"/>
              <w:ind w:left="143"/>
              <w:spacing w:after="0"/>
              <w:rPr>
                <w:sz w:val="20"/>
                <w:szCs w:val="20"/>
                <w:color w:val="auto"/>
              </w:rPr>
            </w:pPr>
            <w:r>
              <w:rPr>
                <w:rFonts w:ascii="Arial" w:cs="Arial" w:eastAsia="Arial" w:hAnsi="Arial"/>
                <w:sz w:val="11"/>
                <w:szCs w:val="11"/>
                <w:b w:val="1"/>
                <w:bCs w:val="1"/>
                <w:color w:val="auto"/>
              </w:rPr>
              <w:t>466,403</w:t>
            </w:r>
          </w:p>
        </w:tc>
        <w:tc>
          <w:tcPr>
            <w:tcW w:w="1440" w:type="dxa"/>
            <w:vAlign w:val="bottom"/>
            <w:tcBorders>
              <w:bottom w:val="single" w:sz="8" w:color="auto"/>
            </w:tcBorders>
            <w:gridSpan w:val="2"/>
          </w:tcPr>
          <w:p>
            <w:pPr>
              <w:jc w:val="center"/>
              <w:ind w:left="123"/>
              <w:spacing w:after="0"/>
              <w:rPr>
                <w:sz w:val="20"/>
                <w:szCs w:val="20"/>
                <w:color w:val="auto"/>
              </w:rPr>
            </w:pPr>
            <w:r>
              <w:rPr>
                <w:rFonts w:ascii="Arial" w:cs="Arial" w:eastAsia="Arial" w:hAnsi="Arial"/>
                <w:sz w:val="11"/>
                <w:szCs w:val="11"/>
                <w:b w:val="1"/>
                <w:bCs w:val="1"/>
                <w:color w:val="auto"/>
              </w:rPr>
              <w:t>810,428</w:t>
            </w: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-3366770</wp:posOffset>
            </wp:positionV>
            <wp:extent cx="1161415" cy="1390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*Financial statements without consolidation adjustments.</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(1) Excluding investments in real estate.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From 1Q15 and on, Grupo Pacifico’s financial statements reflect the agreement with Banmedica (in equal parts) of the businesses of:</w:t>
      </w:r>
    </w:p>
    <w:p>
      <w:pPr>
        <w:spacing w:after="0" w:line="14" w:lineRule="exact"/>
        <w:rPr>
          <w:sz w:val="20"/>
          <w:szCs w:val="20"/>
          <w:color w:val="auto"/>
        </w:rPr>
      </w:pPr>
    </w:p>
    <w:p>
      <w:pPr>
        <w:ind w:left="580" w:hanging="290"/>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private health insurance managed by Grupo Pacifico and included in its Financial Statements in each of the accounting lines;</w:t>
      </w:r>
    </w:p>
    <w:p>
      <w:pPr>
        <w:ind w:left="580" w:hanging="290"/>
        <w:spacing w:after="0" w:line="238" w:lineRule="auto"/>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corporate health insurance (dependent workers); and</w:t>
      </w:r>
    </w:p>
    <w:p>
      <w:pPr>
        <w:ind w:left="580" w:hanging="290"/>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medical services.</w:t>
      </w:r>
    </w:p>
    <w:p>
      <w:pPr>
        <w:spacing w:after="0" w:line="166"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21" w:lineRule="exact"/>
        <w:rPr>
          <w:sz w:val="20"/>
          <w:szCs w:val="20"/>
          <w:color w:val="auto"/>
        </w:rPr>
      </w:pPr>
    </w:p>
    <w:p>
      <w:pPr>
        <w:ind w:right="800"/>
        <w:spacing w:after="0" w:line="279" w:lineRule="auto"/>
        <w:rPr>
          <w:sz w:val="20"/>
          <w:szCs w:val="20"/>
          <w:color w:val="auto"/>
        </w:rPr>
      </w:pPr>
      <w:r>
        <w:rPr>
          <w:rFonts w:ascii="Arial" w:cs="Arial" w:eastAsia="Arial" w:hAnsi="Arial"/>
          <w:sz w:val="16"/>
          <w:szCs w:val="16"/>
          <w:color w:val="auto"/>
        </w:rPr>
        <w:t>As explained before, corporate health insurance and medical services businesses are consolidated by Banmedica. The following table reflects the consolidated results from which Grupo Pacifico receives the 50% net income.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43"/>
        </w:trPr>
        <w:tc>
          <w:tcPr>
            <w:tcW w:w="8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140" w:right="319" w:bottom="1440" w:gutter="0" w:footer="0" w:header="0"/>
        </w:sectPr>
      </w:pPr>
    </w:p>
    <w:bookmarkStart w:id="78" w:name="page79"/>
    <w:bookmarkEnd w:id="78"/>
    <w:p>
      <w:pPr>
        <w:ind w:left="2720"/>
        <w:spacing w:after="0"/>
        <w:tabs>
          <w:tab w:leader="none" w:pos="2920" w:val="left"/>
          <w:tab w:leader="none" w:pos="750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657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5655" cy="657860"/>
                    </a:xfrm>
                    <a:prstGeom prst="rect">
                      <a:avLst/>
                    </a:prstGeom>
                    <a:noFill/>
                  </pic:spPr>
                </pic:pic>
              </a:graphicData>
            </a:graphic>
          </wp:anchor>
        </w:drawing>
        <w:t>|</w:t>
      </w:r>
      <w:r>
        <w:rPr>
          <w:sz w:val="20"/>
          <w:szCs w:val="20"/>
          <w:color w:val="auto"/>
        </w:rPr>
        <w:tab/>
      </w:r>
      <w:r>
        <w:rPr>
          <w:rFonts w:ascii="Arial" w:cs="Arial" w:eastAsia="Arial" w:hAnsi="Arial"/>
          <w:sz w:val="18"/>
          <w:szCs w:val="18"/>
          <w:b w:val="1"/>
          <w:bCs w:val="1"/>
          <w:color w:val="A6A6A6"/>
        </w:rPr>
        <w:t>Earnings Release 4Q / 2023</w:t>
      </w:r>
      <w:r>
        <w:rPr>
          <w:sz w:val="20"/>
          <w:szCs w:val="20"/>
          <w:color w:val="auto"/>
        </w:rPr>
        <w:tab/>
      </w:r>
      <w:r>
        <w:rPr>
          <w:rFonts w:ascii="Arial" w:cs="Arial" w:eastAsia="Arial" w:hAnsi="Arial"/>
          <w:sz w:val="17"/>
          <w:szCs w:val="17"/>
          <w:b w:val="1"/>
          <w:bCs w:val="1"/>
          <w:color w:val="E93BAC"/>
        </w:rPr>
        <w:t>Analysis of 4Q23 Consolidated Results</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12. Appendix</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Corporate health insurance and Medical Services (1)</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 in thousands)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19"/>
        </w:trPr>
        <w:tc>
          <w:tcPr>
            <w:tcW w:w="3840" w:type="dxa"/>
            <w:vAlign w:val="bottom"/>
            <w:tcBorders>
              <w:right w:val="single" w:sz="8" w:color="auto"/>
            </w:tcBorders>
          </w:tcPr>
          <w:p>
            <w:pPr>
              <w:spacing w:after="0"/>
              <w:rPr>
                <w:sz w:val="10"/>
                <w:szCs w:val="10"/>
                <w:color w:val="auto"/>
              </w:rPr>
            </w:pPr>
          </w:p>
        </w:tc>
        <w:tc>
          <w:tcPr>
            <w:tcW w:w="940" w:type="dxa"/>
            <w:vAlign w:val="bottom"/>
            <w:tcBorders>
              <w:top w:val="single" w:sz="8" w:color="auto"/>
            </w:tcBorders>
            <w:shd w:val="clear" w:color="auto" w:fill="2AD2C9"/>
          </w:tcPr>
          <w:p>
            <w:pPr>
              <w:spacing w:after="0"/>
              <w:rPr>
                <w:sz w:val="10"/>
                <w:szCs w:val="10"/>
                <w:color w:val="auto"/>
              </w:rPr>
            </w:pPr>
          </w:p>
        </w:tc>
        <w:tc>
          <w:tcPr>
            <w:tcW w:w="960" w:type="dxa"/>
            <w:vAlign w:val="bottom"/>
            <w:tcBorders>
              <w:top w:val="single" w:sz="8" w:color="auto"/>
            </w:tcBorders>
            <w:shd w:val="clear" w:color="auto" w:fill="2AD2C9"/>
          </w:tcPr>
          <w:p>
            <w:pPr>
              <w:jc w:val="right"/>
              <w:ind w:right="243"/>
              <w:spacing w:after="0" w:line="119" w:lineRule="exact"/>
              <w:rPr>
                <w:sz w:val="20"/>
                <w:szCs w:val="20"/>
                <w:color w:val="auto"/>
              </w:rPr>
            </w:pPr>
            <w:r>
              <w:rPr>
                <w:rFonts w:ascii="Arial" w:cs="Arial" w:eastAsia="Arial" w:hAnsi="Arial"/>
                <w:sz w:val="11"/>
                <w:szCs w:val="11"/>
                <w:b w:val="1"/>
                <w:bCs w:val="1"/>
                <w:color w:val="FFFFFF"/>
              </w:rPr>
              <w:t>Quarterly</w:t>
            </w:r>
          </w:p>
        </w:tc>
        <w:tc>
          <w:tcPr>
            <w:tcW w:w="820" w:type="dxa"/>
            <w:vAlign w:val="bottom"/>
            <w:tcBorders>
              <w:top w:val="single" w:sz="8" w:color="auto"/>
              <w:right w:val="single" w:sz="8" w:color="auto"/>
            </w:tcBorders>
            <w:shd w:val="clear" w:color="auto" w:fill="2AD2C9"/>
          </w:tcPr>
          <w:p>
            <w:pPr>
              <w:spacing w:after="0"/>
              <w:rPr>
                <w:sz w:val="10"/>
                <w:szCs w:val="10"/>
                <w:color w:val="auto"/>
              </w:rPr>
            </w:pPr>
          </w:p>
        </w:tc>
        <w:tc>
          <w:tcPr>
            <w:tcW w:w="1800" w:type="dxa"/>
            <w:vAlign w:val="bottom"/>
            <w:tcBorders>
              <w:top w:val="single" w:sz="8" w:color="auto"/>
              <w:right w:val="single" w:sz="8" w:color="auto"/>
            </w:tcBorders>
            <w:gridSpan w:val="2"/>
            <w:shd w:val="clear" w:color="auto" w:fill="2AD2C9"/>
          </w:tcPr>
          <w:p>
            <w:pPr>
              <w:ind w:left="620"/>
              <w:spacing w:after="0" w:line="119" w:lineRule="exact"/>
              <w:rPr>
                <w:sz w:val="20"/>
                <w:szCs w:val="20"/>
                <w:color w:val="auto"/>
              </w:rPr>
            </w:pPr>
            <w:r>
              <w:rPr>
                <w:rFonts w:ascii="Arial" w:cs="Arial" w:eastAsia="Arial" w:hAnsi="Arial"/>
                <w:sz w:val="11"/>
                <w:szCs w:val="11"/>
                <w:b w:val="1"/>
                <w:bCs w:val="1"/>
                <w:color w:val="FFFFFF"/>
              </w:rPr>
              <w:t>% change</w:t>
            </w:r>
          </w:p>
        </w:tc>
        <w:tc>
          <w:tcPr>
            <w:tcW w:w="1060" w:type="dxa"/>
            <w:vAlign w:val="bottom"/>
            <w:tcBorders>
              <w:top w:val="single" w:sz="8" w:color="auto"/>
            </w:tcBorders>
            <w:shd w:val="clear" w:color="auto" w:fill="2AD2C9"/>
          </w:tcPr>
          <w:p>
            <w:pPr>
              <w:jc w:val="right"/>
              <w:spacing w:after="0" w:line="119" w:lineRule="exact"/>
              <w:rPr>
                <w:sz w:val="20"/>
                <w:szCs w:val="20"/>
                <w:color w:val="auto"/>
              </w:rPr>
            </w:pPr>
            <w:r>
              <w:rPr>
                <w:rFonts w:ascii="Arial" w:cs="Arial" w:eastAsia="Arial" w:hAnsi="Arial"/>
                <w:sz w:val="11"/>
                <w:szCs w:val="11"/>
                <w:b w:val="1"/>
                <w:bCs w:val="1"/>
                <w:color w:val="FFFFFF"/>
              </w:rPr>
              <w:t>As of</w:t>
            </w:r>
          </w:p>
        </w:tc>
        <w:tc>
          <w:tcPr>
            <w:tcW w:w="720" w:type="dxa"/>
            <w:vAlign w:val="bottom"/>
            <w:tcBorders>
              <w:top w:val="single" w:sz="8" w:color="auto"/>
              <w:right w:val="single" w:sz="8" w:color="auto"/>
            </w:tcBorders>
            <w:shd w:val="clear" w:color="auto" w:fill="2AD2C9"/>
          </w:tcPr>
          <w:p>
            <w:pPr>
              <w:spacing w:after="0"/>
              <w:rPr>
                <w:sz w:val="10"/>
                <w:szCs w:val="10"/>
                <w:color w:val="auto"/>
              </w:rPr>
            </w:pPr>
          </w:p>
        </w:tc>
        <w:tc>
          <w:tcPr>
            <w:tcW w:w="1120" w:type="dxa"/>
            <w:vAlign w:val="bottom"/>
            <w:tcBorders>
              <w:top w:val="single" w:sz="8" w:color="auto"/>
              <w:right w:val="single" w:sz="8" w:color="auto"/>
            </w:tcBorders>
            <w:shd w:val="clear" w:color="auto" w:fill="2AD2C9"/>
          </w:tcPr>
          <w:p>
            <w:pPr>
              <w:jc w:val="center"/>
              <w:spacing w:after="0" w:line="119" w:lineRule="exact"/>
              <w:rPr>
                <w:sz w:val="20"/>
                <w:szCs w:val="20"/>
                <w:color w:val="auto"/>
              </w:rPr>
            </w:pPr>
            <w:r>
              <w:rPr>
                <w:rFonts w:ascii="Arial" w:cs="Arial" w:eastAsia="Arial" w:hAnsi="Arial"/>
                <w:sz w:val="11"/>
                <w:szCs w:val="11"/>
                <w:b w:val="1"/>
                <w:bCs w:val="1"/>
                <w:color w:val="FFFFFF"/>
              </w:rPr>
              <w:t>% change</w:t>
            </w:r>
          </w:p>
        </w:tc>
      </w:tr>
      <w:tr>
        <w:trPr>
          <w:trHeight w:val="137"/>
        </w:trPr>
        <w:tc>
          <w:tcPr>
            <w:tcW w:w="38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shd w:val="clear" w:color="auto" w:fill="2AD2C9"/>
          </w:tcPr>
          <w:p>
            <w:pPr>
              <w:jc w:val="right"/>
              <w:ind w:right="303"/>
              <w:spacing w:after="0"/>
              <w:rPr>
                <w:sz w:val="20"/>
                <w:szCs w:val="20"/>
                <w:color w:val="auto"/>
              </w:rPr>
            </w:pPr>
            <w:r>
              <w:rPr>
                <w:rFonts w:ascii="Arial" w:cs="Arial" w:eastAsia="Arial" w:hAnsi="Arial"/>
                <w:sz w:val="11"/>
                <w:szCs w:val="11"/>
                <w:b w:val="1"/>
                <w:bCs w:val="1"/>
                <w:color w:val="FFFFFF"/>
              </w:rPr>
              <w:t>4Q22</w:t>
            </w:r>
          </w:p>
        </w:tc>
        <w:tc>
          <w:tcPr>
            <w:tcW w:w="960" w:type="dxa"/>
            <w:vAlign w:val="bottom"/>
            <w:tcBorders>
              <w:bottom w:val="single" w:sz="8" w:color="auto"/>
            </w:tcBorders>
            <w:shd w:val="clear" w:color="auto" w:fill="2AD2C9"/>
          </w:tcPr>
          <w:p>
            <w:pPr>
              <w:jc w:val="right"/>
              <w:ind w:right="363"/>
              <w:spacing w:after="0"/>
              <w:rPr>
                <w:sz w:val="20"/>
                <w:szCs w:val="20"/>
                <w:color w:val="auto"/>
              </w:rPr>
            </w:pPr>
            <w:r>
              <w:rPr>
                <w:rFonts w:ascii="Arial" w:cs="Arial" w:eastAsia="Arial" w:hAnsi="Arial"/>
                <w:sz w:val="11"/>
                <w:szCs w:val="11"/>
                <w:b w:val="1"/>
                <w:bCs w:val="1"/>
                <w:color w:val="FFFFFF"/>
              </w:rPr>
              <w:t>3Q23</w:t>
            </w:r>
          </w:p>
        </w:tc>
        <w:tc>
          <w:tcPr>
            <w:tcW w:w="820" w:type="dxa"/>
            <w:vAlign w:val="bottom"/>
            <w:tcBorders>
              <w:bottom w:val="single" w:sz="8" w:color="auto"/>
              <w:right w:val="single" w:sz="8" w:color="auto"/>
            </w:tcBorders>
            <w:shd w:val="clear" w:color="auto" w:fill="2AD2C9"/>
          </w:tcPr>
          <w:p>
            <w:pPr>
              <w:jc w:val="right"/>
              <w:ind w:right="283"/>
              <w:spacing w:after="0"/>
              <w:rPr>
                <w:sz w:val="20"/>
                <w:szCs w:val="20"/>
                <w:color w:val="auto"/>
              </w:rPr>
            </w:pPr>
            <w:r>
              <w:rPr>
                <w:rFonts w:ascii="Arial" w:cs="Arial" w:eastAsia="Arial" w:hAnsi="Arial"/>
                <w:sz w:val="11"/>
                <w:szCs w:val="11"/>
                <w:b w:val="1"/>
                <w:bCs w:val="1"/>
                <w:color w:val="FFFFFF"/>
              </w:rPr>
              <w:t>4Q23</w:t>
            </w:r>
          </w:p>
        </w:tc>
        <w:tc>
          <w:tcPr>
            <w:tcW w:w="8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QoQ</w:t>
            </w:r>
          </w:p>
        </w:tc>
        <w:tc>
          <w:tcPr>
            <w:tcW w:w="9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1"/>
                <w:szCs w:val="11"/>
                <w:b w:val="1"/>
                <w:bCs w:val="1"/>
                <w:color w:val="FFFFFF"/>
              </w:rPr>
              <w:t>YoY</w:t>
            </w:r>
          </w:p>
        </w:tc>
        <w:tc>
          <w:tcPr>
            <w:tcW w:w="1060" w:type="dxa"/>
            <w:vAlign w:val="bottom"/>
            <w:tcBorders>
              <w:bottom w:val="single" w:sz="8" w:color="auto"/>
            </w:tcBorders>
            <w:shd w:val="clear" w:color="auto" w:fill="2AD2C9"/>
          </w:tcPr>
          <w:p>
            <w:pPr>
              <w:jc w:val="right"/>
              <w:ind w:right="383"/>
              <w:spacing w:after="0"/>
              <w:rPr>
                <w:sz w:val="20"/>
                <w:szCs w:val="20"/>
                <w:color w:val="auto"/>
              </w:rPr>
            </w:pPr>
            <w:r>
              <w:rPr>
                <w:rFonts w:ascii="Arial" w:cs="Arial" w:eastAsia="Arial" w:hAnsi="Arial"/>
                <w:sz w:val="11"/>
                <w:szCs w:val="11"/>
                <w:b w:val="1"/>
                <w:bCs w:val="1"/>
                <w:color w:val="FFFFFF"/>
              </w:rPr>
              <w:t>Dec 22</w:t>
            </w:r>
          </w:p>
        </w:tc>
        <w:tc>
          <w:tcPr>
            <w:tcW w:w="720" w:type="dxa"/>
            <w:vAlign w:val="bottom"/>
            <w:tcBorders>
              <w:bottom w:val="single" w:sz="8" w:color="auto"/>
              <w:right w:val="single" w:sz="8" w:color="auto"/>
            </w:tcBorders>
            <w:shd w:val="clear" w:color="auto" w:fill="2AD2C9"/>
          </w:tcPr>
          <w:p>
            <w:pPr>
              <w:jc w:val="right"/>
              <w:ind w:right="223"/>
              <w:spacing w:after="0"/>
              <w:rPr>
                <w:sz w:val="20"/>
                <w:szCs w:val="20"/>
                <w:color w:val="auto"/>
              </w:rPr>
            </w:pPr>
            <w:r>
              <w:rPr>
                <w:rFonts w:ascii="Arial" w:cs="Arial" w:eastAsia="Arial" w:hAnsi="Arial"/>
                <w:sz w:val="11"/>
                <w:szCs w:val="11"/>
                <w:b w:val="1"/>
                <w:bCs w:val="1"/>
                <w:color w:val="FFFFFF"/>
              </w:rPr>
              <w:t>Dec 23</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Dec 23 / Dec 22</w:t>
            </w:r>
          </w:p>
        </w:tc>
      </w:tr>
      <w:tr>
        <w:trPr>
          <w:trHeight w:val="99"/>
        </w:trPr>
        <w:tc>
          <w:tcPr>
            <w:tcW w:w="384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1"/>
                <w:szCs w:val="11"/>
                <w:b w:val="1"/>
                <w:bCs w:val="1"/>
                <w:color w:val="auto"/>
              </w:rPr>
              <w:t>Results</w:t>
            </w: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Net earned premiums</w:t>
            </w:r>
          </w:p>
        </w:tc>
        <w:tc>
          <w:tcPr>
            <w:tcW w:w="940" w:type="dxa"/>
            <w:vAlign w:val="bottom"/>
          </w:tcPr>
          <w:p>
            <w:pPr>
              <w:jc w:val="right"/>
              <w:ind w:right="83"/>
              <w:spacing w:after="0" w:line="122" w:lineRule="exact"/>
              <w:rPr>
                <w:sz w:val="20"/>
                <w:szCs w:val="20"/>
                <w:color w:val="auto"/>
              </w:rPr>
            </w:pPr>
            <w:r>
              <w:rPr>
                <w:rFonts w:ascii="Arial" w:cs="Arial" w:eastAsia="Arial" w:hAnsi="Arial"/>
                <w:sz w:val="11"/>
                <w:szCs w:val="11"/>
                <w:color w:val="auto"/>
              </w:rPr>
              <w:t>320,372</w:t>
            </w:r>
          </w:p>
        </w:tc>
        <w:tc>
          <w:tcPr>
            <w:tcW w:w="9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343,092</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350,926</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2.3%</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9.5%</w:t>
            </w:r>
          </w:p>
        </w:tc>
        <w:tc>
          <w:tcPr>
            <w:tcW w:w="10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1,281,649</w:t>
            </w:r>
          </w:p>
        </w:tc>
        <w:tc>
          <w:tcPr>
            <w:tcW w:w="7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1,360,411</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6.1%</w:t>
            </w: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Net claims</w:t>
            </w:r>
          </w:p>
        </w:tc>
        <w:tc>
          <w:tcPr>
            <w:tcW w:w="940" w:type="dxa"/>
            <w:vAlign w:val="bottom"/>
          </w:tcPr>
          <w:p>
            <w:pPr>
              <w:jc w:val="right"/>
              <w:ind w:right="83"/>
              <w:spacing w:after="0" w:line="122" w:lineRule="exact"/>
              <w:rPr>
                <w:sz w:val="20"/>
                <w:szCs w:val="20"/>
                <w:color w:val="auto"/>
              </w:rPr>
            </w:pPr>
            <w:r>
              <w:rPr>
                <w:rFonts w:ascii="Arial" w:cs="Arial" w:eastAsia="Arial" w:hAnsi="Arial"/>
                <w:sz w:val="11"/>
                <w:szCs w:val="11"/>
                <w:color w:val="auto"/>
              </w:rPr>
              <w:t>(258,466)</w:t>
            </w:r>
          </w:p>
        </w:tc>
        <w:tc>
          <w:tcPr>
            <w:tcW w:w="9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(273,212)</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(260,201)</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-4.8%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0.7%</w:t>
            </w:r>
          </w:p>
        </w:tc>
        <w:tc>
          <w:tcPr>
            <w:tcW w:w="10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(1,076,901)</w:t>
            </w:r>
          </w:p>
        </w:tc>
        <w:tc>
          <w:tcPr>
            <w:tcW w:w="7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(1,070,205)</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-0.6%</w:t>
            </w: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Net fees</w:t>
            </w:r>
          </w:p>
        </w:tc>
        <w:tc>
          <w:tcPr>
            <w:tcW w:w="940" w:type="dxa"/>
            <w:vAlign w:val="bottom"/>
          </w:tcPr>
          <w:p>
            <w:pPr>
              <w:jc w:val="right"/>
              <w:ind w:right="83"/>
              <w:spacing w:after="0" w:line="122" w:lineRule="exact"/>
              <w:rPr>
                <w:sz w:val="20"/>
                <w:szCs w:val="20"/>
                <w:color w:val="auto"/>
              </w:rPr>
            </w:pPr>
            <w:r>
              <w:rPr>
                <w:rFonts w:ascii="Arial" w:cs="Arial" w:eastAsia="Arial" w:hAnsi="Arial"/>
                <w:sz w:val="11"/>
                <w:szCs w:val="11"/>
                <w:color w:val="auto"/>
              </w:rPr>
              <w:t>(14,511)</w:t>
            </w:r>
          </w:p>
        </w:tc>
        <w:tc>
          <w:tcPr>
            <w:tcW w:w="9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(14,754)</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(14,818)</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0.4%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2.1%</w:t>
            </w:r>
          </w:p>
        </w:tc>
        <w:tc>
          <w:tcPr>
            <w:tcW w:w="10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(55,900)</w:t>
            </w:r>
          </w:p>
        </w:tc>
        <w:tc>
          <w:tcPr>
            <w:tcW w:w="7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(58,543)</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4.7%</w:t>
            </w: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Net underwriting expenses</w:t>
            </w:r>
          </w:p>
        </w:tc>
        <w:tc>
          <w:tcPr>
            <w:tcW w:w="940" w:type="dxa"/>
            <w:vAlign w:val="bottom"/>
          </w:tcPr>
          <w:p>
            <w:pPr>
              <w:jc w:val="right"/>
              <w:ind w:right="83"/>
              <w:spacing w:after="0" w:line="122" w:lineRule="exact"/>
              <w:rPr>
                <w:sz w:val="20"/>
                <w:szCs w:val="20"/>
                <w:color w:val="auto"/>
              </w:rPr>
            </w:pPr>
            <w:r>
              <w:rPr>
                <w:rFonts w:ascii="Arial" w:cs="Arial" w:eastAsia="Arial" w:hAnsi="Arial"/>
                <w:sz w:val="11"/>
                <w:szCs w:val="11"/>
                <w:color w:val="auto"/>
              </w:rPr>
              <w:t>(3,176)</w:t>
            </w:r>
          </w:p>
        </w:tc>
        <w:tc>
          <w:tcPr>
            <w:tcW w:w="9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(2,890)</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(3,262)</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12.9%</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2.7%</w:t>
            </w:r>
          </w:p>
        </w:tc>
        <w:tc>
          <w:tcPr>
            <w:tcW w:w="10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(11,596)</w:t>
            </w:r>
          </w:p>
        </w:tc>
        <w:tc>
          <w:tcPr>
            <w:tcW w:w="7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(12,051)</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3.9%</w:t>
            </w:r>
          </w:p>
        </w:tc>
      </w:tr>
      <w:tr>
        <w:trPr>
          <w:trHeight w:val="155"/>
        </w:trPr>
        <w:tc>
          <w:tcPr>
            <w:tcW w:w="3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Underwriting result</w:t>
            </w:r>
          </w:p>
        </w:tc>
        <w:tc>
          <w:tcPr>
            <w:tcW w:w="940" w:type="dxa"/>
            <w:vAlign w:val="bottom"/>
          </w:tcPr>
          <w:p>
            <w:pPr>
              <w:jc w:val="right"/>
              <w:ind w:right="83"/>
              <w:spacing w:after="0"/>
              <w:rPr>
                <w:sz w:val="20"/>
                <w:szCs w:val="20"/>
                <w:color w:val="auto"/>
              </w:rPr>
            </w:pPr>
            <w:r>
              <w:rPr>
                <w:rFonts w:ascii="Arial" w:cs="Arial" w:eastAsia="Arial" w:hAnsi="Arial"/>
                <w:sz w:val="11"/>
                <w:szCs w:val="11"/>
                <w:b w:val="1"/>
                <w:bCs w:val="1"/>
                <w:color w:val="auto"/>
              </w:rPr>
              <w:t>44,219</w:t>
            </w:r>
          </w:p>
        </w:tc>
        <w:tc>
          <w:tcPr>
            <w:tcW w:w="960" w:type="dxa"/>
            <w:vAlign w:val="bottom"/>
          </w:tcPr>
          <w:p>
            <w:pPr>
              <w:jc w:val="right"/>
              <w:ind w:right="143"/>
              <w:spacing w:after="0"/>
              <w:rPr>
                <w:sz w:val="20"/>
                <w:szCs w:val="20"/>
                <w:color w:val="auto"/>
              </w:rPr>
            </w:pPr>
            <w:r>
              <w:rPr>
                <w:rFonts w:ascii="Arial" w:cs="Arial" w:eastAsia="Arial" w:hAnsi="Arial"/>
                <w:sz w:val="11"/>
                <w:szCs w:val="11"/>
                <w:b w:val="1"/>
                <w:bCs w:val="1"/>
                <w:color w:val="auto"/>
              </w:rPr>
              <w:t>52,237</w:t>
            </w:r>
          </w:p>
        </w:tc>
        <w:tc>
          <w:tcPr>
            <w:tcW w:w="8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72,645</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39.1%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64.3%</w:t>
            </w:r>
          </w:p>
        </w:tc>
        <w:tc>
          <w:tcPr>
            <w:tcW w:w="1060" w:type="dxa"/>
            <w:vAlign w:val="bottom"/>
          </w:tcPr>
          <w:p>
            <w:pPr>
              <w:jc w:val="right"/>
              <w:ind w:right="223"/>
              <w:spacing w:after="0"/>
              <w:rPr>
                <w:sz w:val="20"/>
                <w:szCs w:val="20"/>
                <w:color w:val="auto"/>
              </w:rPr>
            </w:pPr>
            <w:r>
              <w:rPr>
                <w:rFonts w:ascii="Arial" w:cs="Arial" w:eastAsia="Arial" w:hAnsi="Arial"/>
                <w:sz w:val="11"/>
                <w:szCs w:val="11"/>
                <w:b w:val="1"/>
                <w:bCs w:val="1"/>
                <w:color w:val="auto"/>
              </w:rPr>
              <w:t>137,251</w:t>
            </w:r>
          </w:p>
        </w:tc>
        <w:tc>
          <w:tcPr>
            <w:tcW w:w="7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219,613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60.0%</w:t>
            </w:r>
          </w:p>
        </w:tc>
      </w:tr>
      <w:tr>
        <w:trPr>
          <w:trHeight w:val="211"/>
        </w:trPr>
        <w:tc>
          <w:tcPr>
            <w:tcW w:w="3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Net financial income</w:t>
            </w: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2,639</w:t>
            </w:r>
          </w:p>
        </w:tc>
        <w:tc>
          <w:tcPr>
            <w:tcW w:w="960" w:type="dxa"/>
            <w:vAlign w:val="bottom"/>
          </w:tcPr>
          <w:p>
            <w:pPr>
              <w:jc w:val="right"/>
              <w:ind w:right="143"/>
              <w:spacing w:after="0"/>
              <w:rPr>
                <w:sz w:val="20"/>
                <w:szCs w:val="20"/>
                <w:color w:val="auto"/>
              </w:rPr>
            </w:pPr>
            <w:r>
              <w:rPr>
                <w:rFonts w:ascii="Arial" w:cs="Arial" w:eastAsia="Arial" w:hAnsi="Arial"/>
                <w:sz w:val="11"/>
                <w:szCs w:val="11"/>
                <w:color w:val="auto"/>
              </w:rPr>
              <w:t>3,741</w:t>
            </w:r>
          </w:p>
        </w:tc>
        <w:tc>
          <w:tcPr>
            <w:tcW w:w="8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color w:val="auto"/>
              </w:rPr>
              <w:t>5,035</w:t>
            </w:r>
          </w:p>
        </w:tc>
        <w:tc>
          <w:tcPr>
            <w:tcW w:w="880" w:type="dxa"/>
            <w:vAlign w:val="bottom"/>
          </w:tcPr>
          <w:p>
            <w:pPr>
              <w:jc w:val="center"/>
              <w:spacing w:after="0"/>
              <w:rPr>
                <w:sz w:val="20"/>
                <w:szCs w:val="20"/>
                <w:color w:val="auto"/>
              </w:rPr>
            </w:pPr>
            <w:r>
              <w:rPr>
                <w:rFonts w:ascii="Arial" w:cs="Arial" w:eastAsia="Arial" w:hAnsi="Arial"/>
                <w:sz w:val="11"/>
                <w:szCs w:val="11"/>
                <w:color w:val="auto"/>
              </w:rPr>
              <w:t>34.6%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90.8%</w:t>
            </w:r>
          </w:p>
        </w:tc>
        <w:tc>
          <w:tcPr>
            <w:tcW w:w="1060" w:type="dxa"/>
            <w:vAlign w:val="bottom"/>
          </w:tcPr>
          <w:p>
            <w:pPr>
              <w:jc w:val="right"/>
              <w:ind w:right="223"/>
              <w:spacing w:after="0"/>
              <w:rPr>
                <w:sz w:val="20"/>
                <w:szCs w:val="20"/>
                <w:color w:val="auto"/>
              </w:rPr>
            </w:pPr>
            <w:r>
              <w:rPr>
                <w:rFonts w:ascii="Arial" w:cs="Arial" w:eastAsia="Arial" w:hAnsi="Arial"/>
                <w:sz w:val="11"/>
                <w:szCs w:val="11"/>
                <w:color w:val="auto"/>
              </w:rPr>
              <w:t>9,030</w:t>
            </w:r>
          </w:p>
        </w:tc>
        <w:tc>
          <w:tcPr>
            <w:tcW w:w="7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color w:val="auto"/>
              </w:rPr>
              <w:t>16,562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83.4%</w:t>
            </w: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Total expenses</w:t>
            </w:r>
          </w:p>
        </w:tc>
        <w:tc>
          <w:tcPr>
            <w:tcW w:w="940" w:type="dxa"/>
            <w:vAlign w:val="bottom"/>
          </w:tcPr>
          <w:p>
            <w:pPr>
              <w:jc w:val="right"/>
              <w:ind w:right="83"/>
              <w:spacing w:after="0" w:line="122" w:lineRule="exact"/>
              <w:rPr>
                <w:sz w:val="20"/>
                <w:szCs w:val="20"/>
                <w:color w:val="auto"/>
              </w:rPr>
            </w:pPr>
            <w:r>
              <w:rPr>
                <w:rFonts w:ascii="Arial" w:cs="Arial" w:eastAsia="Arial" w:hAnsi="Arial"/>
                <w:sz w:val="11"/>
                <w:szCs w:val="11"/>
                <w:color w:val="auto"/>
              </w:rPr>
              <w:t>(24,389)</w:t>
            </w:r>
          </w:p>
        </w:tc>
        <w:tc>
          <w:tcPr>
            <w:tcW w:w="9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(23,152)</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(33,987)</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46.8%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39.4%</w:t>
            </w:r>
          </w:p>
        </w:tc>
        <w:tc>
          <w:tcPr>
            <w:tcW w:w="10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(84,337)</w:t>
            </w:r>
          </w:p>
        </w:tc>
        <w:tc>
          <w:tcPr>
            <w:tcW w:w="7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(99,844)</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18.4%</w:t>
            </w: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Other income</w:t>
            </w:r>
          </w:p>
        </w:tc>
        <w:tc>
          <w:tcPr>
            <w:tcW w:w="940" w:type="dxa"/>
            <w:vAlign w:val="bottom"/>
          </w:tcPr>
          <w:p>
            <w:pPr>
              <w:jc w:val="right"/>
              <w:ind w:right="83"/>
              <w:spacing w:after="0" w:line="122" w:lineRule="exact"/>
              <w:rPr>
                <w:sz w:val="20"/>
                <w:szCs w:val="20"/>
                <w:color w:val="auto"/>
              </w:rPr>
            </w:pPr>
            <w:r>
              <w:rPr>
                <w:rFonts w:ascii="Arial" w:cs="Arial" w:eastAsia="Arial" w:hAnsi="Arial"/>
                <w:sz w:val="11"/>
                <w:szCs w:val="11"/>
                <w:color w:val="auto"/>
              </w:rPr>
              <w:t>2,767</w:t>
            </w:r>
          </w:p>
        </w:tc>
        <w:tc>
          <w:tcPr>
            <w:tcW w:w="9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(1,639)</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2,036</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-224.2%</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-26.4%</w:t>
            </w:r>
          </w:p>
        </w:tc>
        <w:tc>
          <w:tcPr>
            <w:tcW w:w="10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1,178</w:t>
            </w:r>
          </w:p>
        </w:tc>
        <w:tc>
          <w:tcPr>
            <w:tcW w:w="7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(2,686)</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-327.9%</w:t>
            </w:r>
          </w:p>
        </w:tc>
      </w:tr>
      <w:tr>
        <w:trPr>
          <w:trHeight w:val="122"/>
        </w:trPr>
        <w:tc>
          <w:tcPr>
            <w:tcW w:w="38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1"/>
                <w:szCs w:val="11"/>
                <w:color w:val="auto"/>
              </w:rPr>
              <w:t>Traslations results</w:t>
            </w:r>
          </w:p>
        </w:tc>
        <w:tc>
          <w:tcPr>
            <w:tcW w:w="940" w:type="dxa"/>
            <w:vAlign w:val="bottom"/>
          </w:tcPr>
          <w:p>
            <w:pPr>
              <w:jc w:val="right"/>
              <w:ind w:right="83"/>
              <w:spacing w:after="0" w:line="122" w:lineRule="exact"/>
              <w:rPr>
                <w:sz w:val="20"/>
                <w:szCs w:val="20"/>
                <w:color w:val="auto"/>
              </w:rPr>
            </w:pPr>
            <w:r>
              <w:rPr>
                <w:rFonts w:ascii="Arial" w:cs="Arial" w:eastAsia="Arial" w:hAnsi="Arial"/>
                <w:sz w:val="11"/>
                <w:szCs w:val="11"/>
                <w:color w:val="auto"/>
              </w:rPr>
              <w:t>(2,843)</w:t>
            </w:r>
          </w:p>
        </w:tc>
        <w:tc>
          <w:tcPr>
            <w:tcW w:w="9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2,769</w:t>
            </w:r>
          </w:p>
        </w:tc>
        <w:tc>
          <w:tcPr>
            <w:tcW w:w="8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(1,596)</w:t>
            </w:r>
          </w:p>
        </w:tc>
        <w:tc>
          <w:tcPr>
            <w:tcW w:w="880" w:type="dxa"/>
            <w:vAlign w:val="bottom"/>
          </w:tcPr>
          <w:p>
            <w:pPr>
              <w:jc w:val="center"/>
              <w:spacing w:after="0" w:line="122" w:lineRule="exact"/>
              <w:rPr>
                <w:sz w:val="20"/>
                <w:szCs w:val="20"/>
                <w:color w:val="auto"/>
              </w:rPr>
            </w:pPr>
            <w:r>
              <w:rPr>
                <w:rFonts w:ascii="Arial" w:cs="Arial" w:eastAsia="Arial" w:hAnsi="Arial"/>
                <w:sz w:val="11"/>
                <w:szCs w:val="11"/>
                <w:color w:val="auto"/>
              </w:rPr>
              <w:t>-157.6%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-43.9%</w:t>
            </w:r>
          </w:p>
        </w:tc>
        <w:tc>
          <w:tcPr>
            <w:tcW w:w="1060" w:type="dxa"/>
            <w:vAlign w:val="bottom"/>
          </w:tcPr>
          <w:p>
            <w:pPr>
              <w:jc w:val="right"/>
              <w:ind w:right="223"/>
              <w:spacing w:after="0" w:line="122" w:lineRule="exact"/>
              <w:rPr>
                <w:sz w:val="20"/>
                <w:szCs w:val="20"/>
                <w:color w:val="auto"/>
              </w:rPr>
            </w:pPr>
            <w:r>
              <w:rPr>
                <w:rFonts w:ascii="Arial" w:cs="Arial" w:eastAsia="Arial" w:hAnsi="Arial"/>
                <w:sz w:val="11"/>
                <w:szCs w:val="11"/>
                <w:color w:val="auto"/>
              </w:rPr>
              <w:t>(3,410)</w:t>
            </w:r>
          </w:p>
        </w:tc>
        <w:tc>
          <w:tcPr>
            <w:tcW w:w="720" w:type="dxa"/>
            <w:vAlign w:val="bottom"/>
            <w:tcBorders>
              <w:right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(2,423)</w:t>
            </w:r>
          </w:p>
        </w:tc>
        <w:tc>
          <w:tcPr>
            <w:tcW w:w="11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-28.9%</w:t>
            </w:r>
          </w:p>
        </w:tc>
      </w:tr>
      <w:tr>
        <w:trPr>
          <w:trHeight w:val="149"/>
        </w:trPr>
        <w:tc>
          <w:tcPr>
            <w:tcW w:w="3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Income tax</w:t>
            </w: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(3,977)</w:t>
            </w:r>
          </w:p>
        </w:tc>
        <w:tc>
          <w:tcPr>
            <w:tcW w:w="960" w:type="dxa"/>
            <w:vAlign w:val="bottom"/>
          </w:tcPr>
          <w:p>
            <w:pPr>
              <w:jc w:val="right"/>
              <w:ind w:right="143"/>
              <w:spacing w:after="0"/>
              <w:rPr>
                <w:sz w:val="20"/>
                <w:szCs w:val="20"/>
                <w:color w:val="auto"/>
              </w:rPr>
            </w:pPr>
            <w:r>
              <w:rPr>
                <w:rFonts w:ascii="Arial" w:cs="Arial" w:eastAsia="Arial" w:hAnsi="Arial"/>
                <w:sz w:val="11"/>
                <w:szCs w:val="11"/>
                <w:color w:val="auto"/>
              </w:rPr>
              <w:t>(11,778)</w:t>
            </w:r>
          </w:p>
        </w:tc>
        <w:tc>
          <w:tcPr>
            <w:tcW w:w="8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color w:val="auto"/>
              </w:rPr>
              <w:t>(13,532)</w:t>
            </w:r>
          </w:p>
        </w:tc>
        <w:tc>
          <w:tcPr>
            <w:tcW w:w="880" w:type="dxa"/>
            <w:vAlign w:val="bottom"/>
          </w:tcPr>
          <w:p>
            <w:pPr>
              <w:jc w:val="center"/>
              <w:spacing w:after="0"/>
              <w:rPr>
                <w:sz w:val="20"/>
                <w:szCs w:val="20"/>
                <w:color w:val="auto"/>
              </w:rPr>
            </w:pPr>
            <w:r>
              <w:rPr>
                <w:rFonts w:ascii="Arial" w:cs="Arial" w:eastAsia="Arial" w:hAnsi="Arial"/>
                <w:sz w:val="11"/>
                <w:szCs w:val="11"/>
                <w:color w:val="auto"/>
              </w:rPr>
              <w:t>14.9%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240.2%</w:t>
            </w:r>
          </w:p>
        </w:tc>
        <w:tc>
          <w:tcPr>
            <w:tcW w:w="1060" w:type="dxa"/>
            <w:vAlign w:val="bottom"/>
          </w:tcPr>
          <w:p>
            <w:pPr>
              <w:jc w:val="right"/>
              <w:ind w:right="223"/>
              <w:spacing w:after="0"/>
              <w:rPr>
                <w:sz w:val="20"/>
                <w:szCs w:val="20"/>
                <w:color w:val="auto"/>
              </w:rPr>
            </w:pPr>
            <w:r>
              <w:rPr>
                <w:rFonts w:ascii="Arial" w:cs="Arial" w:eastAsia="Arial" w:hAnsi="Arial"/>
                <w:sz w:val="11"/>
                <w:szCs w:val="11"/>
                <w:color w:val="auto"/>
              </w:rPr>
              <w:t>(22,706)</w:t>
            </w:r>
          </w:p>
        </w:tc>
        <w:tc>
          <w:tcPr>
            <w:tcW w:w="7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color w:val="auto"/>
              </w:rPr>
              <w:t>(44,855)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97.5%</w:t>
            </w:r>
          </w:p>
        </w:tc>
      </w:tr>
      <w:tr>
        <w:trPr>
          <w:trHeight w:val="250"/>
        </w:trPr>
        <w:tc>
          <w:tcPr>
            <w:tcW w:w="3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income before Medical services</w:t>
            </w:r>
          </w:p>
        </w:tc>
        <w:tc>
          <w:tcPr>
            <w:tcW w:w="940" w:type="dxa"/>
            <w:vAlign w:val="bottom"/>
          </w:tcPr>
          <w:p>
            <w:pPr>
              <w:jc w:val="right"/>
              <w:ind w:right="83"/>
              <w:spacing w:after="0"/>
              <w:rPr>
                <w:sz w:val="20"/>
                <w:szCs w:val="20"/>
                <w:color w:val="auto"/>
              </w:rPr>
            </w:pPr>
            <w:r>
              <w:rPr>
                <w:rFonts w:ascii="Arial" w:cs="Arial" w:eastAsia="Arial" w:hAnsi="Arial"/>
                <w:sz w:val="11"/>
                <w:szCs w:val="11"/>
                <w:b w:val="1"/>
                <w:bCs w:val="1"/>
                <w:color w:val="auto"/>
              </w:rPr>
              <w:t>18,416</w:t>
            </w:r>
          </w:p>
        </w:tc>
        <w:tc>
          <w:tcPr>
            <w:tcW w:w="960" w:type="dxa"/>
            <w:vAlign w:val="bottom"/>
          </w:tcPr>
          <w:p>
            <w:pPr>
              <w:jc w:val="right"/>
              <w:ind w:right="143"/>
              <w:spacing w:after="0"/>
              <w:rPr>
                <w:sz w:val="20"/>
                <w:szCs w:val="20"/>
                <w:color w:val="auto"/>
              </w:rPr>
            </w:pPr>
            <w:r>
              <w:rPr>
                <w:rFonts w:ascii="Arial" w:cs="Arial" w:eastAsia="Arial" w:hAnsi="Arial"/>
                <w:sz w:val="11"/>
                <w:szCs w:val="11"/>
                <w:b w:val="1"/>
                <w:bCs w:val="1"/>
                <w:color w:val="auto"/>
              </w:rPr>
              <w:t>22,178</w:t>
            </w:r>
          </w:p>
        </w:tc>
        <w:tc>
          <w:tcPr>
            <w:tcW w:w="8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30,602</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38.0%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66.2%</w:t>
            </w:r>
          </w:p>
        </w:tc>
        <w:tc>
          <w:tcPr>
            <w:tcW w:w="1060" w:type="dxa"/>
            <w:vAlign w:val="bottom"/>
          </w:tcPr>
          <w:p>
            <w:pPr>
              <w:jc w:val="right"/>
              <w:ind w:right="223"/>
              <w:spacing w:after="0"/>
              <w:rPr>
                <w:sz w:val="20"/>
                <w:szCs w:val="20"/>
                <w:color w:val="auto"/>
              </w:rPr>
            </w:pPr>
            <w:r>
              <w:rPr>
                <w:rFonts w:ascii="Arial" w:cs="Arial" w:eastAsia="Arial" w:hAnsi="Arial"/>
                <w:sz w:val="11"/>
                <w:szCs w:val="11"/>
                <w:b w:val="1"/>
                <w:bCs w:val="1"/>
                <w:color w:val="auto"/>
              </w:rPr>
              <w:t>37,007</w:t>
            </w:r>
          </w:p>
        </w:tc>
        <w:tc>
          <w:tcPr>
            <w:tcW w:w="7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86,367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133.4%</w:t>
            </w:r>
          </w:p>
        </w:tc>
      </w:tr>
      <w:tr>
        <w:trPr>
          <w:trHeight w:val="244"/>
        </w:trPr>
        <w:tc>
          <w:tcPr>
            <w:tcW w:w="3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income of Medical services</w:t>
            </w:r>
          </w:p>
        </w:tc>
        <w:tc>
          <w:tcPr>
            <w:tcW w:w="940" w:type="dxa"/>
            <w:vAlign w:val="bottom"/>
          </w:tcPr>
          <w:p>
            <w:pPr>
              <w:jc w:val="right"/>
              <w:ind w:right="83"/>
              <w:spacing w:after="0"/>
              <w:rPr>
                <w:sz w:val="20"/>
                <w:szCs w:val="20"/>
                <w:color w:val="auto"/>
              </w:rPr>
            </w:pPr>
            <w:r>
              <w:rPr>
                <w:rFonts w:ascii="Arial" w:cs="Arial" w:eastAsia="Arial" w:hAnsi="Arial"/>
                <w:sz w:val="11"/>
                <w:szCs w:val="11"/>
                <w:b w:val="1"/>
                <w:bCs w:val="1"/>
                <w:color w:val="auto"/>
              </w:rPr>
              <w:t>28,336</w:t>
            </w:r>
          </w:p>
        </w:tc>
        <w:tc>
          <w:tcPr>
            <w:tcW w:w="960" w:type="dxa"/>
            <w:vAlign w:val="bottom"/>
          </w:tcPr>
          <w:p>
            <w:pPr>
              <w:jc w:val="right"/>
              <w:ind w:right="143"/>
              <w:spacing w:after="0"/>
              <w:rPr>
                <w:sz w:val="20"/>
                <w:szCs w:val="20"/>
                <w:color w:val="auto"/>
              </w:rPr>
            </w:pPr>
            <w:r>
              <w:rPr>
                <w:rFonts w:ascii="Arial" w:cs="Arial" w:eastAsia="Arial" w:hAnsi="Arial"/>
                <w:sz w:val="11"/>
                <w:szCs w:val="11"/>
                <w:b w:val="1"/>
                <w:bCs w:val="1"/>
                <w:color w:val="auto"/>
              </w:rPr>
              <w:t>26,436</w:t>
            </w:r>
          </w:p>
        </w:tc>
        <w:tc>
          <w:tcPr>
            <w:tcW w:w="8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30,083</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13.8%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6.2%</w:t>
            </w:r>
          </w:p>
        </w:tc>
        <w:tc>
          <w:tcPr>
            <w:tcW w:w="1060" w:type="dxa"/>
            <w:vAlign w:val="bottom"/>
          </w:tcPr>
          <w:p>
            <w:pPr>
              <w:jc w:val="right"/>
              <w:ind w:right="223"/>
              <w:spacing w:after="0"/>
              <w:rPr>
                <w:sz w:val="20"/>
                <w:szCs w:val="20"/>
                <w:color w:val="auto"/>
              </w:rPr>
            </w:pPr>
            <w:r>
              <w:rPr>
                <w:rFonts w:ascii="Arial" w:cs="Arial" w:eastAsia="Arial" w:hAnsi="Arial"/>
                <w:sz w:val="11"/>
                <w:szCs w:val="11"/>
                <w:b w:val="1"/>
                <w:bCs w:val="1"/>
                <w:color w:val="auto"/>
              </w:rPr>
              <w:t>109,470</w:t>
            </w:r>
          </w:p>
        </w:tc>
        <w:tc>
          <w:tcPr>
            <w:tcW w:w="720" w:type="dxa"/>
            <w:vAlign w:val="bottom"/>
            <w:tcBorders>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118,449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8.2%</w:t>
            </w:r>
          </w:p>
        </w:tc>
      </w:tr>
      <w:tr>
        <w:trPr>
          <w:trHeight w:val="226"/>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income</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46,752</w:t>
            </w:r>
          </w:p>
        </w:tc>
        <w:tc>
          <w:tcPr>
            <w:tcW w:w="9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48,614</w:t>
            </w:r>
          </w:p>
        </w:tc>
        <w:tc>
          <w:tcPr>
            <w:tcW w:w="82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60,685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24.8%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29.8%</w:t>
            </w: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146,477</w:t>
            </w:r>
          </w:p>
        </w:tc>
        <w:tc>
          <w:tcPr>
            <w:tcW w:w="72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204,816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39.8%</w:t>
            </w:r>
          </w:p>
        </w:tc>
      </w:tr>
      <w:tr>
        <w:trPr>
          <w:trHeight w:val="248"/>
        </w:trPr>
        <w:tc>
          <w:tcPr>
            <w:tcW w:w="3840" w:type="dxa"/>
            <w:vAlign w:val="bottom"/>
          </w:tcPr>
          <w:p>
            <w:pPr>
              <w:spacing w:after="0"/>
              <w:rPr>
                <w:sz w:val="20"/>
                <w:szCs w:val="20"/>
                <w:color w:val="auto"/>
              </w:rPr>
            </w:pPr>
            <w:r>
              <w:rPr>
                <w:rFonts w:ascii="Arial" w:cs="Arial" w:eastAsia="Arial" w:hAnsi="Arial"/>
                <w:sz w:val="11"/>
                <w:szCs w:val="11"/>
                <w:color w:val="auto"/>
              </w:rPr>
              <w:t>(1) Reported under IFRS 4 standards.</w:t>
            </w: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25"/>
        </w:trPr>
        <w:tc>
          <w:tcPr>
            <w:tcW w:w="3840" w:type="dxa"/>
            <w:vAlign w:val="bottom"/>
          </w:tcPr>
          <w:p>
            <w:pPr>
              <w:spacing w:after="0"/>
              <w:rPr>
                <w:sz w:val="24"/>
                <w:szCs w:val="24"/>
                <w:color w:val="auto"/>
              </w:rPr>
            </w:pPr>
          </w:p>
        </w:tc>
        <w:tc>
          <w:tcPr>
            <w:tcW w:w="3600" w:type="dxa"/>
            <w:vAlign w:val="bottom"/>
            <w:gridSpan w:val="4"/>
          </w:tcPr>
          <w:p>
            <w:pPr>
              <w:ind w:left="520"/>
              <w:spacing w:after="0"/>
              <w:rPr>
                <w:sz w:val="20"/>
                <w:szCs w:val="20"/>
                <w:color w:val="auto"/>
              </w:rPr>
            </w:pPr>
            <w:r>
              <w:rPr>
                <w:rFonts w:ascii="Arial" w:cs="Arial" w:eastAsia="Arial" w:hAnsi="Arial"/>
                <w:sz w:val="13"/>
                <w:szCs w:val="13"/>
                <w:color w:val="0000FF"/>
              </w:rPr>
              <w:t>Datos elaborados por BCP para uso Interno</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75"/>
        </w:trPr>
        <w:tc>
          <w:tcPr>
            <w:tcW w:w="3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3" w:right="319" w:bottom="1440" w:gutter="0" w:footer="0" w:header="0"/>
        </w:sectPr>
      </w:pPr>
    </w:p>
    <w:bookmarkStart w:id="79" w:name="page80"/>
    <w:bookmarkEnd w:id="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5540" w:type="dxa"/>
            <w:vAlign w:val="bottom"/>
            <w:tcBorders>
              <w:left w:val="single" w:sz="8" w:color="auto"/>
            </w:tcBorders>
            <w:gridSpan w:val="3"/>
            <w:shd w:val="clear" w:color="auto" w:fill="000000"/>
          </w:tcPr>
          <w:p>
            <w:pPr>
              <w:ind w:left="27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900" w:type="dxa"/>
            <w:vAlign w:val="bottom"/>
            <w:tcBorders>
              <w:right w:val="single" w:sz="8" w:color="auto"/>
            </w:tcBorders>
            <w:shd w:val="clear" w:color="auto" w:fill="000000"/>
          </w:tcPr>
          <w:p>
            <w:pPr>
              <w:spacing w:after="0"/>
              <w:rPr>
                <w:sz w:val="24"/>
                <w:szCs w:val="24"/>
                <w:color w:val="auto"/>
              </w:rPr>
            </w:pPr>
          </w:p>
        </w:tc>
        <w:tc>
          <w:tcPr>
            <w:tcW w:w="880" w:type="dxa"/>
            <w:vAlign w:val="bottom"/>
            <w:shd w:val="clear" w:color="auto" w:fill="000000"/>
          </w:tcPr>
          <w:p>
            <w:pPr>
              <w:spacing w:after="0"/>
              <w:rPr>
                <w:sz w:val="24"/>
                <w:szCs w:val="24"/>
                <w:color w:val="auto"/>
              </w:rPr>
            </w:pPr>
          </w:p>
        </w:tc>
        <w:tc>
          <w:tcPr>
            <w:tcW w:w="3940" w:type="dxa"/>
            <w:vAlign w:val="bottom"/>
            <w:tcBorders>
              <w:right w:val="single" w:sz="8" w:color="auto"/>
            </w:tcBorders>
            <w:gridSpan w:val="4"/>
            <w:shd w:val="clear" w:color="auto" w:fill="000000"/>
          </w:tcPr>
          <w:p>
            <w:pPr>
              <w:ind w:left="200"/>
              <w:spacing w:after="0"/>
              <w:rPr>
                <w:sz w:val="20"/>
                <w:szCs w:val="20"/>
                <w:color w:val="auto"/>
              </w:rPr>
            </w:pPr>
            <w:r>
              <w:rPr>
                <w:rFonts w:ascii="Arial" w:cs="Arial" w:eastAsia="Arial" w:hAnsi="Arial"/>
                <w:sz w:val="18"/>
                <w:szCs w:val="18"/>
                <w:b w:val="1"/>
                <w:bCs w:val="1"/>
                <w:color w:val="E93BAC"/>
              </w:rPr>
              <w:t>Analysis of 4Q23 Consolidated Results</w:t>
            </w:r>
          </w:p>
        </w:tc>
      </w:tr>
      <w:tr>
        <w:trPr>
          <w:trHeight w:val="202"/>
        </w:trPr>
        <w:tc>
          <w:tcPr>
            <w:tcW w:w="3740" w:type="dxa"/>
            <w:vAlign w:val="bottom"/>
            <w:tcBorders>
              <w:left w:val="single" w:sz="8" w:color="auto"/>
              <w:right w:val="single" w:sz="8" w:color="auto"/>
            </w:tcBorders>
            <w:shd w:val="clear" w:color="auto" w:fill="000000"/>
          </w:tcPr>
          <w:p>
            <w:pPr>
              <w:spacing w:after="0"/>
              <w:rPr>
                <w:sz w:val="17"/>
                <w:szCs w:val="17"/>
                <w:color w:val="auto"/>
              </w:rPr>
            </w:pPr>
          </w:p>
        </w:tc>
        <w:tc>
          <w:tcPr>
            <w:tcW w:w="900" w:type="dxa"/>
            <w:vAlign w:val="bottom"/>
            <w:shd w:val="clear" w:color="auto" w:fill="000000"/>
          </w:tcPr>
          <w:p>
            <w:pPr>
              <w:spacing w:after="0"/>
              <w:rPr>
                <w:sz w:val="17"/>
                <w:szCs w:val="17"/>
                <w:color w:val="auto"/>
              </w:rPr>
            </w:pPr>
          </w:p>
        </w:tc>
        <w:tc>
          <w:tcPr>
            <w:tcW w:w="900" w:type="dxa"/>
            <w:vAlign w:val="bottom"/>
            <w:shd w:val="clear" w:color="auto" w:fill="000000"/>
          </w:tcPr>
          <w:p>
            <w:pPr>
              <w:spacing w:after="0"/>
              <w:rPr>
                <w:sz w:val="17"/>
                <w:szCs w:val="17"/>
                <w:color w:val="auto"/>
              </w:rPr>
            </w:pPr>
          </w:p>
        </w:tc>
        <w:tc>
          <w:tcPr>
            <w:tcW w:w="900" w:type="dxa"/>
            <w:vAlign w:val="bottom"/>
            <w:tcBorders>
              <w:right w:val="single" w:sz="8" w:color="auto"/>
            </w:tcBorders>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920" w:type="dxa"/>
            <w:vAlign w:val="bottom"/>
            <w:tcBorders>
              <w:right w:val="single" w:sz="8" w:color="auto"/>
            </w:tcBorders>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1060" w:type="dxa"/>
            <w:vAlign w:val="bottom"/>
            <w:tcBorders>
              <w:right w:val="single" w:sz="8" w:color="auto"/>
            </w:tcBorders>
            <w:shd w:val="clear" w:color="auto" w:fill="000000"/>
          </w:tcPr>
          <w:p>
            <w:pPr>
              <w:spacing w:after="0"/>
              <w:rPr>
                <w:sz w:val="17"/>
                <w:szCs w:val="17"/>
                <w:color w:val="auto"/>
              </w:rPr>
            </w:pPr>
          </w:p>
        </w:tc>
        <w:tc>
          <w:tcPr>
            <w:tcW w:w="1240" w:type="dxa"/>
            <w:vAlign w:val="bottom"/>
            <w:tcBorders>
              <w:right w:val="single" w:sz="8" w:color="auto"/>
            </w:tcBorders>
            <w:shd w:val="clear" w:color="auto" w:fill="000000"/>
          </w:tcPr>
          <w:p>
            <w:pPr>
              <w:spacing w:after="0"/>
              <w:rPr>
                <w:sz w:val="17"/>
                <w:szCs w:val="17"/>
                <w:color w:val="auto"/>
              </w:rPr>
            </w:pPr>
          </w:p>
        </w:tc>
      </w:tr>
      <w:tr>
        <w:trPr>
          <w:trHeight w:val="346"/>
        </w:trPr>
        <w:tc>
          <w:tcPr>
            <w:tcW w:w="3740" w:type="dxa"/>
            <w:vAlign w:val="bottom"/>
            <w:tcBorders>
              <w:left w:val="single" w:sz="8" w:color="E93BAB"/>
              <w:right w:val="single" w:sz="8" w:color="E93BAB"/>
            </w:tcBorders>
            <w:shd w:val="clear" w:color="auto" w:fill="E93BAB"/>
          </w:tcPr>
          <w:p>
            <w:pPr>
              <w:spacing w:after="0"/>
              <w:rPr>
                <w:sz w:val="20"/>
                <w:szCs w:val="20"/>
                <w:color w:val="auto"/>
              </w:rPr>
            </w:pPr>
            <w:r>
              <w:rPr>
                <w:rFonts w:ascii="Arial" w:cs="Arial" w:eastAsia="Arial" w:hAnsi="Arial"/>
                <w:sz w:val="18"/>
                <w:szCs w:val="18"/>
                <w:b w:val="1"/>
                <w:bCs w:val="1"/>
                <w:color w:val="FFFFFF"/>
              </w:rPr>
              <w:t>12. Appendix</w:t>
            </w:r>
          </w:p>
        </w:tc>
        <w:tc>
          <w:tcPr>
            <w:tcW w:w="900" w:type="dxa"/>
            <w:vAlign w:val="bottom"/>
            <w:shd w:val="clear" w:color="auto" w:fill="E93BAB"/>
          </w:tcPr>
          <w:p>
            <w:pPr>
              <w:spacing w:after="0"/>
              <w:rPr>
                <w:sz w:val="24"/>
                <w:szCs w:val="24"/>
                <w:color w:val="auto"/>
              </w:rPr>
            </w:pPr>
          </w:p>
        </w:tc>
        <w:tc>
          <w:tcPr>
            <w:tcW w:w="900" w:type="dxa"/>
            <w:vAlign w:val="bottom"/>
            <w:shd w:val="clear" w:color="auto" w:fill="E93BAB"/>
          </w:tcPr>
          <w:p>
            <w:pPr>
              <w:spacing w:after="0"/>
              <w:rPr>
                <w:sz w:val="24"/>
                <w:szCs w:val="24"/>
                <w:color w:val="auto"/>
              </w:rPr>
            </w:pPr>
          </w:p>
        </w:tc>
        <w:tc>
          <w:tcPr>
            <w:tcW w:w="900" w:type="dxa"/>
            <w:vAlign w:val="bottom"/>
            <w:tcBorders>
              <w:right w:val="single" w:sz="8" w:color="E93BAB"/>
            </w:tcBorders>
            <w:shd w:val="clear" w:color="auto" w:fill="E93BAB"/>
          </w:tcPr>
          <w:p>
            <w:pPr>
              <w:spacing w:after="0"/>
              <w:rPr>
                <w:sz w:val="24"/>
                <w:szCs w:val="24"/>
                <w:color w:val="auto"/>
              </w:rPr>
            </w:pPr>
          </w:p>
        </w:tc>
        <w:tc>
          <w:tcPr>
            <w:tcW w:w="880" w:type="dxa"/>
            <w:vAlign w:val="bottom"/>
            <w:shd w:val="clear" w:color="auto" w:fill="E93BAB"/>
          </w:tcPr>
          <w:p>
            <w:pPr>
              <w:spacing w:after="0"/>
              <w:rPr>
                <w:sz w:val="24"/>
                <w:szCs w:val="24"/>
                <w:color w:val="auto"/>
              </w:rPr>
            </w:pPr>
          </w:p>
        </w:tc>
        <w:tc>
          <w:tcPr>
            <w:tcW w:w="920" w:type="dxa"/>
            <w:vAlign w:val="bottom"/>
            <w:tcBorders>
              <w:right w:val="single" w:sz="8" w:color="E93BAB"/>
            </w:tcBorders>
            <w:shd w:val="clear" w:color="auto" w:fill="E93BAB"/>
          </w:tcPr>
          <w:p>
            <w:pPr>
              <w:spacing w:after="0"/>
              <w:rPr>
                <w:sz w:val="24"/>
                <w:szCs w:val="24"/>
                <w:color w:val="auto"/>
              </w:rPr>
            </w:pPr>
          </w:p>
        </w:tc>
        <w:tc>
          <w:tcPr>
            <w:tcW w:w="720" w:type="dxa"/>
            <w:vAlign w:val="bottom"/>
            <w:shd w:val="clear" w:color="auto" w:fill="E93BAB"/>
          </w:tcPr>
          <w:p>
            <w:pPr>
              <w:spacing w:after="0"/>
              <w:rPr>
                <w:sz w:val="24"/>
                <w:szCs w:val="24"/>
                <w:color w:val="auto"/>
              </w:rPr>
            </w:pPr>
          </w:p>
        </w:tc>
        <w:tc>
          <w:tcPr>
            <w:tcW w:w="1060" w:type="dxa"/>
            <w:vAlign w:val="bottom"/>
            <w:tcBorders>
              <w:right w:val="single" w:sz="8" w:color="E93BAB"/>
            </w:tcBorders>
            <w:shd w:val="clear" w:color="auto" w:fill="E93BAB"/>
          </w:tcPr>
          <w:p>
            <w:pPr>
              <w:spacing w:after="0"/>
              <w:rPr>
                <w:sz w:val="24"/>
                <w:szCs w:val="24"/>
                <w:color w:val="auto"/>
              </w:rPr>
            </w:pPr>
          </w:p>
        </w:tc>
        <w:tc>
          <w:tcPr>
            <w:tcW w:w="1240" w:type="dxa"/>
            <w:vAlign w:val="bottom"/>
            <w:tcBorders>
              <w:right w:val="single" w:sz="8" w:color="E93BAB"/>
            </w:tcBorders>
            <w:shd w:val="clear" w:color="auto" w:fill="E93BAB"/>
          </w:tcPr>
          <w:p>
            <w:pPr>
              <w:spacing w:after="0"/>
              <w:rPr>
                <w:sz w:val="24"/>
                <w:szCs w:val="24"/>
                <w:color w:val="auto"/>
              </w:rPr>
            </w:pPr>
          </w:p>
        </w:tc>
      </w:tr>
      <w:tr>
        <w:trPr>
          <w:trHeight w:val="92"/>
        </w:trPr>
        <w:tc>
          <w:tcPr>
            <w:tcW w:w="3740" w:type="dxa"/>
            <w:vAlign w:val="bottom"/>
            <w:tcBorders>
              <w:left w:val="single" w:sz="8" w:color="E93BAB"/>
              <w:right w:val="single" w:sz="8" w:color="E93BAB"/>
            </w:tcBorders>
            <w:shd w:val="clear" w:color="auto" w:fill="E93BAB"/>
          </w:tcPr>
          <w:p>
            <w:pPr>
              <w:spacing w:after="0"/>
              <w:rPr>
                <w:sz w:val="8"/>
                <w:szCs w:val="8"/>
                <w:color w:val="auto"/>
              </w:rPr>
            </w:pPr>
          </w:p>
        </w:tc>
        <w:tc>
          <w:tcPr>
            <w:tcW w:w="900" w:type="dxa"/>
            <w:vAlign w:val="bottom"/>
            <w:shd w:val="clear" w:color="auto" w:fill="E93BAB"/>
          </w:tcPr>
          <w:p>
            <w:pPr>
              <w:spacing w:after="0"/>
              <w:rPr>
                <w:sz w:val="8"/>
                <w:szCs w:val="8"/>
                <w:color w:val="auto"/>
              </w:rPr>
            </w:pPr>
          </w:p>
        </w:tc>
        <w:tc>
          <w:tcPr>
            <w:tcW w:w="900" w:type="dxa"/>
            <w:vAlign w:val="bottom"/>
            <w:shd w:val="clear" w:color="auto" w:fill="E93BAB"/>
          </w:tcPr>
          <w:p>
            <w:pPr>
              <w:spacing w:after="0"/>
              <w:rPr>
                <w:sz w:val="8"/>
                <w:szCs w:val="8"/>
                <w:color w:val="auto"/>
              </w:rPr>
            </w:pPr>
          </w:p>
        </w:tc>
        <w:tc>
          <w:tcPr>
            <w:tcW w:w="900" w:type="dxa"/>
            <w:vAlign w:val="bottom"/>
            <w:tcBorders>
              <w:right w:val="single" w:sz="8" w:color="E93BAB"/>
            </w:tcBorders>
            <w:shd w:val="clear" w:color="auto" w:fill="E93BAB"/>
          </w:tcPr>
          <w:p>
            <w:pPr>
              <w:spacing w:after="0"/>
              <w:rPr>
                <w:sz w:val="8"/>
                <w:szCs w:val="8"/>
                <w:color w:val="auto"/>
              </w:rPr>
            </w:pPr>
          </w:p>
        </w:tc>
        <w:tc>
          <w:tcPr>
            <w:tcW w:w="880" w:type="dxa"/>
            <w:vAlign w:val="bottom"/>
            <w:shd w:val="clear" w:color="auto" w:fill="E93BAB"/>
          </w:tcPr>
          <w:p>
            <w:pPr>
              <w:spacing w:after="0"/>
              <w:rPr>
                <w:sz w:val="8"/>
                <w:szCs w:val="8"/>
                <w:color w:val="auto"/>
              </w:rPr>
            </w:pPr>
          </w:p>
        </w:tc>
        <w:tc>
          <w:tcPr>
            <w:tcW w:w="920" w:type="dxa"/>
            <w:vAlign w:val="bottom"/>
            <w:tcBorders>
              <w:right w:val="single" w:sz="8" w:color="E93BAB"/>
            </w:tcBorders>
            <w:shd w:val="clear" w:color="auto" w:fill="E93BAB"/>
          </w:tcPr>
          <w:p>
            <w:pPr>
              <w:spacing w:after="0"/>
              <w:rPr>
                <w:sz w:val="8"/>
                <w:szCs w:val="8"/>
                <w:color w:val="auto"/>
              </w:rPr>
            </w:pPr>
          </w:p>
        </w:tc>
        <w:tc>
          <w:tcPr>
            <w:tcW w:w="720" w:type="dxa"/>
            <w:vAlign w:val="bottom"/>
            <w:shd w:val="clear" w:color="auto" w:fill="E93BAB"/>
          </w:tcPr>
          <w:p>
            <w:pPr>
              <w:spacing w:after="0"/>
              <w:rPr>
                <w:sz w:val="8"/>
                <w:szCs w:val="8"/>
                <w:color w:val="auto"/>
              </w:rPr>
            </w:pPr>
          </w:p>
        </w:tc>
        <w:tc>
          <w:tcPr>
            <w:tcW w:w="1060" w:type="dxa"/>
            <w:vAlign w:val="bottom"/>
            <w:tcBorders>
              <w:right w:val="single" w:sz="8" w:color="E93BAB"/>
            </w:tcBorders>
            <w:shd w:val="clear" w:color="auto" w:fill="E93BAB"/>
          </w:tcPr>
          <w:p>
            <w:pPr>
              <w:spacing w:after="0"/>
              <w:rPr>
                <w:sz w:val="8"/>
                <w:szCs w:val="8"/>
                <w:color w:val="auto"/>
              </w:rPr>
            </w:pPr>
          </w:p>
        </w:tc>
        <w:tc>
          <w:tcPr>
            <w:tcW w:w="1240" w:type="dxa"/>
            <w:vAlign w:val="bottom"/>
            <w:tcBorders>
              <w:right w:val="single" w:sz="8" w:color="E93BAB"/>
            </w:tcBorders>
            <w:shd w:val="clear" w:color="auto" w:fill="E93BAB"/>
          </w:tcPr>
          <w:p>
            <w:pPr>
              <w:spacing w:after="0"/>
              <w:rPr>
                <w:sz w:val="8"/>
                <w:szCs w:val="8"/>
                <w:color w:val="auto"/>
              </w:rPr>
            </w:pPr>
          </w:p>
        </w:tc>
      </w:tr>
      <w:tr>
        <w:trPr>
          <w:trHeight w:val="366"/>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12.6.9. Investment Management &amp; Advisory </w:t>
            </w:r>
            <w:r>
              <w:rPr>
                <w:rFonts w:ascii="Arial" w:cs="Arial" w:eastAsia="Arial" w:hAnsi="Arial"/>
                <w:sz w:val="27"/>
                <w:szCs w:val="27"/>
                <w:b w:val="1"/>
                <w:bCs w:val="1"/>
                <w:color w:val="auto"/>
                <w:vertAlign w:val="superscript"/>
              </w:rPr>
              <w:t>*</w:t>
            </w: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38"/>
        </w:trPr>
        <w:tc>
          <w:tcPr>
            <w:tcW w:w="3740" w:type="dxa"/>
            <w:vAlign w:val="bottom"/>
            <w:tcBorders>
              <w:left w:val="single" w:sz="8" w:color="auto"/>
              <w:right w:val="single" w:sz="8" w:color="auto"/>
            </w:tcBorders>
            <w:shd w:val="clear" w:color="auto" w:fill="2AD2C9"/>
          </w:tcPr>
          <w:p>
            <w:pPr>
              <w:ind w:left="80"/>
              <w:spacing w:after="0" w:line="139" w:lineRule="exact"/>
              <w:rPr>
                <w:sz w:val="20"/>
                <w:szCs w:val="20"/>
                <w:color w:val="auto"/>
              </w:rPr>
            </w:pPr>
            <w:r>
              <w:rPr>
                <w:rFonts w:ascii="Arial" w:cs="Arial" w:eastAsia="Arial" w:hAnsi="Arial"/>
                <w:sz w:val="13"/>
                <w:szCs w:val="13"/>
                <w:b w:val="1"/>
                <w:bCs w:val="1"/>
                <w:color w:val="FFFFFF"/>
              </w:rPr>
              <w:t>Investment Management &amp; Advisory</w:t>
            </w:r>
          </w:p>
        </w:tc>
        <w:tc>
          <w:tcPr>
            <w:tcW w:w="900" w:type="dxa"/>
            <w:vAlign w:val="bottom"/>
            <w:shd w:val="clear" w:color="auto" w:fill="2AD2C9"/>
          </w:tcPr>
          <w:p>
            <w:pPr>
              <w:spacing w:after="0"/>
              <w:rPr>
                <w:sz w:val="12"/>
                <w:szCs w:val="12"/>
                <w:color w:val="auto"/>
              </w:rPr>
            </w:pPr>
          </w:p>
        </w:tc>
        <w:tc>
          <w:tcPr>
            <w:tcW w:w="900" w:type="dxa"/>
            <w:vAlign w:val="bottom"/>
            <w:shd w:val="clear" w:color="auto" w:fill="2AD2C9"/>
          </w:tcPr>
          <w:p>
            <w:pPr>
              <w:ind w:left="200"/>
              <w:spacing w:after="0" w:line="139" w:lineRule="exact"/>
              <w:rPr>
                <w:sz w:val="20"/>
                <w:szCs w:val="20"/>
                <w:color w:val="auto"/>
              </w:rPr>
            </w:pPr>
            <w:r>
              <w:rPr>
                <w:rFonts w:ascii="Arial" w:cs="Arial" w:eastAsia="Arial" w:hAnsi="Arial"/>
                <w:sz w:val="13"/>
                <w:szCs w:val="13"/>
                <w:b w:val="1"/>
                <w:bCs w:val="1"/>
                <w:color w:val="FFFFFF"/>
              </w:rPr>
              <w:t>Quarter</w:t>
            </w:r>
          </w:p>
        </w:tc>
        <w:tc>
          <w:tcPr>
            <w:tcW w:w="900" w:type="dxa"/>
            <w:vAlign w:val="bottom"/>
            <w:tcBorders>
              <w:right w:val="single" w:sz="8" w:color="auto"/>
            </w:tcBorders>
            <w:shd w:val="clear" w:color="auto" w:fill="2AD2C9"/>
          </w:tcPr>
          <w:p>
            <w:pPr>
              <w:spacing w:after="0"/>
              <w:rPr>
                <w:sz w:val="12"/>
                <w:szCs w:val="12"/>
                <w:color w:val="auto"/>
              </w:rPr>
            </w:pPr>
          </w:p>
        </w:tc>
        <w:tc>
          <w:tcPr>
            <w:tcW w:w="1800" w:type="dxa"/>
            <w:vAlign w:val="bottom"/>
            <w:tcBorders>
              <w:right w:val="single" w:sz="8" w:color="auto"/>
            </w:tcBorders>
            <w:gridSpan w:val="2"/>
            <w:shd w:val="clear" w:color="auto" w:fill="2AD2C9"/>
          </w:tcPr>
          <w:p>
            <w:pPr>
              <w:ind w:left="580"/>
              <w:spacing w:after="0" w:line="139" w:lineRule="exact"/>
              <w:rPr>
                <w:sz w:val="20"/>
                <w:szCs w:val="20"/>
                <w:color w:val="auto"/>
              </w:rPr>
            </w:pPr>
            <w:r>
              <w:rPr>
                <w:rFonts w:ascii="Arial" w:cs="Arial" w:eastAsia="Arial" w:hAnsi="Arial"/>
                <w:sz w:val="13"/>
                <w:szCs w:val="13"/>
                <w:b w:val="1"/>
                <w:bCs w:val="1"/>
                <w:color w:val="FFFFFF"/>
              </w:rPr>
              <w:t>% change</w:t>
            </w:r>
          </w:p>
        </w:tc>
        <w:tc>
          <w:tcPr>
            <w:tcW w:w="720" w:type="dxa"/>
            <w:vAlign w:val="bottom"/>
            <w:shd w:val="clear" w:color="auto" w:fill="2AD2C9"/>
          </w:tcPr>
          <w:p>
            <w:pPr>
              <w:spacing w:after="0"/>
              <w:rPr>
                <w:sz w:val="12"/>
                <w:szCs w:val="12"/>
                <w:color w:val="auto"/>
              </w:rPr>
            </w:pPr>
          </w:p>
        </w:tc>
        <w:tc>
          <w:tcPr>
            <w:tcW w:w="1060" w:type="dxa"/>
            <w:vAlign w:val="bottom"/>
            <w:tcBorders>
              <w:right w:val="single" w:sz="8" w:color="auto"/>
            </w:tcBorders>
            <w:shd w:val="clear" w:color="auto" w:fill="2AD2C9"/>
          </w:tcPr>
          <w:p>
            <w:pPr>
              <w:spacing w:after="0" w:line="139" w:lineRule="exact"/>
              <w:rPr>
                <w:sz w:val="20"/>
                <w:szCs w:val="20"/>
                <w:color w:val="auto"/>
              </w:rPr>
            </w:pPr>
            <w:r>
              <w:rPr>
                <w:rFonts w:ascii="Arial" w:cs="Arial" w:eastAsia="Arial" w:hAnsi="Arial"/>
                <w:sz w:val="13"/>
                <w:szCs w:val="13"/>
                <w:b w:val="1"/>
                <w:bCs w:val="1"/>
                <w:color w:val="FFFFFF"/>
              </w:rPr>
              <w:t>As of</w:t>
            </w:r>
          </w:p>
        </w:tc>
        <w:tc>
          <w:tcPr>
            <w:tcW w:w="1240" w:type="dxa"/>
            <w:vAlign w:val="bottom"/>
            <w:tcBorders>
              <w:right w:val="single" w:sz="8" w:color="auto"/>
            </w:tcBorders>
            <w:shd w:val="clear" w:color="auto" w:fill="2AD2C9"/>
          </w:tcPr>
          <w:p>
            <w:pPr>
              <w:jc w:val="center"/>
              <w:spacing w:after="0" w:line="139" w:lineRule="exact"/>
              <w:rPr>
                <w:sz w:val="20"/>
                <w:szCs w:val="20"/>
                <w:color w:val="auto"/>
              </w:rPr>
            </w:pPr>
            <w:r>
              <w:rPr>
                <w:rFonts w:ascii="Arial" w:cs="Arial" w:eastAsia="Arial" w:hAnsi="Arial"/>
                <w:sz w:val="13"/>
                <w:szCs w:val="13"/>
                <w:b w:val="1"/>
                <w:bCs w:val="1"/>
                <w:color w:val="FFFFFF"/>
              </w:rPr>
              <w:t>% change</w:t>
            </w:r>
          </w:p>
        </w:tc>
      </w:tr>
      <w:tr>
        <w:trPr>
          <w:trHeight w:val="146"/>
        </w:trPr>
        <w:tc>
          <w:tcPr>
            <w:tcW w:w="3740" w:type="dxa"/>
            <w:vAlign w:val="bottom"/>
            <w:tcBorders>
              <w:left w:val="single" w:sz="8" w:color="auto"/>
              <w:bottom w:val="single" w:sz="8" w:color="auto"/>
              <w:right w:val="single" w:sz="8" w:color="auto"/>
            </w:tcBorders>
            <w:shd w:val="clear" w:color="auto" w:fill="2AD2C9"/>
          </w:tcPr>
          <w:p>
            <w:pPr>
              <w:ind w:left="80"/>
              <w:spacing w:after="0" w:line="146" w:lineRule="exact"/>
              <w:rPr>
                <w:sz w:val="20"/>
                <w:szCs w:val="20"/>
                <w:color w:val="auto"/>
              </w:rPr>
            </w:pPr>
            <w:r>
              <w:rPr>
                <w:rFonts w:ascii="Arial" w:cs="Arial" w:eastAsia="Arial" w:hAnsi="Arial"/>
                <w:sz w:val="13"/>
                <w:szCs w:val="13"/>
                <w:b w:val="1"/>
                <w:bCs w:val="1"/>
                <w:color w:val="FFFFFF"/>
              </w:rPr>
              <w:t>S/000</w:t>
            </w:r>
          </w:p>
        </w:tc>
        <w:tc>
          <w:tcPr>
            <w:tcW w:w="900" w:type="dxa"/>
            <w:vAlign w:val="bottom"/>
            <w:tcBorders>
              <w:bottom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rPr>
              <w:t>4Q22</w:t>
            </w:r>
          </w:p>
        </w:tc>
        <w:tc>
          <w:tcPr>
            <w:tcW w:w="900" w:type="dxa"/>
            <w:vAlign w:val="bottom"/>
            <w:tcBorders>
              <w:bottom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4"/>
              </w:rPr>
              <w:t>3Q23</w:t>
            </w:r>
          </w:p>
        </w:tc>
        <w:tc>
          <w:tcPr>
            <w:tcW w:w="900" w:type="dxa"/>
            <w:vAlign w:val="bottom"/>
            <w:tcBorders>
              <w:bottom w:val="single" w:sz="8" w:color="auto"/>
              <w:right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rPr>
              <w:t>4Q23</w:t>
            </w:r>
          </w:p>
        </w:tc>
        <w:tc>
          <w:tcPr>
            <w:tcW w:w="880" w:type="dxa"/>
            <w:vAlign w:val="bottom"/>
            <w:tcBorders>
              <w:bottom w:val="single" w:sz="8" w:color="auto"/>
            </w:tcBorders>
            <w:shd w:val="clear" w:color="auto" w:fill="2AD2C9"/>
          </w:tcPr>
          <w:p>
            <w:pPr>
              <w:ind w:left="300"/>
              <w:spacing w:after="0" w:line="146" w:lineRule="exact"/>
              <w:rPr>
                <w:sz w:val="20"/>
                <w:szCs w:val="20"/>
                <w:color w:val="auto"/>
              </w:rPr>
            </w:pPr>
            <w:r>
              <w:rPr>
                <w:rFonts w:ascii="Arial" w:cs="Arial" w:eastAsia="Arial" w:hAnsi="Arial"/>
                <w:sz w:val="13"/>
                <w:szCs w:val="13"/>
                <w:b w:val="1"/>
                <w:bCs w:val="1"/>
                <w:color w:val="FFFFFF"/>
              </w:rPr>
              <w:t>QoQ</w:t>
            </w:r>
          </w:p>
        </w:tc>
        <w:tc>
          <w:tcPr>
            <w:tcW w:w="920" w:type="dxa"/>
            <w:vAlign w:val="bottom"/>
            <w:tcBorders>
              <w:bottom w:val="single" w:sz="8" w:color="auto"/>
              <w:right w:val="single" w:sz="8" w:color="auto"/>
            </w:tcBorders>
            <w:shd w:val="clear" w:color="auto" w:fill="2AD2C9"/>
          </w:tcPr>
          <w:p>
            <w:pPr>
              <w:ind w:left="340"/>
              <w:spacing w:after="0" w:line="146" w:lineRule="exact"/>
              <w:rPr>
                <w:sz w:val="20"/>
                <w:szCs w:val="20"/>
                <w:color w:val="auto"/>
              </w:rPr>
            </w:pPr>
            <w:r>
              <w:rPr>
                <w:rFonts w:ascii="Arial" w:cs="Arial" w:eastAsia="Arial" w:hAnsi="Arial"/>
                <w:sz w:val="13"/>
                <w:szCs w:val="13"/>
                <w:b w:val="1"/>
                <w:bCs w:val="1"/>
                <w:color w:val="FFFFFF"/>
              </w:rPr>
              <w:t>YoY</w:t>
            </w:r>
          </w:p>
        </w:tc>
        <w:tc>
          <w:tcPr>
            <w:tcW w:w="720" w:type="dxa"/>
            <w:vAlign w:val="bottom"/>
            <w:tcBorders>
              <w:bottom w:val="single" w:sz="8" w:color="auto"/>
            </w:tcBorders>
            <w:shd w:val="clear" w:color="auto" w:fill="2AD2C9"/>
          </w:tcPr>
          <w:p>
            <w:pPr>
              <w:ind w:left="240"/>
              <w:spacing w:after="0" w:line="146" w:lineRule="exact"/>
              <w:rPr>
                <w:sz w:val="20"/>
                <w:szCs w:val="20"/>
                <w:color w:val="auto"/>
              </w:rPr>
            </w:pPr>
            <w:r>
              <w:rPr>
                <w:rFonts w:ascii="Arial" w:cs="Arial" w:eastAsia="Arial" w:hAnsi="Arial"/>
                <w:sz w:val="13"/>
                <w:szCs w:val="13"/>
                <w:b w:val="1"/>
                <w:bCs w:val="1"/>
                <w:color w:val="FFFFFF"/>
              </w:rPr>
              <w:t>Dic 22</w:t>
            </w:r>
          </w:p>
        </w:tc>
        <w:tc>
          <w:tcPr>
            <w:tcW w:w="1060" w:type="dxa"/>
            <w:vAlign w:val="bottom"/>
            <w:tcBorders>
              <w:bottom w:val="single" w:sz="8" w:color="auto"/>
              <w:right w:val="single" w:sz="8" w:color="auto"/>
            </w:tcBorders>
            <w:shd w:val="clear" w:color="auto" w:fill="2AD2C9"/>
          </w:tcPr>
          <w:p>
            <w:pPr>
              <w:ind w:left="420"/>
              <w:spacing w:after="0" w:line="146" w:lineRule="exact"/>
              <w:rPr>
                <w:sz w:val="20"/>
                <w:szCs w:val="20"/>
                <w:color w:val="auto"/>
              </w:rPr>
            </w:pPr>
            <w:r>
              <w:rPr>
                <w:rFonts w:ascii="Arial" w:cs="Arial" w:eastAsia="Arial" w:hAnsi="Arial"/>
                <w:sz w:val="13"/>
                <w:szCs w:val="13"/>
                <w:b w:val="1"/>
                <w:bCs w:val="1"/>
                <w:color w:val="FFFFFF"/>
              </w:rPr>
              <w:t>Dic 23</w:t>
            </w:r>
          </w:p>
        </w:tc>
        <w:tc>
          <w:tcPr>
            <w:tcW w:w="1240" w:type="dxa"/>
            <w:vAlign w:val="bottom"/>
            <w:tcBorders>
              <w:bottom w:val="single" w:sz="8" w:color="auto"/>
              <w:right w:val="single" w:sz="8" w:color="auto"/>
            </w:tcBorders>
            <w:shd w:val="clear" w:color="auto" w:fill="2AD2C9"/>
          </w:tcPr>
          <w:p>
            <w:pPr>
              <w:jc w:val="center"/>
              <w:spacing w:after="0" w:line="146" w:lineRule="exact"/>
              <w:rPr>
                <w:sz w:val="20"/>
                <w:szCs w:val="20"/>
                <w:color w:val="auto"/>
              </w:rPr>
            </w:pPr>
            <w:r>
              <w:rPr>
                <w:rFonts w:ascii="Arial" w:cs="Arial" w:eastAsia="Arial" w:hAnsi="Arial"/>
                <w:sz w:val="13"/>
                <w:szCs w:val="13"/>
                <w:b w:val="1"/>
                <w:bCs w:val="1"/>
                <w:color w:val="FFFFFF"/>
                <w:w w:val="98"/>
              </w:rPr>
              <w:t>Dic 23 / Dic 22</w:t>
            </w:r>
          </w:p>
        </w:tc>
      </w:tr>
      <w:tr>
        <w:trPr>
          <w:trHeight w:val="131"/>
        </w:trPr>
        <w:tc>
          <w:tcPr>
            <w:tcW w:w="374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3"/>
                <w:szCs w:val="13"/>
                <w:color w:val="auto"/>
              </w:rPr>
              <w:t>Net interest income</w:t>
            </w:r>
          </w:p>
        </w:tc>
        <w:tc>
          <w:tcPr>
            <w:tcW w:w="900" w:type="dxa"/>
            <w:vAlign w:val="bottom"/>
          </w:tcPr>
          <w:p>
            <w:pPr>
              <w:jc w:val="center"/>
              <w:spacing w:after="0" w:line="131" w:lineRule="exact"/>
              <w:rPr>
                <w:sz w:val="20"/>
                <w:szCs w:val="20"/>
                <w:color w:val="auto"/>
              </w:rPr>
            </w:pPr>
            <w:r>
              <w:rPr>
                <w:rFonts w:ascii="Arial" w:cs="Arial" w:eastAsia="Arial" w:hAnsi="Arial"/>
                <w:sz w:val="13"/>
                <w:szCs w:val="13"/>
                <w:color w:val="auto"/>
              </w:rPr>
              <w:t>22,012</w:t>
            </w:r>
          </w:p>
        </w:tc>
        <w:tc>
          <w:tcPr>
            <w:tcW w:w="900" w:type="dxa"/>
            <w:vAlign w:val="bottom"/>
          </w:tcPr>
          <w:p>
            <w:pPr>
              <w:jc w:val="center"/>
              <w:spacing w:after="0" w:line="131" w:lineRule="exact"/>
              <w:rPr>
                <w:sz w:val="20"/>
                <w:szCs w:val="20"/>
                <w:color w:val="auto"/>
              </w:rPr>
            </w:pPr>
            <w:r>
              <w:rPr>
                <w:rFonts w:ascii="Arial" w:cs="Arial" w:eastAsia="Arial" w:hAnsi="Arial"/>
                <w:sz w:val="13"/>
                <w:szCs w:val="13"/>
                <w:color w:val="auto"/>
                <w:w w:val="95"/>
              </w:rPr>
              <w:t>20,100</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18,757</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w w:val="94"/>
              </w:rPr>
              <w:t>-6.7%</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8"/>
              </w:rPr>
              <w:t>-15%</w:t>
            </w:r>
          </w:p>
        </w:tc>
        <w:tc>
          <w:tcPr>
            <w:tcW w:w="720" w:type="dxa"/>
            <w:vAlign w:val="bottom"/>
          </w:tcPr>
          <w:p>
            <w:pPr>
              <w:jc w:val="center"/>
              <w:ind w:left="95"/>
              <w:spacing w:after="0" w:line="131" w:lineRule="exact"/>
              <w:rPr>
                <w:sz w:val="20"/>
                <w:szCs w:val="20"/>
                <w:color w:val="auto"/>
              </w:rPr>
            </w:pPr>
            <w:r>
              <w:rPr>
                <w:rFonts w:ascii="Arial" w:cs="Arial" w:eastAsia="Arial" w:hAnsi="Arial"/>
                <w:sz w:val="13"/>
                <w:szCs w:val="13"/>
                <w:color w:val="auto"/>
              </w:rPr>
              <w:t>79,307</w:t>
            </w:r>
          </w:p>
        </w:tc>
        <w:tc>
          <w:tcPr>
            <w:tcW w:w="1060" w:type="dxa"/>
            <w:vAlign w:val="bottom"/>
            <w:tcBorders>
              <w:right w:val="single" w:sz="8" w:color="auto"/>
            </w:tcBorders>
          </w:tcPr>
          <w:p>
            <w:pPr>
              <w:jc w:val="center"/>
              <w:ind w:left="75"/>
              <w:spacing w:after="0" w:line="131" w:lineRule="exact"/>
              <w:rPr>
                <w:sz w:val="20"/>
                <w:szCs w:val="20"/>
                <w:color w:val="auto"/>
              </w:rPr>
            </w:pPr>
            <w:r>
              <w:rPr>
                <w:rFonts w:ascii="Arial" w:cs="Arial" w:eastAsia="Arial" w:hAnsi="Arial"/>
                <w:sz w:val="13"/>
                <w:szCs w:val="13"/>
                <w:color w:val="auto"/>
              </w:rPr>
              <w:t>82,105</w:t>
            </w:r>
          </w:p>
        </w:tc>
        <w:tc>
          <w:tcPr>
            <w:tcW w:w="12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3.5%</w:t>
            </w:r>
          </w:p>
        </w:tc>
      </w:tr>
      <w:tr>
        <w:trPr>
          <w:trHeight w:val="146"/>
        </w:trPr>
        <w:tc>
          <w:tcPr>
            <w:tcW w:w="3740" w:type="dxa"/>
            <w:vAlign w:val="bottom"/>
            <w:tcBorders>
              <w:left w:val="single" w:sz="8" w:color="auto"/>
              <w:right w:val="single" w:sz="8" w:color="auto"/>
            </w:tcBorders>
          </w:tcPr>
          <w:p>
            <w:pPr>
              <w:ind w:left="80"/>
              <w:spacing w:after="0" w:line="146" w:lineRule="exact"/>
              <w:rPr>
                <w:sz w:val="20"/>
                <w:szCs w:val="20"/>
                <w:color w:val="auto"/>
              </w:rPr>
            </w:pPr>
            <w:r>
              <w:rPr>
                <w:rFonts w:ascii="Arial" w:cs="Arial" w:eastAsia="Arial" w:hAnsi="Arial"/>
                <w:sz w:val="13"/>
                <w:szCs w:val="13"/>
                <w:color w:val="auto"/>
              </w:rPr>
              <w:t>Non-financial income</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w w:val="97"/>
              </w:rPr>
              <w:t>190,667</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w w:val="97"/>
              </w:rPr>
              <w:t>182,989</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226,078</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w w:val="97"/>
              </w:rPr>
              <w:t>23.5%</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18.6%</w:t>
            </w:r>
          </w:p>
        </w:tc>
        <w:tc>
          <w:tcPr>
            <w:tcW w:w="720" w:type="dxa"/>
            <w:vAlign w:val="bottom"/>
          </w:tcPr>
          <w:p>
            <w:pPr>
              <w:jc w:val="center"/>
              <w:ind w:left="95"/>
              <w:spacing w:after="0" w:line="146" w:lineRule="exact"/>
              <w:rPr>
                <w:sz w:val="20"/>
                <w:szCs w:val="20"/>
                <w:color w:val="auto"/>
              </w:rPr>
            </w:pPr>
            <w:r>
              <w:rPr>
                <w:rFonts w:ascii="Arial" w:cs="Arial" w:eastAsia="Arial" w:hAnsi="Arial"/>
                <w:sz w:val="13"/>
                <w:szCs w:val="13"/>
                <w:color w:val="auto"/>
              </w:rPr>
              <w:t>694,501</w:t>
            </w:r>
          </w:p>
        </w:tc>
        <w:tc>
          <w:tcPr>
            <w:tcW w:w="1060" w:type="dxa"/>
            <w:vAlign w:val="bottom"/>
            <w:tcBorders>
              <w:right w:val="single" w:sz="8" w:color="auto"/>
            </w:tcBorders>
          </w:tcPr>
          <w:p>
            <w:pPr>
              <w:jc w:val="center"/>
              <w:ind w:left="75"/>
              <w:spacing w:after="0" w:line="146" w:lineRule="exact"/>
              <w:rPr>
                <w:sz w:val="20"/>
                <w:szCs w:val="20"/>
                <w:color w:val="auto"/>
              </w:rPr>
            </w:pPr>
            <w:r>
              <w:rPr>
                <w:rFonts w:ascii="Arial" w:cs="Arial" w:eastAsia="Arial" w:hAnsi="Arial"/>
                <w:sz w:val="13"/>
                <w:szCs w:val="13"/>
                <w:color w:val="auto"/>
              </w:rPr>
              <w:t>809,387</w:t>
            </w:r>
          </w:p>
        </w:tc>
        <w:tc>
          <w:tcPr>
            <w:tcW w:w="12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16.5%</w:t>
            </w:r>
          </w:p>
        </w:tc>
      </w:tr>
      <w:tr>
        <w:trPr>
          <w:trHeight w:val="158"/>
        </w:trPr>
        <w:tc>
          <w:tcPr>
            <w:tcW w:w="3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Fee income</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124,761</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127,085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147,019</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15.7%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17.8%</w:t>
            </w:r>
          </w:p>
        </w:tc>
        <w:tc>
          <w:tcPr>
            <w:tcW w:w="720" w:type="dxa"/>
            <w:vAlign w:val="bottom"/>
          </w:tcPr>
          <w:p>
            <w:pPr>
              <w:jc w:val="center"/>
              <w:ind w:left="95"/>
              <w:spacing w:after="0"/>
              <w:rPr>
                <w:sz w:val="20"/>
                <w:szCs w:val="20"/>
                <w:color w:val="auto"/>
              </w:rPr>
            </w:pPr>
            <w:r>
              <w:rPr>
                <w:rFonts w:ascii="Arial" w:cs="Arial" w:eastAsia="Arial" w:hAnsi="Arial"/>
                <w:sz w:val="13"/>
                <w:szCs w:val="13"/>
                <w:color w:val="auto"/>
              </w:rPr>
              <w:t>534,189</w:t>
            </w:r>
          </w:p>
        </w:tc>
        <w:tc>
          <w:tcPr>
            <w:tcW w:w="1060" w:type="dxa"/>
            <w:vAlign w:val="bottom"/>
            <w:tcBorders>
              <w:right w:val="single" w:sz="8" w:color="auto"/>
            </w:tcBorders>
          </w:tcPr>
          <w:p>
            <w:pPr>
              <w:jc w:val="center"/>
              <w:ind w:left="75"/>
              <w:spacing w:after="0"/>
              <w:rPr>
                <w:sz w:val="20"/>
                <w:szCs w:val="20"/>
                <w:color w:val="auto"/>
              </w:rPr>
            </w:pPr>
            <w:r>
              <w:rPr>
                <w:rFonts w:ascii="Arial" w:cs="Arial" w:eastAsia="Arial" w:hAnsi="Arial"/>
                <w:sz w:val="13"/>
                <w:szCs w:val="13"/>
                <w:color w:val="auto"/>
              </w:rPr>
              <w:t>530,413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-0.7%</w:t>
            </w:r>
          </w:p>
        </w:tc>
      </w:tr>
      <w:tr>
        <w:trPr>
          <w:trHeight w:val="171"/>
        </w:trPr>
        <w:tc>
          <w:tcPr>
            <w:tcW w:w="3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Net gain on foreign exchange transactions</w:t>
            </w: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9,758</w:t>
            </w: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11,709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14,844</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26.8%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52.1%</w:t>
            </w:r>
          </w:p>
        </w:tc>
        <w:tc>
          <w:tcPr>
            <w:tcW w:w="720" w:type="dxa"/>
            <w:vAlign w:val="bottom"/>
          </w:tcPr>
          <w:p>
            <w:pPr>
              <w:jc w:val="center"/>
              <w:ind w:left="95"/>
              <w:spacing w:after="0"/>
              <w:rPr>
                <w:sz w:val="20"/>
                <w:szCs w:val="20"/>
                <w:color w:val="auto"/>
              </w:rPr>
            </w:pPr>
            <w:r>
              <w:rPr>
                <w:rFonts w:ascii="Arial" w:cs="Arial" w:eastAsia="Arial" w:hAnsi="Arial"/>
                <w:sz w:val="13"/>
                <w:szCs w:val="13"/>
                <w:color w:val="auto"/>
              </w:rPr>
              <w:t>32,759</w:t>
            </w:r>
          </w:p>
        </w:tc>
        <w:tc>
          <w:tcPr>
            <w:tcW w:w="1060" w:type="dxa"/>
            <w:vAlign w:val="bottom"/>
            <w:tcBorders>
              <w:right w:val="single" w:sz="8" w:color="auto"/>
            </w:tcBorders>
          </w:tcPr>
          <w:p>
            <w:pPr>
              <w:jc w:val="center"/>
              <w:ind w:left="75"/>
              <w:spacing w:after="0"/>
              <w:rPr>
                <w:sz w:val="20"/>
                <w:szCs w:val="20"/>
                <w:color w:val="auto"/>
              </w:rPr>
            </w:pPr>
            <w:r>
              <w:rPr>
                <w:rFonts w:ascii="Arial" w:cs="Arial" w:eastAsia="Arial" w:hAnsi="Arial"/>
                <w:sz w:val="13"/>
                <w:szCs w:val="13"/>
                <w:color w:val="auto"/>
              </w:rPr>
              <w:t>55,473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69.3%</w:t>
            </w:r>
          </w:p>
        </w:tc>
      </w:tr>
      <w:tr>
        <w:trPr>
          <w:trHeight w:val="146"/>
        </w:trPr>
        <w:tc>
          <w:tcPr>
            <w:tcW w:w="3740" w:type="dxa"/>
            <w:vAlign w:val="bottom"/>
            <w:tcBorders>
              <w:left w:val="single" w:sz="8" w:color="auto"/>
              <w:right w:val="single" w:sz="8" w:color="auto"/>
            </w:tcBorders>
          </w:tcPr>
          <w:p>
            <w:pPr>
              <w:ind w:left="300"/>
              <w:spacing w:after="0" w:line="146" w:lineRule="exact"/>
              <w:rPr>
                <w:sz w:val="20"/>
                <w:szCs w:val="20"/>
                <w:color w:val="auto"/>
              </w:rPr>
            </w:pPr>
            <w:r>
              <w:rPr>
                <w:rFonts w:ascii="Arial" w:cs="Arial" w:eastAsia="Arial" w:hAnsi="Arial"/>
                <w:sz w:val="13"/>
                <w:szCs w:val="13"/>
                <w:color w:val="auto"/>
              </w:rPr>
              <w:t>Net gain on sales of securities</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rPr>
              <w:t>42,349</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w w:val="95"/>
              </w:rPr>
              <w:t>28,120</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64,928</w:t>
            </w:r>
          </w:p>
        </w:tc>
        <w:tc>
          <w:tcPr>
            <w:tcW w:w="880" w:type="dxa"/>
            <w:vAlign w:val="bottom"/>
          </w:tcPr>
          <w:p>
            <w:pPr>
              <w:jc w:val="center"/>
              <w:spacing w:after="0" w:line="146" w:lineRule="exact"/>
              <w:rPr>
                <w:sz w:val="20"/>
                <w:szCs w:val="20"/>
                <w:color w:val="auto"/>
              </w:rPr>
            </w:pPr>
            <w:r>
              <w:rPr>
                <w:rFonts w:ascii="Arial" w:cs="Arial" w:eastAsia="Arial" w:hAnsi="Arial"/>
                <w:sz w:val="13"/>
                <w:szCs w:val="13"/>
                <w:color w:val="auto"/>
                <w:w w:val="99"/>
              </w:rPr>
              <w:t>130.9%</w:t>
            </w:r>
          </w:p>
        </w:tc>
        <w:tc>
          <w:tcPr>
            <w:tcW w:w="9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53.3%</w:t>
            </w:r>
          </w:p>
        </w:tc>
        <w:tc>
          <w:tcPr>
            <w:tcW w:w="720" w:type="dxa"/>
            <w:vAlign w:val="bottom"/>
          </w:tcPr>
          <w:p>
            <w:pPr>
              <w:jc w:val="center"/>
              <w:ind w:left="95"/>
              <w:spacing w:after="0" w:line="146" w:lineRule="exact"/>
              <w:rPr>
                <w:sz w:val="20"/>
                <w:szCs w:val="20"/>
                <w:color w:val="auto"/>
              </w:rPr>
            </w:pPr>
            <w:r>
              <w:rPr>
                <w:rFonts w:ascii="Arial" w:cs="Arial" w:eastAsia="Arial" w:hAnsi="Arial"/>
                <w:sz w:val="13"/>
                <w:szCs w:val="13"/>
                <w:color w:val="auto"/>
              </w:rPr>
              <w:t>50,384</w:t>
            </w:r>
          </w:p>
        </w:tc>
        <w:tc>
          <w:tcPr>
            <w:tcW w:w="1060" w:type="dxa"/>
            <w:vAlign w:val="bottom"/>
            <w:tcBorders>
              <w:right w:val="single" w:sz="8" w:color="auto"/>
            </w:tcBorders>
          </w:tcPr>
          <w:p>
            <w:pPr>
              <w:jc w:val="center"/>
              <w:ind w:left="75"/>
              <w:spacing w:after="0" w:line="146" w:lineRule="exact"/>
              <w:rPr>
                <w:sz w:val="20"/>
                <w:szCs w:val="20"/>
                <w:color w:val="auto"/>
              </w:rPr>
            </w:pPr>
            <w:r>
              <w:rPr>
                <w:rFonts w:ascii="Arial" w:cs="Arial" w:eastAsia="Arial" w:hAnsi="Arial"/>
                <w:sz w:val="13"/>
                <w:szCs w:val="13"/>
                <w:color w:val="auto"/>
              </w:rPr>
              <w:t>209,066</w:t>
            </w:r>
          </w:p>
        </w:tc>
        <w:tc>
          <w:tcPr>
            <w:tcW w:w="12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314.9%</w:t>
            </w:r>
          </w:p>
        </w:tc>
      </w:tr>
      <w:tr>
        <w:trPr>
          <w:trHeight w:val="158"/>
        </w:trPr>
        <w:tc>
          <w:tcPr>
            <w:tcW w:w="37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Derivative Result</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(11,908)</w:t>
            </w: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21,771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(16,731)</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-176.8%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40.5%</w:t>
            </w:r>
          </w:p>
        </w:tc>
        <w:tc>
          <w:tcPr>
            <w:tcW w:w="720" w:type="dxa"/>
            <w:vAlign w:val="bottom"/>
          </w:tcPr>
          <w:p>
            <w:pPr>
              <w:jc w:val="center"/>
              <w:ind w:left="95"/>
              <w:spacing w:after="0"/>
              <w:rPr>
                <w:sz w:val="20"/>
                <w:szCs w:val="20"/>
                <w:color w:val="auto"/>
              </w:rPr>
            </w:pPr>
            <w:r>
              <w:rPr>
                <w:rFonts w:ascii="Arial" w:cs="Arial" w:eastAsia="Arial" w:hAnsi="Arial"/>
                <w:sz w:val="13"/>
                <w:szCs w:val="13"/>
                <w:color w:val="auto"/>
              </w:rPr>
              <w:t>60,409</w:t>
            </w:r>
          </w:p>
        </w:tc>
        <w:tc>
          <w:tcPr>
            <w:tcW w:w="1060" w:type="dxa"/>
            <w:vAlign w:val="bottom"/>
            <w:tcBorders>
              <w:right w:val="single" w:sz="8" w:color="auto"/>
            </w:tcBorders>
          </w:tcPr>
          <w:p>
            <w:pPr>
              <w:jc w:val="center"/>
              <w:ind w:left="75"/>
              <w:spacing w:after="0"/>
              <w:rPr>
                <w:sz w:val="20"/>
                <w:szCs w:val="20"/>
                <w:color w:val="auto"/>
              </w:rPr>
            </w:pPr>
            <w:r>
              <w:rPr>
                <w:rFonts w:ascii="Arial" w:cs="Arial" w:eastAsia="Arial" w:hAnsi="Arial"/>
                <w:sz w:val="13"/>
                <w:szCs w:val="13"/>
                <w:color w:val="auto"/>
                <w:w w:val="99"/>
              </w:rPr>
              <w:t>(45,497)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-175.3%</w:t>
            </w:r>
          </w:p>
        </w:tc>
      </w:tr>
      <w:tr>
        <w:trPr>
          <w:trHeight w:val="171"/>
        </w:trPr>
        <w:tc>
          <w:tcPr>
            <w:tcW w:w="3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Result from exposure to the exchange rate</w:t>
            </w:r>
          </w:p>
        </w:tc>
        <w:tc>
          <w:tcPr>
            <w:tcW w:w="900" w:type="dxa"/>
            <w:vAlign w:val="bottom"/>
          </w:tcPr>
          <w:p>
            <w:pPr>
              <w:jc w:val="center"/>
              <w:spacing w:after="0"/>
              <w:rPr>
                <w:sz w:val="20"/>
                <w:szCs w:val="20"/>
                <w:color w:val="auto"/>
              </w:rPr>
            </w:pPr>
            <w:r>
              <w:rPr>
                <w:rFonts w:ascii="Arial" w:cs="Arial" w:eastAsia="Arial" w:hAnsi="Arial"/>
                <w:sz w:val="13"/>
                <w:szCs w:val="13"/>
                <w:color w:val="auto"/>
              </w:rPr>
              <w:t>19,483</w:t>
            </w:r>
          </w:p>
        </w:tc>
        <w:tc>
          <w:tcPr>
            <w:tcW w:w="900" w:type="dxa"/>
            <w:vAlign w:val="bottom"/>
          </w:tcPr>
          <w:p>
            <w:pPr>
              <w:jc w:val="center"/>
              <w:spacing w:after="0"/>
              <w:rPr>
                <w:sz w:val="20"/>
                <w:szCs w:val="20"/>
                <w:color w:val="auto"/>
              </w:rPr>
            </w:pPr>
            <w:r>
              <w:rPr>
                <w:rFonts w:ascii="Arial" w:cs="Arial" w:eastAsia="Arial" w:hAnsi="Arial"/>
                <w:sz w:val="13"/>
                <w:szCs w:val="13"/>
                <w:color w:val="auto"/>
              </w:rPr>
              <w:t>(7,650)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9,470</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-223.8%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-51.4%</w:t>
            </w:r>
          </w:p>
        </w:tc>
        <w:tc>
          <w:tcPr>
            <w:tcW w:w="720" w:type="dxa"/>
            <w:vAlign w:val="bottom"/>
          </w:tcPr>
          <w:p>
            <w:pPr>
              <w:jc w:val="center"/>
              <w:ind w:left="95"/>
              <w:spacing w:after="0"/>
              <w:rPr>
                <w:sz w:val="20"/>
                <w:szCs w:val="20"/>
                <w:color w:val="auto"/>
              </w:rPr>
            </w:pPr>
            <w:r>
              <w:rPr>
                <w:rFonts w:ascii="Arial" w:cs="Arial" w:eastAsia="Arial" w:hAnsi="Arial"/>
                <w:sz w:val="13"/>
                <w:szCs w:val="13"/>
                <w:color w:val="auto"/>
                <w:w w:val="99"/>
              </w:rPr>
              <w:t>(13,836)</w:t>
            </w:r>
          </w:p>
        </w:tc>
        <w:tc>
          <w:tcPr>
            <w:tcW w:w="1060" w:type="dxa"/>
            <w:vAlign w:val="bottom"/>
            <w:tcBorders>
              <w:right w:val="single" w:sz="8" w:color="auto"/>
            </w:tcBorders>
          </w:tcPr>
          <w:p>
            <w:pPr>
              <w:jc w:val="center"/>
              <w:ind w:left="75"/>
              <w:spacing w:after="0"/>
              <w:rPr>
                <w:sz w:val="20"/>
                <w:szCs w:val="20"/>
                <w:color w:val="auto"/>
              </w:rPr>
            </w:pPr>
            <w:r>
              <w:rPr>
                <w:rFonts w:ascii="Arial" w:cs="Arial" w:eastAsia="Arial" w:hAnsi="Arial"/>
                <w:sz w:val="13"/>
                <w:szCs w:val="13"/>
                <w:color w:val="auto"/>
              </w:rPr>
              <w:t>33,330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-340.9%</w:t>
            </w:r>
          </w:p>
        </w:tc>
      </w:tr>
      <w:tr>
        <w:trPr>
          <w:trHeight w:val="131"/>
        </w:trPr>
        <w:tc>
          <w:tcPr>
            <w:tcW w:w="3740" w:type="dxa"/>
            <w:vAlign w:val="bottom"/>
            <w:tcBorders>
              <w:left w:val="single" w:sz="8" w:color="auto"/>
              <w:right w:val="single" w:sz="8" w:color="auto"/>
            </w:tcBorders>
          </w:tcPr>
          <w:p>
            <w:pPr>
              <w:ind w:left="300"/>
              <w:spacing w:after="0" w:line="131" w:lineRule="exact"/>
              <w:rPr>
                <w:sz w:val="20"/>
                <w:szCs w:val="20"/>
                <w:color w:val="auto"/>
              </w:rPr>
            </w:pPr>
            <w:r>
              <w:rPr>
                <w:rFonts w:ascii="Arial" w:cs="Arial" w:eastAsia="Arial" w:hAnsi="Arial"/>
                <w:sz w:val="13"/>
                <w:szCs w:val="13"/>
                <w:color w:val="auto"/>
              </w:rPr>
              <w:t>Other income</w:t>
            </w:r>
          </w:p>
        </w:tc>
        <w:tc>
          <w:tcPr>
            <w:tcW w:w="900" w:type="dxa"/>
            <w:vAlign w:val="bottom"/>
          </w:tcPr>
          <w:p>
            <w:pPr>
              <w:jc w:val="center"/>
              <w:spacing w:after="0" w:line="131" w:lineRule="exact"/>
              <w:rPr>
                <w:sz w:val="20"/>
                <w:szCs w:val="20"/>
                <w:color w:val="auto"/>
              </w:rPr>
            </w:pPr>
            <w:r>
              <w:rPr>
                <w:rFonts w:ascii="Arial" w:cs="Arial" w:eastAsia="Arial" w:hAnsi="Arial"/>
                <w:sz w:val="13"/>
                <w:szCs w:val="13"/>
                <w:color w:val="auto"/>
                <w:w w:val="98"/>
              </w:rPr>
              <w:t>6,224</w:t>
            </w:r>
          </w:p>
        </w:tc>
        <w:tc>
          <w:tcPr>
            <w:tcW w:w="900" w:type="dxa"/>
            <w:vAlign w:val="bottom"/>
          </w:tcPr>
          <w:p>
            <w:pPr>
              <w:jc w:val="center"/>
              <w:spacing w:after="0" w:line="131" w:lineRule="exact"/>
              <w:rPr>
                <w:sz w:val="20"/>
                <w:szCs w:val="20"/>
                <w:color w:val="auto"/>
              </w:rPr>
            </w:pPr>
            <w:r>
              <w:rPr>
                <w:rFonts w:ascii="Arial" w:cs="Arial" w:eastAsia="Arial" w:hAnsi="Arial"/>
                <w:sz w:val="13"/>
                <w:szCs w:val="13"/>
                <w:color w:val="auto"/>
              </w:rPr>
              <w:t>1,954</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6,548</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w w:val="99"/>
              </w:rPr>
              <w:t>235.1%</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5.2%</w:t>
            </w:r>
          </w:p>
        </w:tc>
        <w:tc>
          <w:tcPr>
            <w:tcW w:w="720" w:type="dxa"/>
            <w:vAlign w:val="bottom"/>
          </w:tcPr>
          <w:p>
            <w:pPr>
              <w:jc w:val="center"/>
              <w:ind w:left="95"/>
              <w:spacing w:after="0" w:line="131" w:lineRule="exact"/>
              <w:rPr>
                <w:sz w:val="20"/>
                <w:szCs w:val="20"/>
                <w:color w:val="auto"/>
              </w:rPr>
            </w:pPr>
            <w:r>
              <w:rPr>
                <w:rFonts w:ascii="Arial" w:cs="Arial" w:eastAsia="Arial" w:hAnsi="Arial"/>
                <w:sz w:val="13"/>
                <w:szCs w:val="13"/>
                <w:color w:val="auto"/>
              </w:rPr>
              <w:t>30,596</w:t>
            </w:r>
          </w:p>
        </w:tc>
        <w:tc>
          <w:tcPr>
            <w:tcW w:w="1060" w:type="dxa"/>
            <w:vAlign w:val="bottom"/>
            <w:tcBorders>
              <w:right w:val="single" w:sz="8" w:color="auto"/>
            </w:tcBorders>
          </w:tcPr>
          <w:p>
            <w:pPr>
              <w:jc w:val="center"/>
              <w:ind w:left="75"/>
              <w:spacing w:after="0" w:line="131" w:lineRule="exact"/>
              <w:rPr>
                <w:sz w:val="20"/>
                <w:szCs w:val="20"/>
                <w:color w:val="auto"/>
              </w:rPr>
            </w:pPr>
            <w:r>
              <w:rPr>
                <w:rFonts w:ascii="Arial" w:cs="Arial" w:eastAsia="Arial" w:hAnsi="Arial"/>
                <w:sz w:val="13"/>
                <w:szCs w:val="13"/>
                <w:color w:val="auto"/>
              </w:rPr>
              <w:t>26,602</w:t>
            </w:r>
          </w:p>
        </w:tc>
        <w:tc>
          <w:tcPr>
            <w:tcW w:w="12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-13.1%</w:t>
            </w:r>
          </w:p>
        </w:tc>
      </w:tr>
      <w:tr>
        <w:trPr>
          <w:trHeight w:val="169"/>
        </w:trPr>
        <w:tc>
          <w:tcPr>
            <w:tcW w:w="3740" w:type="dxa"/>
            <w:vAlign w:val="bottom"/>
            <w:tcBorders>
              <w:left w:val="single" w:sz="8" w:color="auto"/>
              <w:bottom w:val="single" w:sz="8" w:color="auto"/>
              <w:right w:val="single" w:sz="8" w:color="auto"/>
            </w:tcBorders>
          </w:tcPr>
          <w:p>
            <w:pPr>
              <w:ind w:left="80"/>
              <w:spacing w:after="0" w:line="169" w:lineRule="exact"/>
              <w:rPr>
                <w:sz w:val="20"/>
                <w:szCs w:val="20"/>
                <w:color w:val="auto"/>
              </w:rPr>
            </w:pPr>
            <w:r>
              <w:rPr>
                <w:rFonts w:ascii="Arial" w:cs="Arial" w:eastAsia="Arial" w:hAnsi="Arial"/>
                <w:sz w:val="12"/>
                <w:szCs w:val="12"/>
                <w:color w:val="auto"/>
              </w:rPr>
              <w:t xml:space="preserve">Operating expenses </w:t>
            </w:r>
            <w:r>
              <w:rPr>
                <w:rFonts w:ascii="Arial" w:cs="Arial" w:eastAsia="Arial" w:hAnsi="Arial"/>
                <w:sz w:val="19"/>
                <w:szCs w:val="19"/>
                <w:color w:val="auto"/>
                <w:vertAlign w:val="superscript"/>
              </w:rPr>
              <w:t>(1)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(163,684)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(175,514)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(192,097)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9.4%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17.4%</w:t>
            </w:r>
          </w:p>
        </w:tc>
        <w:tc>
          <w:tcPr>
            <w:tcW w:w="720" w:type="dxa"/>
            <w:vAlign w:val="bottom"/>
            <w:tcBorders>
              <w:bottom w:val="single" w:sz="8" w:color="auto"/>
            </w:tcBorders>
          </w:tcPr>
          <w:p>
            <w:pPr>
              <w:jc w:val="center"/>
              <w:ind w:left="95"/>
              <w:spacing w:after="0"/>
              <w:rPr>
                <w:sz w:val="20"/>
                <w:szCs w:val="20"/>
                <w:color w:val="auto"/>
              </w:rPr>
            </w:pPr>
            <w:r>
              <w:rPr>
                <w:rFonts w:ascii="Arial" w:cs="Arial" w:eastAsia="Arial" w:hAnsi="Arial"/>
                <w:sz w:val="13"/>
                <w:szCs w:val="13"/>
                <w:color w:val="auto"/>
              </w:rPr>
              <w:t>(646,113)</w:t>
            </w:r>
          </w:p>
        </w:tc>
        <w:tc>
          <w:tcPr>
            <w:tcW w:w="1060" w:type="dxa"/>
            <w:vAlign w:val="bottom"/>
            <w:tcBorders>
              <w:bottom w:val="single" w:sz="8" w:color="auto"/>
              <w:right w:val="single" w:sz="8" w:color="auto"/>
            </w:tcBorders>
          </w:tcPr>
          <w:p>
            <w:pPr>
              <w:jc w:val="center"/>
              <w:ind w:left="75"/>
              <w:spacing w:after="0"/>
              <w:rPr>
                <w:sz w:val="20"/>
                <w:szCs w:val="20"/>
                <w:color w:val="auto"/>
              </w:rPr>
            </w:pPr>
            <w:r>
              <w:rPr>
                <w:rFonts w:ascii="Arial" w:cs="Arial" w:eastAsia="Arial" w:hAnsi="Arial"/>
                <w:sz w:val="13"/>
                <w:szCs w:val="13"/>
                <w:color w:val="auto"/>
              </w:rPr>
              <w:t>(698,702)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8.1%</w:t>
            </w:r>
          </w:p>
        </w:tc>
      </w:tr>
      <w:tr>
        <w:trPr>
          <w:trHeight w:val="138"/>
        </w:trPr>
        <w:tc>
          <w:tcPr>
            <w:tcW w:w="3740" w:type="dxa"/>
            <w:vAlign w:val="bottom"/>
            <w:tcBorders>
              <w:left w:val="single" w:sz="8" w:color="auto"/>
              <w:bottom w:val="single" w:sz="8" w:color="auto"/>
              <w:right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Operating income</w:t>
            </w:r>
          </w:p>
        </w:tc>
        <w:tc>
          <w:tcPr>
            <w:tcW w:w="9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48,995</w:t>
            </w:r>
          </w:p>
        </w:tc>
        <w:tc>
          <w:tcPr>
            <w:tcW w:w="9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5"/>
              </w:rPr>
              <w:t>27,575</w:t>
            </w:r>
          </w:p>
        </w:tc>
        <w:tc>
          <w:tcPr>
            <w:tcW w:w="90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52,738</w:t>
            </w:r>
          </w:p>
        </w:tc>
        <w:tc>
          <w:tcPr>
            <w:tcW w:w="8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7"/>
              </w:rPr>
              <w:t>91.3%</w:t>
            </w:r>
          </w:p>
        </w:tc>
        <w:tc>
          <w:tcPr>
            <w:tcW w:w="92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7.6%</w:t>
            </w:r>
          </w:p>
        </w:tc>
        <w:tc>
          <w:tcPr>
            <w:tcW w:w="720" w:type="dxa"/>
            <w:vAlign w:val="bottom"/>
            <w:tcBorders>
              <w:bottom w:val="single" w:sz="8" w:color="auto"/>
            </w:tcBorders>
          </w:tcPr>
          <w:p>
            <w:pPr>
              <w:jc w:val="center"/>
              <w:ind w:left="95"/>
              <w:spacing w:after="0" w:line="139" w:lineRule="exact"/>
              <w:rPr>
                <w:sz w:val="20"/>
                <w:szCs w:val="20"/>
                <w:color w:val="auto"/>
              </w:rPr>
            </w:pPr>
            <w:r>
              <w:rPr>
                <w:rFonts w:ascii="Arial" w:cs="Arial" w:eastAsia="Arial" w:hAnsi="Arial"/>
                <w:sz w:val="13"/>
                <w:szCs w:val="13"/>
                <w:b w:val="1"/>
                <w:bCs w:val="1"/>
                <w:color w:val="auto"/>
              </w:rPr>
              <w:t>127,695</w:t>
            </w:r>
          </w:p>
        </w:tc>
        <w:tc>
          <w:tcPr>
            <w:tcW w:w="1060" w:type="dxa"/>
            <w:vAlign w:val="bottom"/>
            <w:tcBorders>
              <w:bottom w:val="single" w:sz="8" w:color="auto"/>
              <w:right w:val="single" w:sz="8" w:color="auto"/>
            </w:tcBorders>
          </w:tcPr>
          <w:p>
            <w:pPr>
              <w:jc w:val="center"/>
              <w:ind w:left="75"/>
              <w:spacing w:after="0" w:line="139" w:lineRule="exact"/>
              <w:rPr>
                <w:sz w:val="20"/>
                <w:szCs w:val="20"/>
                <w:color w:val="auto"/>
              </w:rPr>
            </w:pPr>
            <w:r>
              <w:rPr>
                <w:rFonts w:ascii="Arial" w:cs="Arial" w:eastAsia="Arial" w:hAnsi="Arial"/>
                <w:sz w:val="13"/>
                <w:szCs w:val="13"/>
                <w:b w:val="1"/>
                <w:bCs w:val="1"/>
                <w:color w:val="auto"/>
              </w:rPr>
              <w:t>192,790</w:t>
            </w:r>
          </w:p>
        </w:tc>
        <w:tc>
          <w:tcPr>
            <w:tcW w:w="124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51.0%</w:t>
            </w:r>
          </w:p>
        </w:tc>
      </w:tr>
      <w:tr>
        <w:trPr>
          <w:trHeight w:val="131"/>
        </w:trPr>
        <w:tc>
          <w:tcPr>
            <w:tcW w:w="374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3"/>
                <w:szCs w:val="13"/>
                <w:color w:val="auto"/>
              </w:rPr>
              <w:t>Income taxes</w:t>
            </w:r>
          </w:p>
        </w:tc>
        <w:tc>
          <w:tcPr>
            <w:tcW w:w="900" w:type="dxa"/>
            <w:vAlign w:val="bottom"/>
          </w:tcPr>
          <w:p>
            <w:pPr>
              <w:jc w:val="center"/>
              <w:spacing w:after="0" w:line="131" w:lineRule="exact"/>
              <w:rPr>
                <w:sz w:val="20"/>
                <w:szCs w:val="20"/>
                <w:color w:val="auto"/>
              </w:rPr>
            </w:pPr>
            <w:r>
              <w:rPr>
                <w:rFonts w:ascii="Arial" w:cs="Arial" w:eastAsia="Arial" w:hAnsi="Arial"/>
                <w:sz w:val="13"/>
                <w:szCs w:val="13"/>
                <w:color w:val="auto"/>
              </w:rPr>
              <w:t>(12,803)</w:t>
            </w:r>
          </w:p>
        </w:tc>
        <w:tc>
          <w:tcPr>
            <w:tcW w:w="900" w:type="dxa"/>
            <w:vAlign w:val="bottom"/>
          </w:tcPr>
          <w:p>
            <w:pPr>
              <w:jc w:val="center"/>
              <w:spacing w:after="0" w:line="131" w:lineRule="exact"/>
              <w:rPr>
                <w:sz w:val="20"/>
                <w:szCs w:val="20"/>
                <w:color w:val="auto"/>
              </w:rPr>
            </w:pPr>
            <w:r>
              <w:rPr>
                <w:rFonts w:ascii="Arial" w:cs="Arial" w:eastAsia="Arial" w:hAnsi="Arial"/>
                <w:sz w:val="13"/>
                <w:szCs w:val="13"/>
                <w:color w:val="auto"/>
              </w:rPr>
              <w:t>(4,937)</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(10,006)</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w w:val="99"/>
              </w:rPr>
              <w:t>102.7%</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-21.8%</w:t>
            </w:r>
          </w:p>
        </w:tc>
        <w:tc>
          <w:tcPr>
            <w:tcW w:w="720" w:type="dxa"/>
            <w:vAlign w:val="bottom"/>
          </w:tcPr>
          <w:p>
            <w:pPr>
              <w:jc w:val="center"/>
              <w:ind w:left="95"/>
              <w:spacing w:after="0" w:line="131" w:lineRule="exact"/>
              <w:rPr>
                <w:sz w:val="20"/>
                <w:szCs w:val="20"/>
                <w:color w:val="auto"/>
              </w:rPr>
            </w:pPr>
            <w:r>
              <w:rPr>
                <w:rFonts w:ascii="Arial" w:cs="Arial" w:eastAsia="Arial" w:hAnsi="Arial"/>
                <w:sz w:val="13"/>
                <w:szCs w:val="13"/>
                <w:color w:val="auto"/>
                <w:w w:val="99"/>
              </w:rPr>
              <w:t>(22,007)</w:t>
            </w:r>
          </w:p>
        </w:tc>
        <w:tc>
          <w:tcPr>
            <w:tcW w:w="1060" w:type="dxa"/>
            <w:vAlign w:val="bottom"/>
            <w:tcBorders>
              <w:right w:val="single" w:sz="8" w:color="auto"/>
            </w:tcBorders>
          </w:tcPr>
          <w:p>
            <w:pPr>
              <w:jc w:val="center"/>
              <w:ind w:left="75"/>
              <w:spacing w:after="0" w:line="131" w:lineRule="exact"/>
              <w:rPr>
                <w:sz w:val="20"/>
                <w:szCs w:val="20"/>
                <w:color w:val="auto"/>
              </w:rPr>
            </w:pPr>
            <w:r>
              <w:rPr>
                <w:rFonts w:ascii="Arial" w:cs="Arial" w:eastAsia="Arial" w:hAnsi="Arial"/>
                <w:sz w:val="13"/>
                <w:szCs w:val="13"/>
                <w:color w:val="auto"/>
                <w:w w:val="99"/>
              </w:rPr>
              <w:t>(31,394)</w:t>
            </w:r>
          </w:p>
        </w:tc>
        <w:tc>
          <w:tcPr>
            <w:tcW w:w="12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42.7%</w:t>
            </w:r>
          </w:p>
        </w:tc>
      </w:tr>
      <w:tr>
        <w:trPr>
          <w:trHeight w:val="154"/>
        </w:trPr>
        <w:tc>
          <w:tcPr>
            <w:tcW w:w="3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Non-controlling interest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(2,829)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(3,281)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(6,818)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107.8%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141.0%</w:t>
            </w:r>
          </w:p>
        </w:tc>
        <w:tc>
          <w:tcPr>
            <w:tcW w:w="720" w:type="dxa"/>
            <w:vAlign w:val="bottom"/>
            <w:tcBorders>
              <w:bottom w:val="single" w:sz="8" w:color="auto"/>
            </w:tcBorders>
          </w:tcPr>
          <w:p>
            <w:pPr>
              <w:jc w:val="center"/>
              <w:ind w:left="75"/>
              <w:spacing w:after="0"/>
              <w:rPr>
                <w:sz w:val="20"/>
                <w:szCs w:val="20"/>
                <w:color w:val="auto"/>
              </w:rPr>
            </w:pPr>
            <w:r>
              <w:rPr>
                <w:rFonts w:ascii="Arial" w:cs="Arial" w:eastAsia="Arial" w:hAnsi="Arial"/>
                <w:sz w:val="13"/>
                <w:szCs w:val="13"/>
                <w:color w:val="auto"/>
                <w:w w:val="98"/>
              </w:rPr>
              <w:t>(850)</w:t>
            </w:r>
          </w:p>
        </w:tc>
        <w:tc>
          <w:tcPr>
            <w:tcW w:w="1060" w:type="dxa"/>
            <w:vAlign w:val="bottom"/>
            <w:tcBorders>
              <w:bottom w:val="single" w:sz="8" w:color="auto"/>
              <w:right w:val="single" w:sz="8" w:color="auto"/>
            </w:tcBorders>
          </w:tcPr>
          <w:p>
            <w:pPr>
              <w:jc w:val="center"/>
              <w:ind w:left="75"/>
              <w:spacing w:after="0"/>
              <w:rPr>
                <w:sz w:val="20"/>
                <w:szCs w:val="20"/>
                <w:color w:val="auto"/>
              </w:rPr>
            </w:pPr>
            <w:r>
              <w:rPr>
                <w:rFonts w:ascii="Arial" w:cs="Arial" w:eastAsia="Arial" w:hAnsi="Arial"/>
                <w:sz w:val="13"/>
                <w:szCs w:val="13"/>
                <w:color w:val="auto"/>
                <w:w w:val="99"/>
              </w:rPr>
              <w:t>(11,955)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r>
      <w:tr>
        <w:trPr>
          <w:trHeight w:val="138"/>
        </w:trPr>
        <w:tc>
          <w:tcPr>
            <w:tcW w:w="3740" w:type="dxa"/>
            <w:vAlign w:val="bottom"/>
            <w:tcBorders>
              <w:left w:val="single" w:sz="8" w:color="auto"/>
              <w:bottom w:val="single" w:sz="8" w:color="auto"/>
              <w:right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Net income</w:t>
            </w:r>
          </w:p>
        </w:tc>
        <w:tc>
          <w:tcPr>
            <w:tcW w:w="9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39,021</w:t>
            </w:r>
          </w:p>
        </w:tc>
        <w:tc>
          <w:tcPr>
            <w:tcW w:w="9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5"/>
              </w:rPr>
              <w:t>25,919</w:t>
            </w:r>
          </w:p>
        </w:tc>
        <w:tc>
          <w:tcPr>
            <w:tcW w:w="90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49,550</w:t>
            </w:r>
          </w:p>
        </w:tc>
        <w:tc>
          <w:tcPr>
            <w:tcW w:w="8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7"/>
              </w:rPr>
              <w:t>91.2%</w:t>
            </w:r>
          </w:p>
        </w:tc>
        <w:tc>
          <w:tcPr>
            <w:tcW w:w="92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7"/>
              </w:rPr>
              <w:t>27.0%</w:t>
            </w:r>
          </w:p>
        </w:tc>
        <w:tc>
          <w:tcPr>
            <w:tcW w:w="720" w:type="dxa"/>
            <w:vAlign w:val="bottom"/>
            <w:tcBorders>
              <w:bottom w:val="single" w:sz="8" w:color="auto"/>
            </w:tcBorders>
          </w:tcPr>
          <w:p>
            <w:pPr>
              <w:jc w:val="center"/>
              <w:ind w:left="95"/>
              <w:spacing w:after="0" w:line="139" w:lineRule="exact"/>
              <w:rPr>
                <w:sz w:val="20"/>
                <w:szCs w:val="20"/>
                <w:color w:val="auto"/>
              </w:rPr>
            </w:pPr>
            <w:r>
              <w:rPr>
                <w:rFonts w:ascii="Arial" w:cs="Arial" w:eastAsia="Arial" w:hAnsi="Arial"/>
                <w:sz w:val="13"/>
                <w:szCs w:val="13"/>
                <w:b w:val="1"/>
                <w:bCs w:val="1"/>
                <w:color w:val="auto"/>
              </w:rPr>
              <w:t>106,538</w:t>
            </w:r>
          </w:p>
        </w:tc>
        <w:tc>
          <w:tcPr>
            <w:tcW w:w="1060" w:type="dxa"/>
            <w:vAlign w:val="bottom"/>
            <w:tcBorders>
              <w:bottom w:val="single" w:sz="8" w:color="auto"/>
              <w:right w:val="single" w:sz="8" w:color="auto"/>
            </w:tcBorders>
          </w:tcPr>
          <w:p>
            <w:pPr>
              <w:jc w:val="center"/>
              <w:ind w:left="75"/>
              <w:spacing w:after="0" w:line="139" w:lineRule="exact"/>
              <w:rPr>
                <w:sz w:val="20"/>
                <w:szCs w:val="20"/>
                <w:color w:val="auto"/>
              </w:rPr>
            </w:pPr>
            <w:r>
              <w:rPr>
                <w:rFonts w:ascii="Arial" w:cs="Arial" w:eastAsia="Arial" w:hAnsi="Arial"/>
                <w:sz w:val="13"/>
                <w:szCs w:val="13"/>
                <w:b w:val="1"/>
                <w:bCs w:val="1"/>
                <w:color w:val="auto"/>
              </w:rPr>
              <w:t>173,351</w:t>
            </w:r>
          </w:p>
        </w:tc>
        <w:tc>
          <w:tcPr>
            <w:tcW w:w="124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-2283460</wp:posOffset>
            </wp:positionV>
            <wp:extent cx="1161415" cy="139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 Includes ASB and Credicorp Capital. Does not include Wealth Management at BCP.</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(1) Includes: Salaries and employee’s benefits + Administrative expenses + Assigned expenses + Depreciation and amortization + Tax and contributions + Other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22" w:right="319" w:bottom="1440" w:gutter="0" w:footer="0" w:header="0"/>
        </w:sectPr>
      </w:pPr>
    </w:p>
    <w:bookmarkStart w:id="80" w:name="page81"/>
    <w:bookmarkEnd w:id="80"/>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444"/>
        </w:trPr>
        <w:tc>
          <w:tcPr>
            <w:tcW w:w="1380" w:type="dxa"/>
            <w:vAlign w:val="bottom"/>
            <w:tcBorders>
              <w:left w:val="single" w:sz="8" w:color="auto"/>
              <w:right w:val="single" w:sz="8" w:color="auto"/>
            </w:tcBorders>
            <w:shd w:val="clear" w:color="auto" w:fill="000000"/>
          </w:tcPr>
          <w:p>
            <w:pPr>
              <w:spacing w:after="0"/>
              <w:rPr>
                <w:sz w:val="24"/>
                <w:szCs w:val="24"/>
                <w:color w:val="auto"/>
              </w:rPr>
            </w:pPr>
          </w:p>
        </w:tc>
        <w:tc>
          <w:tcPr>
            <w:tcW w:w="3920" w:type="dxa"/>
            <w:vAlign w:val="bottom"/>
            <w:gridSpan w:val="3"/>
            <w:shd w:val="clear" w:color="auto" w:fill="000000"/>
          </w:tcPr>
          <w:p>
            <w:pPr>
              <w:ind w:left="134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20" w:type="dxa"/>
            <w:vAlign w:val="bottom"/>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5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3820" w:type="dxa"/>
            <w:vAlign w:val="bottom"/>
            <w:tcBorders>
              <w:right w:val="single" w:sz="8" w:color="auto"/>
            </w:tcBorders>
            <w:gridSpan w:val="11"/>
            <w:shd w:val="clear" w:color="auto" w:fill="000000"/>
          </w:tcPr>
          <w:p>
            <w:pPr>
              <w:ind w:left="80"/>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1380" w:type="dxa"/>
            <w:vAlign w:val="bottom"/>
            <w:tcBorders>
              <w:left w:val="single" w:sz="8" w:color="auto"/>
              <w:right w:val="single" w:sz="8" w:color="auto"/>
            </w:tcBorders>
            <w:shd w:val="clear" w:color="auto" w:fill="000000"/>
          </w:tcPr>
          <w:p>
            <w:pPr>
              <w:spacing w:after="0"/>
              <w:rPr>
                <w:sz w:val="17"/>
                <w:szCs w:val="17"/>
                <w:color w:val="auto"/>
              </w:rPr>
            </w:pPr>
          </w:p>
        </w:tc>
        <w:tc>
          <w:tcPr>
            <w:tcW w:w="2240" w:type="dxa"/>
            <w:vAlign w:val="bottom"/>
            <w:tcBorders>
              <w:right w:val="single" w:sz="8" w:color="auto"/>
            </w:tcBorders>
            <w:shd w:val="clear" w:color="auto" w:fill="000000"/>
          </w:tcPr>
          <w:p>
            <w:pPr>
              <w:spacing w:after="0"/>
              <w:rPr>
                <w:sz w:val="17"/>
                <w:szCs w:val="17"/>
                <w:color w:val="auto"/>
              </w:rPr>
            </w:pPr>
          </w:p>
        </w:tc>
        <w:tc>
          <w:tcPr>
            <w:tcW w:w="780" w:type="dxa"/>
            <w:vAlign w:val="bottom"/>
            <w:shd w:val="clear" w:color="auto" w:fill="000000"/>
          </w:tcPr>
          <w:p>
            <w:pPr>
              <w:spacing w:after="0"/>
              <w:rPr>
                <w:sz w:val="17"/>
                <w:szCs w:val="17"/>
                <w:color w:val="auto"/>
              </w:rPr>
            </w:pPr>
          </w:p>
        </w:tc>
        <w:tc>
          <w:tcPr>
            <w:tcW w:w="90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0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00" w:type="dxa"/>
            <w:vAlign w:val="bottom"/>
            <w:shd w:val="clear" w:color="auto" w:fill="000000"/>
          </w:tcPr>
          <w:p>
            <w:pPr>
              <w:spacing w:after="0"/>
              <w:rPr>
                <w:sz w:val="17"/>
                <w:szCs w:val="17"/>
                <w:color w:val="auto"/>
              </w:rPr>
            </w:pPr>
          </w:p>
        </w:tc>
        <w:tc>
          <w:tcPr>
            <w:tcW w:w="940" w:type="dxa"/>
            <w:vAlign w:val="bottom"/>
            <w:shd w:val="clear" w:color="auto" w:fill="000000"/>
          </w:tcPr>
          <w:p>
            <w:pPr>
              <w:spacing w:after="0"/>
              <w:rPr>
                <w:sz w:val="17"/>
                <w:szCs w:val="17"/>
                <w:color w:val="auto"/>
              </w:rPr>
            </w:pPr>
          </w:p>
        </w:tc>
        <w:tc>
          <w:tcPr>
            <w:tcW w:w="80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1380" w:type="dxa"/>
            <w:vAlign w:val="bottom"/>
            <w:tcBorders>
              <w:left w:val="single" w:sz="8" w:color="E93BAB"/>
              <w:right w:val="single" w:sz="8" w:color="E93BAB"/>
            </w:tcBorders>
            <w:shd w:val="clear" w:color="auto" w:fill="E93BAB"/>
          </w:tcPr>
          <w:p>
            <w:pPr>
              <w:spacing w:after="0"/>
              <w:rPr>
                <w:sz w:val="20"/>
                <w:szCs w:val="20"/>
                <w:color w:val="auto"/>
              </w:rPr>
            </w:pPr>
            <w:r>
              <w:rPr>
                <w:rFonts w:ascii="Arial" w:cs="Arial" w:eastAsia="Arial" w:hAnsi="Arial"/>
                <w:sz w:val="18"/>
                <w:szCs w:val="18"/>
                <w:b w:val="1"/>
                <w:bCs w:val="1"/>
                <w:color w:val="FFFFFF"/>
              </w:rPr>
              <w:t>12. Appendix</w:t>
            </w:r>
          </w:p>
        </w:tc>
        <w:tc>
          <w:tcPr>
            <w:tcW w:w="2240" w:type="dxa"/>
            <w:vAlign w:val="bottom"/>
            <w:tcBorders>
              <w:right w:val="single" w:sz="8" w:color="E93BAB"/>
            </w:tcBorders>
            <w:shd w:val="clear" w:color="auto" w:fill="E93BAB"/>
          </w:tcPr>
          <w:p>
            <w:pPr>
              <w:spacing w:after="0"/>
              <w:rPr>
                <w:sz w:val="24"/>
                <w:szCs w:val="24"/>
                <w:color w:val="auto"/>
              </w:rPr>
            </w:pPr>
          </w:p>
        </w:tc>
        <w:tc>
          <w:tcPr>
            <w:tcW w:w="780" w:type="dxa"/>
            <w:vAlign w:val="bottom"/>
            <w:shd w:val="clear" w:color="auto" w:fill="E93BAB"/>
          </w:tcPr>
          <w:p>
            <w:pPr>
              <w:spacing w:after="0"/>
              <w:rPr>
                <w:sz w:val="24"/>
                <w:szCs w:val="24"/>
                <w:color w:val="auto"/>
              </w:rPr>
            </w:pPr>
          </w:p>
        </w:tc>
        <w:tc>
          <w:tcPr>
            <w:tcW w:w="900" w:type="dxa"/>
            <w:vAlign w:val="bottom"/>
            <w:shd w:val="clear" w:color="auto" w:fill="E93BAB"/>
          </w:tcPr>
          <w:p>
            <w:pPr>
              <w:spacing w:after="0"/>
              <w:rPr>
                <w:sz w:val="24"/>
                <w:szCs w:val="24"/>
                <w:color w:val="auto"/>
              </w:rPr>
            </w:pPr>
          </w:p>
        </w:tc>
        <w:tc>
          <w:tcPr>
            <w:tcW w:w="20" w:type="dxa"/>
            <w:vAlign w:val="bottom"/>
            <w:shd w:val="clear" w:color="auto" w:fill="E93BAB"/>
          </w:tcPr>
          <w:p>
            <w:pPr>
              <w:spacing w:after="0"/>
              <w:rPr>
                <w:sz w:val="24"/>
                <w:szCs w:val="24"/>
                <w:color w:val="auto"/>
              </w:rPr>
            </w:pPr>
          </w:p>
        </w:tc>
        <w:tc>
          <w:tcPr>
            <w:tcW w:w="700" w:type="dxa"/>
            <w:vAlign w:val="bottom"/>
            <w:shd w:val="clear" w:color="auto" w:fill="E93BAB"/>
          </w:tcPr>
          <w:p>
            <w:pPr>
              <w:spacing w:after="0"/>
              <w:rPr>
                <w:sz w:val="24"/>
                <w:szCs w:val="24"/>
                <w:color w:val="auto"/>
              </w:rPr>
            </w:pPr>
          </w:p>
        </w:tc>
        <w:tc>
          <w:tcPr>
            <w:tcW w:w="20" w:type="dxa"/>
            <w:vAlign w:val="bottom"/>
            <w:shd w:val="clear" w:color="auto" w:fill="E93BAB"/>
          </w:tcPr>
          <w:p>
            <w:pPr>
              <w:spacing w:after="0"/>
              <w:rPr>
                <w:sz w:val="24"/>
                <w:szCs w:val="24"/>
                <w:color w:val="auto"/>
              </w:rPr>
            </w:pPr>
          </w:p>
        </w:tc>
        <w:tc>
          <w:tcPr>
            <w:tcW w:w="100" w:type="dxa"/>
            <w:vAlign w:val="bottom"/>
            <w:shd w:val="clear" w:color="auto" w:fill="E93BAB"/>
          </w:tcPr>
          <w:p>
            <w:pPr>
              <w:spacing w:after="0"/>
              <w:rPr>
                <w:sz w:val="24"/>
                <w:szCs w:val="24"/>
                <w:color w:val="auto"/>
              </w:rPr>
            </w:pPr>
          </w:p>
        </w:tc>
        <w:tc>
          <w:tcPr>
            <w:tcW w:w="520" w:type="dxa"/>
            <w:vAlign w:val="bottom"/>
            <w:shd w:val="clear" w:color="auto" w:fill="E93BAB"/>
          </w:tcPr>
          <w:p>
            <w:pPr>
              <w:spacing w:after="0"/>
              <w:rPr>
                <w:sz w:val="24"/>
                <w:szCs w:val="24"/>
                <w:color w:val="auto"/>
              </w:rPr>
            </w:pPr>
          </w:p>
        </w:tc>
        <w:tc>
          <w:tcPr>
            <w:tcW w:w="100" w:type="dxa"/>
            <w:vAlign w:val="bottom"/>
            <w:shd w:val="clear" w:color="auto" w:fill="E93BAB"/>
          </w:tcPr>
          <w:p>
            <w:pPr>
              <w:spacing w:after="0"/>
              <w:rPr>
                <w:sz w:val="24"/>
                <w:szCs w:val="24"/>
                <w:color w:val="auto"/>
              </w:rPr>
            </w:pPr>
          </w:p>
        </w:tc>
        <w:tc>
          <w:tcPr>
            <w:tcW w:w="80" w:type="dxa"/>
            <w:vAlign w:val="bottom"/>
            <w:shd w:val="clear" w:color="auto" w:fill="E93BAB"/>
          </w:tcPr>
          <w:p>
            <w:pPr>
              <w:spacing w:after="0"/>
              <w:rPr>
                <w:sz w:val="24"/>
                <w:szCs w:val="24"/>
                <w:color w:val="auto"/>
              </w:rPr>
            </w:pPr>
          </w:p>
        </w:tc>
        <w:tc>
          <w:tcPr>
            <w:tcW w:w="60" w:type="dxa"/>
            <w:vAlign w:val="bottom"/>
            <w:shd w:val="clear" w:color="auto" w:fill="E93BAB"/>
          </w:tcPr>
          <w:p>
            <w:pPr>
              <w:spacing w:after="0"/>
              <w:rPr>
                <w:sz w:val="24"/>
                <w:szCs w:val="24"/>
                <w:color w:val="auto"/>
              </w:rPr>
            </w:pPr>
          </w:p>
        </w:tc>
        <w:tc>
          <w:tcPr>
            <w:tcW w:w="540" w:type="dxa"/>
            <w:vAlign w:val="bottom"/>
            <w:shd w:val="clear" w:color="auto" w:fill="E93BAB"/>
          </w:tcPr>
          <w:p>
            <w:pPr>
              <w:spacing w:after="0"/>
              <w:rPr>
                <w:sz w:val="24"/>
                <w:szCs w:val="24"/>
                <w:color w:val="auto"/>
              </w:rPr>
            </w:pPr>
          </w:p>
        </w:tc>
        <w:tc>
          <w:tcPr>
            <w:tcW w:w="140" w:type="dxa"/>
            <w:vAlign w:val="bottom"/>
            <w:shd w:val="clear" w:color="auto" w:fill="E93BAB"/>
          </w:tcPr>
          <w:p>
            <w:pPr>
              <w:spacing w:after="0"/>
              <w:rPr>
                <w:sz w:val="24"/>
                <w:szCs w:val="24"/>
                <w:color w:val="auto"/>
              </w:rPr>
            </w:pPr>
          </w:p>
        </w:tc>
        <w:tc>
          <w:tcPr>
            <w:tcW w:w="380" w:type="dxa"/>
            <w:vAlign w:val="bottom"/>
            <w:shd w:val="clear" w:color="auto" w:fill="E93BAB"/>
          </w:tcPr>
          <w:p>
            <w:pPr>
              <w:spacing w:after="0"/>
              <w:rPr>
                <w:sz w:val="24"/>
                <w:szCs w:val="24"/>
                <w:color w:val="auto"/>
              </w:rPr>
            </w:pPr>
          </w:p>
        </w:tc>
        <w:tc>
          <w:tcPr>
            <w:tcW w:w="60" w:type="dxa"/>
            <w:vAlign w:val="bottom"/>
            <w:shd w:val="clear" w:color="auto" w:fill="E93BAB"/>
          </w:tcPr>
          <w:p>
            <w:pPr>
              <w:spacing w:after="0"/>
              <w:rPr>
                <w:sz w:val="24"/>
                <w:szCs w:val="24"/>
                <w:color w:val="auto"/>
              </w:rPr>
            </w:pPr>
          </w:p>
        </w:tc>
        <w:tc>
          <w:tcPr>
            <w:tcW w:w="40" w:type="dxa"/>
            <w:vAlign w:val="bottom"/>
            <w:shd w:val="clear" w:color="auto" w:fill="E93BAB"/>
          </w:tcPr>
          <w:p>
            <w:pPr>
              <w:spacing w:after="0"/>
              <w:rPr>
                <w:sz w:val="24"/>
                <w:szCs w:val="24"/>
                <w:color w:val="auto"/>
              </w:rPr>
            </w:pPr>
          </w:p>
        </w:tc>
        <w:tc>
          <w:tcPr>
            <w:tcW w:w="140" w:type="dxa"/>
            <w:vAlign w:val="bottom"/>
            <w:shd w:val="clear" w:color="auto" w:fill="E93BAB"/>
          </w:tcPr>
          <w:p>
            <w:pPr>
              <w:spacing w:after="0"/>
              <w:rPr>
                <w:sz w:val="24"/>
                <w:szCs w:val="24"/>
                <w:color w:val="auto"/>
              </w:rPr>
            </w:pPr>
          </w:p>
        </w:tc>
        <w:tc>
          <w:tcPr>
            <w:tcW w:w="480" w:type="dxa"/>
            <w:vAlign w:val="bottom"/>
            <w:shd w:val="clear" w:color="auto" w:fill="E93BAB"/>
          </w:tcPr>
          <w:p>
            <w:pPr>
              <w:spacing w:after="0"/>
              <w:rPr>
                <w:sz w:val="24"/>
                <w:szCs w:val="24"/>
                <w:color w:val="auto"/>
              </w:rPr>
            </w:pPr>
          </w:p>
        </w:tc>
        <w:tc>
          <w:tcPr>
            <w:tcW w:w="120" w:type="dxa"/>
            <w:vAlign w:val="bottom"/>
            <w:shd w:val="clear" w:color="auto" w:fill="E93BAB"/>
          </w:tcPr>
          <w:p>
            <w:pPr>
              <w:spacing w:after="0"/>
              <w:rPr>
                <w:sz w:val="24"/>
                <w:szCs w:val="24"/>
                <w:color w:val="auto"/>
              </w:rPr>
            </w:pPr>
          </w:p>
        </w:tc>
        <w:tc>
          <w:tcPr>
            <w:tcW w:w="20" w:type="dxa"/>
            <w:vAlign w:val="bottom"/>
            <w:shd w:val="clear" w:color="auto" w:fill="E93BAB"/>
          </w:tcPr>
          <w:p>
            <w:pPr>
              <w:spacing w:after="0"/>
              <w:rPr>
                <w:sz w:val="24"/>
                <w:szCs w:val="24"/>
                <w:color w:val="auto"/>
              </w:rPr>
            </w:pPr>
          </w:p>
        </w:tc>
        <w:tc>
          <w:tcPr>
            <w:tcW w:w="700" w:type="dxa"/>
            <w:vAlign w:val="bottom"/>
            <w:shd w:val="clear" w:color="auto" w:fill="E93BAB"/>
          </w:tcPr>
          <w:p>
            <w:pPr>
              <w:spacing w:after="0"/>
              <w:rPr>
                <w:sz w:val="24"/>
                <w:szCs w:val="24"/>
                <w:color w:val="auto"/>
              </w:rPr>
            </w:pPr>
          </w:p>
        </w:tc>
        <w:tc>
          <w:tcPr>
            <w:tcW w:w="940" w:type="dxa"/>
            <w:vAlign w:val="bottom"/>
            <w:shd w:val="clear" w:color="auto" w:fill="E93BAB"/>
          </w:tcPr>
          <w:p>
            <w:pPr>
              <w:spacing w:after="0"/>
              <w:rPr>
                <w:sz w:val="24"/>
                <w:szCs w:val="24"/>
                <w:color w:val="auto"/>
              </w:rPr>
            </w:pPr>
          </w:p>
        </w:tc>
        <w:tc>
          <w:tcPr>
            <w:tcW w:w="800" w:type="dxa"/>
            <w:vAlign w:val="bottom"/>
            <w:tcBorders>
              <w:right w:val="single" w:sz="8" w:color="E93BAB"/>
            </w:tcBorders>
            <w:shd w:val="clear" w:color="auto" w:fill="E93BAB"/>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E93BAB"/>
              <w:right w:val="single" w:sz="8" w:color="E93BAB"/>
            </w:tcBorders>
            <w:shd w:val="clear" w:color="auto" w:fill="E93BAB"/>
          </w:tcPr>
          <w:p>
            <w:pPr>
              <w:spacing w:after="0"/>
              <w:rPr>
                <w:sz w:val="8"/>
                <w:szCs w:val="8"/>
                <w:color w:val="auto"/>
              </w:rPr>
            </w:pPr>
          </w:p>
        </w:tc>
        <w:tc>
          <w:tcPr>
            <w:tcW w:w="2240" w:type="dxa"/>
            <w:vAlign w:val="bottom"/>
            <w:tcBorders>
              <w:right w:val="single" w:sz="8" w:color="E93BAB"/>
            </w:tcBorders>
            <w:shd w:val="clear" w:color="auto" w:fill="E93BAB"/>
          </w:tcPr>
          <w:p>
            <w:pPr>
              <w:spacing w:after="0"/>
              <w:rPr>
                <w:sz w:val="8"/>
                <w:szCs w:val="8"/>
                <w:color w:val="auto"/>
              </w:rPr>
            </w:pPr>
          </w:p>
        </w:tc>
        <w:tc>
          <w:tcPr>
            <w:tcW w:w="780" w:type="dxa"/>
            <w:vAlign w:val="bottom"/>
            <w:shd w:val="clear" w:color="auto" w:fill="E93BAB"/>
          </w:tcPr>
          <w:p>
            <w:pPr>
              <w:spacing w:after="0"/>
              <w:rPr>
                <w:sz w:val="8"/>
                <w:szCs w:val="8"/>
                <w:color w:val="auto"/>
              </w:rPr>
            </w:pPr>
          </w:p>
        </w:tc>
        <w:tc>
          <w:tcPr>
            <w:tcW w:w="900" w:type="dxa"/>
            <w:vAlign w:val="bottom"/>
            <w:shd w:val="clear" w:color="auto" w:fill="E93BAB"/>
          </w:tcPr>
          <w:p>
            <w:pPr>
              <w:spacing w:after="0"/>
              <w:rPr>
                <w:sz w:val="8"/>
                <w:szCs w:val="8"/>
                <w:color w:val="auto"/>
              </w:rPr>
            </w:pPr>
          </w:p>
        </w:tc>
        <w:tc>
          <w:tcPr>
            <w:tcW w:w="20" w:type="dxa"/>
            <w:vAlign w:val="bottom"/>
            <w:shd w:val="clear" w:color="auto" w:fill="E93BAB"/>
          </w:tcPr>
          <w:p>
            <w:pPr>
              <w:spacing w:after="0"/>
              <w:rPr>
                <w:sz w:val="8"/>
                <w:szCs w:val="8"/>
                <w:color w:val="auto"/>
              </w:rPr>
            </w:pPr>
          </w:p>
        </w:tc>
        <w:tc>
          <w:tcPr>
            <w:tcW w:w="700" w:type="dxa"/>
            <w:vAlign w:val="bottom"/>
            <w:shd w:val="clear" w:color="auto" w:fill="E93BAB"/>
          </w:tcPr>
          <w:p>
            <w:pPr>
              <w:spacing w:after="0"/>
              <w:rPr>
                <w:sz w:val="8"/>
                <w:szCs w:val="8"/>
                <w:color w:val="auto"/>
              </w:rPr>
            </w:pPr>
          </w:p>
        </w:tc>
        <w:tc>
          <w:tcPr>
            <w:tcW w:w="20" w:type="dxa"/>
            <w:vAlign w:val="bottom"/>
            <w:shd w:val="clear" w:color="auto" w:fill="E93BAB"/>
          </w:tcPr>
          <w:p>
            <w:pPr>
              <w:spacing w:after="0"/>
              <w:rPr>
                <w:sz w:val="8"/>
                <w:szCs w:val="8"/>
                <w:color w:val="auto"/>
              </w:rPr>
            </w:pPr>
          </w:p>
        </w:tc>
        <w:tc>
          <w:tcPr>
            <w:tcW w:w="100" w:type="dxa"/>
            <w:vAlign w:val="bottom"/>
            <w:shd w:val="clear" w:color="auto" w:fill="E93BAB"/>
          </w:tcPr>
          <w:p>
            <w:pPr>
              <w:spacing w:after="0"/>
              <w:rPr>
                <w:sz w:val="8"/>
                <w:szCs w:val="8"/>
                <w:color w:val="auto"/>
              </w:rPr>
            </w:pPr>
          </w:p>
        </w:tc>
        <w:tc>
          <w:tcPr>
            <w:tcW w:w="520" w:type="dxa"/>
            <w:vAlign w:val="bottom"/>
            <w:shd w:val="clear" w:color="auto" w:fill="E93BAB"/>
          </w:tcPr>
          <w:p>
            <w:pPr>
              <w:spacing w:after="0"/>
              <w:rPr>
                <w:sz w:val="8"/>
                <w:szCs w:val="8"/>
                <w:color w:val="auto"/>
              </w:rPr>
            </w:pPr>
          </w:p>
        </w:tc>
        <w:tc>
          <w:tcPr>
            <w:tcW w:w="100" w:type="dxa"/>
            <w:vAlign w:val="bottom"/>
            <w:shd w:val="clear" w:color="auto" w:fill="E93BAB"/>
          </w:tcPr>
          <w:p>
            <w:pPr>
              <w:spacing w:after="0"/>
              <w:rPr>
                <w:sz w:val="8"/>
                <w:szCs w:val="8"/>
                <w:color w:val="auto"/>
              </w:rPr>
            </w:pPr>
          </w:p>
        </w:tc>
        <w:tc>
          <w:tcPr>
            <w:tcW w:w="80" w:type="dxa"/>
            <w:vAlign w:val="bottom"/>
            <w:shd w:val="clear" w:color="auto" w:fill="E93BAB"/>
          </w:tcPr>
          <w:p>
            <w:pPr>
              <w:spacing w:after="0"/>
              <w:rPr>
                <w:sz w:val="8"/>
                <w:szCs w:val="8"/>
                <w:color w:val="auto"/>
              </w:rPr>
            </w:pPr>
          </w:p>
        </w:tc>
        <w:tc>
          <w:tcPr>
            <w:tcW w:w="60" w:type="dxa"/>
            <w:vAlign w:val="bottom"/>
            <w:shd w:val="clear" w:color="auto" w:fill="E93BAB"/>
          </w:tcPr>
          <w:p>
            <w:pPr>
              <w:spacing w:after="0"/>
              <w:rPr>
                <w:sz w:val="8"/>
                <w:szCs w:val="8"/>
                <w:color w:val="auto"/>
              </w:rPr>
            </w:pPr>
          </w:p>
        </w:tc>
        <w:tc>
          <w:tcPr>
            <w:tcW w:w="540" w:type="dxa"/>
            <w:vAlign w:val="bottom"/>
            <w:shd w:val="clear" w:color="auto" w:fill="E93BAB"/>
          </w:tcPr>
          <w:p>
            <w:pPr>
              <w:spacing w:after="0"/>
              <w:rPr>
                <w:sz w:val="8"/>
                <w:szCs w:val="8"/>
                <w:color w:val="auto"/>
              </w:rPr>
            </w:pPr>
          </w:p>
        </w:tc>
        <w:tc>
          <w:tcPr>
            <w:tcW w:w="140" w:type="dxa"/>
            <w:vAlign w:val="bottom"/>
            <w:shd w:val="clear" w:color="auto" w:fill="E93BAB"/>
          </w:tcPr>
          <w:p>
            <w:pPr>
              <w:spacing w:after="0"/>
              <w:rPr>
                <w:sz w:val="8"/>
                <w:szCs w:val="8"/>
                <w:color w:val="auto"/>
              </w:rPr>
            </w:pPr>
          </w:p>
        </w:tc>
        <w:tc>
          <w:tcPr>
            <w:tcW w:w="380" w:type="dxa"/>
            <w:vAlign w:val="bottom"/>
            <w:shd w:val="clear" w:color="auto" w:fill="E93BAB"/>
          </w:tcPr>
          <w:p>
            <w:pPr>
              <w:spacing w:after="0"/>
              <w:rPr>
                <w:sz w:val="8"/>
                <w:szCs w:val="8"/>
                <w:color w:val="auto"/>
              </w:rPr>
            </w:pPr>
          </w:p>
        </w:tc>
        <w:tc>
          <w:tcPr>
            <w:tcW w:w="60" w:type="dxa"/>
            <w:vAlign w:val="bottom"/>
            <w:shd w:val="clear" w:color="auto" w:fill="E93BAB"/>
          </w:tcPr>
          <w:p>
            <w:pPr>
              <w:spacing w:after="0"/>
              <w:rPr>
                <w:sz w:val="8"/>
                <w:szCs w:val="8"/>
                <w:color w:val="auto"/>
              </w:rPr>
            </w:pPr>
          </w:p>
        </w:tc>
        <w:tc>
          <w:tcPr>
            <w:tcW w:w="40" w:type="dxa"/>
            <w:vAlign w:val="bottom"/>
            <w:shd w:val="clear" w:color="auto" w:fill="E93BAB"/>
          </w:tcPr>
          <w:p>
            <w:pPr>
              <w:spacing w:after="0"/>
              <w:rPr>
                <w:sz w:val="8"/>
                <w:szCs w:val="8"/>
                <w:color w:val="auto"/>
              </w:rPr>
            </w:pPr>
          </w:p>
        </w:tc>
        <w:tc>
          <w:tcPr>
            <w:tcW w:w="140" w:type="dxa"/>
            <w:vAlign w:val="bottom"/>
            <w:shd w:val="clear" w:color="auto" w:fill="E93BAB"/>
          </w:tcPr>
          <w:p>
            <w:pPr>
              <w:spacing w:after="0"/>
              <w:rPr>
                <w:sz w:val="8"/>
                <w:szCs w:val="8"/>
                <w:color w:val="auto"/>
              </w:rPr>
            </w:pPr>
          </w:p>
        </w:tc>
        <w:tc>
          <w:tcPr>
            <w:tcW w:w="480" w:type="dxa"/>
            <w:vAlign w:val="bottom"/>
            <w:shd w:val="clear" w:color="auto" w:fill="E93BAB"/>
          </w:tcPr>
          <w:p>
            <w:pPr>
              <w:spacing w:after="0"/>
              <w:rPr>
                <w:sz w:val="8"/>
                <w:szCs w:val="8"/>
                <w:color w:val="auto"/>
              </w:rPr>
            </w:pPr>
          </w:p>
        </w:tc>
        <w:tc>
          <w:tcPr>
            <w:tcW w:w="120" w:type="dxa"/>
            <w:vAlign w:val="bottom"/>
            <w:shd w:val="clear" w:color="auto" w:fill="E93BAB"/>
          </w:tcPr>
          <w:p>
            <w:pPr>
              <w:spacing w:after="0"/>
              <w:rPr>
                <w:sz w:val="8"/>
                <w:szCs w:val="8"/>
                <w:color w:val="auto"/>
              </w:rPr>
            </w:pPr>
          </w:p>
        </w:tc>
        <w:tc>
          <w:tcPr>
            <w:tcW w:w="20" w:type="dxa"/>
            <w:vAlign w:val="bottom"/>
            <w:shd w:val="clear" w:color="auto" w:fill="E93BAB"/>
          </w:tcPr>
          <w:p>
            <w:pPr>
              <w:spacing w:after="0"/>
              <w:rPr>
                <w:sz w:val="8"/>
                <w:szCs w:val="8"/>
                <w:color w:val="auto"/>
              </w:rPr>
            </w:pPr>
          </w:p>
        </w:tc>
        <w:tc>
          <w:tcPr>
            <w:tcW w:w="700" w:type="dxa"/>
            <w:vAlign w:val="bottom"/>
            <w:shd w:val="clear" w:color="auto" w:fill="E93BAB"/>
          </w:tcPr>
          <w:p>
            <w:pPr>
              <w:spacing w:after="0"/>
              <w:rPr>
                <w:sz w:val="8"/>
                <w:szCs w:val="8"/>
                <w:color w:val="auto"/>
              </w:rPr>
            </w:pPr>
          </w:p>
        </w:tc>
        <w:tc>
          <w:tcPr>
            <w:tcW w:w="940" w:type="dxa"/>
            <w:vAlign w:val="bottom"/>
            <w:shd w:val="clear" w:color="auto" w:fill="E93BAB"/>
          </w:tcPr>
          <w:p>
            <w:pPr>
              <w:spacing w:after="0"/>
              <w:rPr>
                <w:sz w:val="8"/>
                <w:szCs w:val="8"/>
                <w:color w:val="auto"/>
              </w:rPr>
            </w:pPr>
          </w:p>
        </w:tc>
        <w:tc>
          <w:tcPr>
            <w:tcW w:w="800" w:type="dxa"/>
            <w:vAlign w:val="bottom"/>
            <w:tcBorders>
              <w:right w:val="single" w:sz="8" w:color="E93BAB"/>
            </w:tcBorders>
            <w:shd w:val="clear" w:color="auto" w:fill="E93BAB"/>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6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12.7.Table of calculations</w:t>
            </w: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80" w:type="dxa"/>
            <w:vAlign w:val="bottom"/>
            <w:tcBorders>
              <w:left w:val="single" w:sz="8" w:color="auto"/>
              <w:bottom w:val="single" w:sz="8" w:color="auto"/>
              <w:right w:val="single" w:sz="8" w:color="29D2C9"/>
            </w:tcBorders>
            <w:shd w:val="clear" w:color="auto" w:fill="29D2C9"/>
          </w:tcPr>
          <w:p>
            <w:pPr>
              <w:spacing w:after="0"/>
              <w:rPr>
                <w:sz w:val="16"/>
                <w:szCs w:val="16"/>
                <w:color w:val="auto"/>
              </w:rPr>
            </w:pPr>
          </w:p>
        </w:tc>
        <w:tc>
          <w:tcPr>
            <w:tcW w:w="2240" w:type="dxa"/>
            <w:vAlign w:val="bottom"/>
            <w:tcBorders>
              <w:bottom w:val="single" w:sz="8" w:color="auto"/>
              <w:right w:val="single" w:sz="8" w:color="29D2C9"/>
            </w:tcBorders>
            <w:shd w:val="clear" w:color="auto" w:fill="29D2C9"/>
          </w:tcPr>
          <w:p>
            <w:pPr>
              <w:spacing w:after="0"/>
              <w:rPr>
                <w:sz w:val="16"/>
                <w:szCs w:val="16"/>
                <w:color w:val="auto"/>
              </w:rPr>
            </w:pPr>
          </w:p>
        </w:tc>
        <w:tc>
          <w:tcPr>
            <w:tcW w:w="780" w:type="dxa"/>
            <w:vAlign w:val="bottom"/>
            <w:tcBorders>
              <w:bottom w:val="single" w:sz="8" w:color="auto"/>
            </w:tcBorders>
            <w:shd w:val="clear" w:color="auto" w:fill="29D2C9"/>
          </w:tcPr>
          <w:p>
            <w:pPr>
              <w:spacing w:after="0"/>
              <w:rPr>
                <w:sz w:val="16"/>
                <w:szCs w:val="16"/>
                <w:color w:val="auto"/>
              </w:rPr>
            </w:pPr>
          </w:p>
        </w:tc>
        <w:tc>
          <w:tcPr>
            <w:tcW w:w="6860" w:type="dxa"/>
            <w:vAlign w:val="bottom"/>
            <w:tcBorders>
              <w:bottom w:val="single" w:sz="8" w:color="auto"/>
              <w:right w:val="single" w:sz="8" w:color="auto"/>
            </w:tcBorders>
            <w:gridSpan w:val="21"/>
            <w:shd w:val="clear" w:color="auto" w:fill="29D2C9"/>
          </w:tcPr>
          <w:p>
            <w:pPr>
              <w:ind w:left="560"/>
              <w:spacing w:after="0" w:line="188" w:lineRule="exact"/>
              <w:rPr>
                <w:sz w:val="20"/>
                <w:szCs w:val="20"/>
                <w:color w:val="auto"/>
              </w:rPr>
            </w:pPr>
            <w:r>
              <w:rPr>
                <w:rFonts w:ascii="Arial" w:cs="Arial" w:eastAsia="Arial" w:hAnsi="Arial"/>
                <w:sz w:val="13"/>
                <w:szCs w:val="13"/>
                <w:color w:val="FFFFFF"/>
              </w:rPr>
              <w:t xml:space="preserve">Table of calculations </w:t>
            </w:r>
            <w:r>
              <w:rPr>
                <w:rFonts w:ascii="Arial" w:cs="Arial" w:eastAsia="Arial" w:hAnsi="Arial"/>
                <w:sz w:val="21"/>
                <w:szCs w:val="21"/>
                <w:color w:val="FFFFFF"/>
                <w:vertAlign w:val="superscript"/>
              </w:rPr>
              <w:t>(1)</w:t>
            </w:r>
          </w:p>
        </w:tc>
        <w:tc>
          <w:tcPr>
            <w:tcW w:w="0" w:type="dxa"/>
            <w:vAlign w:val="bottom"/>
          </w:tcPr>
          <w:p>
            <w:pPr>
              <w:spacing w:after="0"/>
              <w:rPr>
                <w:sz w:val="1"/>
                <w:szCs w:val="1"/>
                <w:color w:val="auto"/>
              </w:rPr>
            </w:pPr>
          </w:p>
        </w:tc>
      </w:tr>
      <w:tr>
        <w:trPr>
          <w:trHeight w:val="254"/>
        </w:trPr>
        <w:tc>
          <w:tcPr>
            <w:tcW w:w="1380" w:type="dxa"/>
            <w:vAlign w:val="bottom"/>
            <w:tcBorders>
              <w:left w:val="single" w:sz="8" w:color="auto"/>
              <w:right w:val="single" w:sz="8" w:color="auto"/>
            </w:tcBorders>
          </w:tcPr>
          <w:p>
            <w:pPr>
              <w:spacing w:after="0"/>
              <w:rPr>
                <w:sz w:val="22"/>
                <w:szCs w:val="22"/>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Net Interest Margin (NIM)</w:t>
            </w:r>
          </w:p>
        </w:tc>
        <w:tc>
          <w:tcPr>
            <w:tcW w:w="780" w:type="dxa"/>
            <w:vAlign w:val="bottom"/>
          </w:tcPr>
          <w:p>
            <w:pPr>
              <w:spacing w:after="0"/>
              <w:rPr>
                <w:sz w:val="22"/>
                <w:szCs w:val="22"/>
                <w:color w:val="auto"/>
              </w:rPr>
            </w:pPr>
          </w:p>
        </w:tc>
        <w:tc>
          <w:tcPr>
            <w:tcW w:w="6860" w:type="dxa"/>
            <w:vAlign w:val="bottom"/>
            <w:tcBorders>
              <w:right w:val="single" w:sz="8" w:color="auto"/>
            </w:tcBorders>
            <w:gridSpan w:val="21"/>
          </w:tcPr>
          <w:p>
            <w:pPr>
              <w:jc w:val="center"/>
              <w:ind w:right="800"/>
              <w:spacing w:after="0"/>
              <w:rPr>
                <w:sz w:val="20"/>
                <w:szCs w:val="20"/>
                <w:color w:val="auto"/>
              </w:rPr>
            </w:pPr>
            <w:r>
              <w:rPr>
                <w:rFonts w:ascii="Arial" w:cs="Arial" w:eastAsia="Arial" w:hAnsi="Arial"/>
                <w:sz w:val="13"/>
                <w:szCs w:val="13"/>
                <w:color w:val="auto"/>
              </w:rPr>
              <w:t>For further details on the new NIM calculation due to IFRS17, please refer to Annex 12.1</w:t>
            </w:r>
          </w:p>
        </w:tc>
        <w:tc>
          <w:tcPr>
            <w:tcW w:w="0" w:type="dxa"/>
            <w:vAlign w:val="bottom"/>
          </w:tcPr>
          <w:p>
            <w:pPr>
              <w:spacing w:after="0"/>
              <w:rPr>
                <w:sz w:val="1"/>
                <w:szCs w:val="1"/>
                <w:color w:val="auto"/>
              </w:rPr>
            </w:pPr>
          </w:p>
        </w:tc>
      </w:tr>
      <w:tr>
        <w:trPr>
          <w:trHeight w:val="79"/>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380" w:type="dxa"/>
            <w:vAlign w:val="bottom"/>
            <w:tcBorders>
              <w:left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3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Risk-adjusted Net Interest Margin</w:t>
            </w:r>
          </w:p>
        </w:tc>
        <w:tc>
          <w:tcPr>
            <w:tcW w:w="780" w:type="dxa"/>
            <w:vAlign w:val="bottom"/>
          </w:tcPr>
          <w:p>
            <w:pPr>
              <w:spacing w:after="0"/>
              <w:rPr>
                <w:sz w:val="19"/>
                <w:szCs w:val="19"/>
                <w:color w:val="auto"/>
              </w:rPr>
            </w:pPr>
          </w:p>
        </w:tc>
        <w:tc>
          <w:tcPr>
            <w:tcW w:w="6860" w:type="dxa"/>
            <w:vAlign w:val="bottom"/>
            <w:tcBorders>
              <w:right w:val="single" w:sz="8" w:color="auto"/>
            </w:tcBorders>
            <w:gridSpan w:val="21"/>
            <w:vMerge w:val="restart"/>
          </w:tcPr>
          <w:p>
            <w:pPr>
              <w:jc w:val="center"/>
              <w:ind w:right="800"/>
              <w:spacing w:after="0"/>
              <w:rPr>
                <w:sz w:val="20"/>
                <w:szCs w:val="20"/>
                <w:color w:val="auto"/>
              </w:rPr>
            </w:pPr>
            <w:r>
              <w:rPr>
                <w:rFonts w:ascii="Arial" w:cs="Arial" w:eastAsia="Arial" w:hAnsi="Arial"/>
                <w:sz w:val="13"/>
                <w:szCs w:val="13"/>
                <w:color w:val="auto"/>
              </w:rPr>
              <w:t>For further details on the new NIM calculation due to IFRS17, please refer to Annex 12.1</w:t>
            </w:r>
          </w:p>
        </w:tc>
        <w:tc>
          <w:tcPr>
            <w:tcW w:w="0" w:type="dxa"/>
            <w:vAlign w:val="bottom"/>
          </w:tcPr>
          <w:p>
            <w:pPr>
              <w:spacing w:after="0"/>
              <w:rPr>
                <w:sz w:val="1"/>
                <w:szCs w:val="1"/>
                <w:color w:val="auto"/>
              </w:rPr>
            </w:pPr>
          </w:p>
        </w:tc>
      </w:tr>
      <w:tr>
        <w:trPr>
          <w:trHeight w:val="98"/>
        </w:trPr>
        <w:tc>
          <w:tcPr>
            <w:tcW w:w="1380" w:type="dxa"/>
            <w:vAlign w:val="bottom"/>
            <w:tcBorders>
              <w:left w:val="single" w:sz="8" w:color="auto"/>
              <w:right w:val="single" w:sz="8" w:color="auto"/>
            </w:tcBorders>
          </w:tcPr>
          <w:p>
            <w:pPr>
              <w:spacing w:after="0"/>
              <w:rPr>
                <w:sz w:val="8"/>
                <w:szCs w:val="8"/>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(Risk-adjusted NIM)</w:t>
            </w:r>
          </w:p>
        </w:tc>
        <w:tc>
          <w:tcPr>
            <w:tcW w:w="780" w:type="dxa"/>
            <w:vAlign w:val="bottom"/>
          </w:tcPr>
          <w:p>
            <w:pPr>
              <w:spacing w:after="0"/>
              <w:rPr>
                <w:sz w:val="8"/>
                <w:szCs w:val="8"/>
                <w:color w:val="auto"/>
              </w:rPr>
            </w:pPr>
          </w:p>
        </w:tc>
        <w:tc>
          <w:tcPr>
            <w:tcW w:w="6860" w:type="dxa"/>
            <w:vAlign w:val="bottom"/>
            <w:tcBorders>
              <w:right w:val="single" w:sz="8" w:color="auto"/>
            </w:tcBorders>
            <w:gridSpan w:val="2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Profitability</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Funding cost</w:t>
            </w:r>
          </w:p>
        </w:tc>
        <w:tc>
          <w:tcPr>
            <w:tcW w:w="780" w:type="dxa"/>
            <w:vAlign w:val="bottom"/>
          </w:tcPr>
          <w:p>
            <w:pPr>
              <w:spacing w:after="0"/>
              <w:rPr>
                <w:sz w:val="22"/>
                <w:szCs w:val="22"/>
                <w:color w:val="auto"/>
              </w:rPr>
            </w:pPr>
          </w:p>
        </w:tc>
        <w:tc>
          <w:tcPr>
            <w:tcW w:w="6860" w:type="dxa"/>
            <w:vAlign w:val="bottom"/>
            <w:tcBorders>
              <w:right w:val="single" w:sz="8" w:color="auto"/>
            </w:tcBorders>
            <w:gridSpan w:val="21"/>
          </w:tcPr>
          <w:p>
            <w:pPr>
              <w:jc w:val="center"/>
              <w:ind w:right="800"/>
              <w:spacing w:after="0"/>
              <w:rPr>
                <w:sz w:val="20"/>
                <w:szCs w:val="20"/>
                <w:color w:val="auto"/>
              </w:rPr>
            </w:pPr>
            <w:r>
              <w:rPr>
                <w:rFonts w:ascii="Arial" w:cs="Arial" w:eastAsia="Arial" w:hAnsi="Arial"/>
                <w:sz w:val="13"/>
                <w:szCs w:val="13"/>
                <w:color w:val="auto"/>
                <w:w w:val="99"/>
              </w:rPr>
              <w:t>For further details on the new Funding cost calculation due to IFRS17, please refer to Annex 12.1</w:t>
            </w: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Return on average assets (ROA)</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tcBorders>
              <w:bottom w:val="single" w:sz="8" w:color="auto"/>
            </w:tcBorders>
            <w:gridSpan w:val="14"/>
          </w:tcPr>
          <w:p>
            <w:pPr>
              <w:jc w:val="center"/>
              <w:spacing w:after="0"/>
              <w:rPr>
                <w:sz w:val="20"/>
                <w:szCs w:val="20"/>
                <w:color w:val="auto"/>
              </w:rPr>
            </w:pPr>
            <w:r>
              <w:rPr>
                <w:rFonts w:ascii="Arial" w:cs="Arial" w:eastAsia="Arial" w:hAnsi="Arial"/>
                <w:sz w:val="13"/>
                <w:szCs w:val="13"/>
                <w:color w:val="auto"/>
              </w:rPr>
              <w:t>Annualized Net Income attributable to Credicorp</w:t>
            </w:r>
          </w:p>
        </w:tc>
        <w:tc>
          <w:tcPr>
            <w:tcW w:w="2440" w:type="dxa"/>
            <w:vAlign w:val="bottom"/>
            <w:tcBorders>
              <w:right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138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360" w:type="dxa"/>
            <w:vAlign w:val="bottom"/>
            <w:tcBorders>
              <w:right w:val="single" w:sz="8" w:color="auto"/>
            </w:tcBorders>
            <w:gridSpan w:val="12"/>
            <w:vMerge w:val="restart"/>
          </w:tcPr>
          <w:p>
            <w:pPr>
              <w:jc w:val="center"/>
              <w:ind w:right="3300"/>
              <w:spacing w:after="0"/>
              <w:rPr>
                <w:sz w:val="20"/>
                <w:szCs w:val="20"/>
                <w:color w:val="auto"/>
              </w:rPr>
            </w:pPr>
            <w:r>
              <w:rPr>
                <w:rFonts w:ascii="Arial" w:cs="Arial" w:eastAsia="Arial" w:hAnsi="Arial"/>
                <w:sz w:val="13"/>
                <w:szCs w:val="13"/>
                <w:color w:val="auto"/>
                <w:w w:val="98"/>
              </w:rPr>
              <w:t>Average Assets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360" w:type="dxa"/>
            <w:vAlign w:val="bottom"/>
            <w:tcBorders>
              <w:right w:val="single" w:sz="8" w:color="auto"/>
            </w:tcBorders>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Return on average equity (ROE)</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80" w:type="dxa"/>
            <w:vAlign w:val="bottom"/>
            <w:tcBorders>
              <w:bottom w:val="single" w:sz="8" w:color="auto"/>
            </w:tcBorders>
            <w:gridSpan w:val="14"/>
          </w:tcPr>
          <w:p>
            <w:pPr>
              <w:jc w:val="center"/>
              <w:spacing w:after="0"/>
              <w:rPr>
                <w:sz w:val="20"/>
                <w:szCs w:val="20"/>
                <w:color w:val="auto"/>
              </w:rPr>
            </w:pPr>
            <w:r>
              <w:rPr>
                <w:rFonts w:ascii="Arial" w:cs="Arial" w:eastAsia="Arial" w:hAnsi="Arial"/>
                <w:sz w:val="13"/>
                <w:szCs w:val="13"/>
                <w:color w:val="auto"/>
              </w:rPr>
              <w:t>Annualized Net Income attributable to Credicorp</w:t>
            </w:r>
          </w:p>
        </w:tc>
        <w:tc>
          <w:tcPr>
            <w:tcW w:w="2460" w:type="dxa"/>
            <w:vAlign w:val="bottom"/>
            <w:tcBorders>
              <w:right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138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20" w:type="dxa"/>
            <w:vAlign w:val="bottom"/>
            <w:tcBorders>
              <w:right w:val="single" w:sz="8" w:color="auto"/>
            </w:tcBorders>
            <w:gridSpan w:val="13"/>
            <w:vMerge w:val="restart"/>
          </w:tcPr>
          <w:p>
            <w:pPr>
              <w:jc w:val="center"/>
              <w:ind w:right="3280"/>
              <w:spacing w:after="0"/>
              <w:rPr>
                <w:sz w:val="20"/>
                <w:szCs w:val="20"/>
                <w:color w:val="auto"/>
              </w:rPr>
            </w:pPr>
            <w:r>
              <w:rPr>
                <w:rFonts w:ascii="Arial" w:cs="Arial" w:eastAsia="Arial" w:hAnsi="Arial"/>
                <w:sz w:val="13"/>
                <w:szCs w:val="13"/>
                <w:color w:val="auto"/>
              </w:rPr>
              <w:t>Average net equity</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20" w:type="dxa"/>
            <w:vAlign w:val="bottom"/>
            <w:tcBorders>
              <w:right w:val="single" w:sz="8" w:color="auto"/>
            </w:tcBorders>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Internal overdue ratio</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color w:val="auto"/>
              </w:rPr>
              <w:t>Internal overdue loans</w:t>
            </w:r>
          </w:p>
        </w:tc>
        <w:tc>
          <w:tcPr>
            <w:tcW w:w="3200" w:type="dxa"/>
            <w:vAlign w:val="bottom"/>
            <w:tcBorders>
              <w:right w:val="single" w:sz="8" w:color="auto"/>
            </w:tcBorders>
            <w:gridSpan w:val="7"/>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138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360" w:type="dxa"/>
            <w:vAlign w:val="bottom"/>
            <w:tcBorders>
              <w:right w:val="single" w:sz="8" w:color="auto"/>
            </w:tcBorders>
            <w:gridSpan w:val="12"/>
            <w:vMerge w:val="restart"/>
          </w:tcPr>
          <w:p>
            <w:pPr>
              <w:jc w:val="center"/>
              <w:ind w:right="3340"/>
              <w:spacing w:after="0"/>
              <w:rPr>
                <w:sz w:val="20"/>
                <w:szCs w:val="20"/>
                <w:color w:val="auto"/>
              </w:rPr>
            </w:pPr>
            <w:r>
              <w:rPr>
                <w:rFonts w:ascii="Arial" w:cs="Arial" w:eastAsia="Arial" w:hAnsi="Arial"/>
                <w:sz w:val="13"/>
                <w:szCs w:val="13"/>
                <w:color w:val="auto"/>
                <w:w w:val="97"/>
              </w:rPr>
              <w:t>Total loans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360" w:type="dxa"/>
            <w:vAlign w:val="bottom"/>
            <w:tcBorders>
              <w:right w:val="single" w:sz="8" w:color="auto"/>
            </w:tcBorders>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Non – performing loans ratio</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tcBorders>
              <w:right w:val="single" w:sz="8" w:color="auto"/>
            </w:tcBorders>
            <w:gridSpan w:val="17"/>
          </w:tcPr>
          <w:p>
            <w:pPr>
              <w:jc w:val="center"/>
              <w:ind w:right="2480"/>
              <w:spacing w:after="0"/>
              <w:rPr>
                <w:sz w:val="20"/>
                <w:szCs w:val="20"/>
                <w:color w:val="auto"/>
              </w:rPr>
            </w:pPr>
            <w:r>
              <w:rPr>
                <w:rFonts w:ascii="Arial" w:cs="Arial" w:eastAsia="Arial" w:hAnsi="Arial"/>
                <w:sz w:val="13"/>
                <w:szCs w:val="13"/>
                <w:color w:val="auto"/>
              </w:rPr>
              <w:t>(Internal overdue loans + Refinanced loans)</w:t>
            </w: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(NPL ratio)</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7"/>
          </w:tcPr>
          <w:p>
            <w:pPr>
              <w:jc w:val="center"/>
              <w:ind w:right="760"/>
              <w:spacing w:after="0"/>
              <w:rPr>
                <w:sz w:val="20"/>
                <w:szCs w:val="20"/>
                <w:color w:val="auto"/>
              </w:rPr>
            </w:pPr>
            <w:r>
              <w:rPr>
                <w:rFonts w:ascii="Arial" w:cs="Arial" w:eastAsia="Arial" w:hAnsi="Arial"/>
                <w:sz w:val="13"/>
                <w:szCs w:val="13"/>
                <w:color w:val="auto"/>
                <w:w w:val="97"/>
              </w:rPr>
              <w:t>Total loans</w:t>
            </w:r>
          </w:p>
        </w:tc>
        <w:tc>
          <w:tcPr>
            <w:tcW w:w="84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Portfolio quality</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Coverage ratio of internal</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Borders>
              <w:bottom w:val="single" w:sz="8" w:color="auto"/>
            </w:tcBorders>
            <w:gridSpan w:val="9"/>
          </w:tcPr>
          <w:p>
            <w:pPr>
              <w:jc w:val="center"/>
              <w:spacing w:after="0"/>
              <w:rPr>
                <w:sz w:val="20"/>
                <w:szCs w:val="20"/>
                <w:color w:val="auto"/>
              </w:rPr>
            </w:pPr>
            <w:r>
              <w:rPr>
                <w:rFonts w:ascii="Arial" w:cs="Arial" w:eastAsia="Arial" w:hAnsi="Arial"/>
                <w:sz w:val="13"/>
                <w:szCs w:val="13"/>
                <w:color w:val="auto"/>
              </w:rPr>
              <w:t>Allowance for loans losses</w:t>
            </w:r>
          </w:p>
        </w:tc>
        <w:tc>
          <w:tcPr>
            <w:tcW w:w="3060" w:type="dxa"/>
            <w:vAlign w:val="bottom"/>
            <w:tcBorders>
              <w:right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1380" w:type="dxa"/>
            <w:vAlign w:val="bottom"/>
            <w:tcBorders>
              <w:left w:val="single" w:sz="8" w:color="auto"/>
              <w:right w:val="single" w:sz="8" w:color="auto"/>
            </w:tcBorders>
            <w:vMerge w:val="continue"/>
          </w:tcPr>
          <w:p>
            <w:pPr>
              <w:spacing w:after="0"/>
              <w:rPr>
                <w:sz w:val="7"/>
                <w:szCs w:val="7"/>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overdue loans</w:t>
            </w: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500" w:type="dxa"/>
            <w:vAlign w:val="bottom"/>
            <w:tcBorders>
              <w:right w:val="single" w:sz="8" w:color="auto"/>
            </w:tcBorders>
            <w:gridSpan w:val="14"/>
            <w:vMerge w:val="restart"/>
          </w:tcPr>
          <w:p>
            <w:pPr>
              <w:jc w:val="center"/>
              <w:ind w:right="3160"/>
              <w:spacing w:after="0"/>
              <w:rPr>
                <w:sz w:val="20"/>
                <w:szCs w:val="20"/>
                <w:color w:val="auto"/>
              </w:rPr>
            </w:pPr>
            <w:r>
              <w:rPr>
                <w:rFonts w:ascii="Arial" w:cs="Arial" w:eastAsia="Arial" w:hAnsi="Arial"/>
                <w:sz w:val="13"/>
                <w:szCs w:val="13"/>
                <w:color w:val="auto"/>
              </w:rPr>
              <w:t>Internal overdue loans</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500" w:type="dxa"/>
            <w:vAlign w:val="bottom"/>
            <w:tcBorders>
              <w:right w:val="single" w:sz="8" w:color="auto"/>
            </w:tcBorders>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380" w:type="dxa"/>
            <w:vAlign w:val="bottom"/>
            <w:tcBorders>
              <w:left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Coverage ratio of non –</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0" w:type="dxa"/>
            <w:vAlign w:val="bottom"/>
            <w:tcBorders>
              <w:right w:val="single" w:sz="8" w:color="auto"/>
            </w:tcBorders>
            <w:gridSpan w:val="15"/>
          </w:tcPr>
          <w:p>
            <w:pPr>
              <w:jc w:val="center"/>
              <w:ind w:right="3060"/>
              <w:spacing w:after="0"/>
              <w:rPr>
                <w:sz w:val="20"/>
                <w:szCs w:val="20"/>
                <w:color w:val="auto"/>
              </w:rPr>
            </w:pPr>
            <w:r>
              <w:rPr>
                <w:rFonts w:ascii="Arial" w:cs="Arial" w:eastAsia="Arial" w:hAnsi="Arial"/>
                <w:sz w:val="13"/>
                <w:szCs w:val="13"/>
                <w:color w:val="auto"/>
              </w:rPr>
              <w:t>Allowance for loans losses</w:t>
            </w: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performing loans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Borders>
              <w:top w:val="single" w:sz="8" w:color="auto"/>
            </w:tcBorders>
            <w:gridSpan w:val="9"/>
          </w:tcPr>
          <w:p>
            <w:pPr>
              <w:jc w:val="center"/>
              <w:spacing w:after="0"/>
              <w:rPr>
                <w:sz w:val="20"/>
                <w:szCs w:val="20"/>
                <w:color w:val="auto"/>
              </w:rPr>
            </w:pPr>
            <w:r>
              <w:rPr>
                <w:rFonts w:ascii="Arial" w:cs="Arial" w:eastAsia="Arial" w:hAnsi="Arial"/>
                <w:sz w:val="13"/>
                <w:szCs w:val="13"/>
                <w:color w:val="auto"/>
                <w:w w:val="99"/>
              </w:rPr>
              <w:t>Non – performing loans</w:t>
            </w:r>
          </w:p>
        </w:tc>
        <w:tc>
          <w:tcPr>
            <w:tcW w:w="1320" w:type="dxa"/>
            <w:vAlign w:val="bottom"/>
            <w:gridSpan w:val="4"/>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Cost of risk</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40" w:type="dxa"/>
            <w:vAlign w:val="bottom"/>
            <w:tcBorders>
              <w:right w:val="single" w:sz="8" w:color="auto"/>
            </w:tcBorders>
            <w:gridSpan w:val="19"/>
          </w:tcPr>
          <w:p>
            <w:pPr>
              <w:jc w:val="center"/>
              <w:ind w:right="1740"/>
              <w:spacing w:after="0"/>
              <w:rPr>
                <w:sz w:val="20"/>
                <w:szCs w:val="20"/>
                <w:color w:val="auto"/>
              </w:rPr>
            </w:pPr>
            <w:r>
              <w:rPr>
                <w:rFonts w:ascii="Arial" w:cs="Arial" w:eastAsia="Arial" w:hAnsi="Arial"/>
                <w:sz w:val="13"/>
                <w:szCs w:val="13"/>
                <w:color w:val="auto"/>
                <w:w w:val="99"/>
              </w:rPr>
              <w:t>Annualized provision for credit losses on loans portfolio, net of recoveries</w:t>
            </w:r>
          </w:p>
        </w:tc>
        <w:tc>
          <w:tcPr>
            <w:tcW w:w="0" w:type="dxa"/>
            <w:vAlign w:val="bottom"/>
          </w:tcPr>
          <w:p>
            <w:pPr>
              <w:spacing w:after="0"/>
              <w:rPr>
                <w:sz w:val="1"/>
                <w:szCs w:val="1"/>
                <w:color w:val="auto"/>
              </w:rPr>
            </w:pPr>
          </w:p>
        </w:tc>
      </w:tr>
      <w:tr>
        <w:trPr>
          <w:trHeight w:val="89"/>
        </w:trPr>
        <w:tc>
          <w:tcPr>
            <w:tcW w:w="138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620" w:type="dxa"/>
            <w:vAlign w:val="bottom"/>
            <w:tcBorders>
              <w:top w:val="single" w:sz="8" w:color="auto"/>
            </w:tcBorders>
            <w:gridSpan w:val="10"/>
            <w:vMerge w:val="restart"/>
          </w:tcPr>
          <w:p>
            <w:pPr>
              <w:jc w:val="center"/>
              <w:ind w:right="1560"/>
              <w:spacing w:after="0"/>
              <w:rPr>
                <w:sz w:val="20"/>
                <w:szCs w:val="20"/>
                <w:color w:val="auto"/>
              </w:rPr>
            </w:pPr>
            <w:r>
              <w:rPr>
                <w:rFonts w:ascii="Arial" w:cs="Arial" w:eastAsia="Arial" w:hAnsi="Arial"/>
                <w:sz w:val="13"/>
                <w:szCs w:val="13"/>
                <w:color w:val="auto"/>
                <w:w w:val="97"/>
              </w:rPr>
              <w:t>Total loans</w:t>
            </w:r>
          </w:p>
        </w:tc>
        <w:tc>
          <w:tcPr>
            <w:tcW w:w="1740" w:type="dxa"/>
            <w:vAlign w:val="bottom"/>
            <w:tcBorders>
              <w:right w:val="single" w:sz="8" w:color="auto"/>
            </w:tcBorders>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10"/>
            <w:vMerge w:val="continue"/>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Operating</w:t>
            </w: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Efficiency ratio</w:t>
            </w:r>
          </w:p>
        </w:tc>
        <w:tc>
          <w:tcPr>
            <w:tcW w:w="780" w:type="dxa"/>
            <w:vAlign w:val="bottom"/>
          </w:tcPr>
          <w:p>
            <w:pPr>
              <w:spacing w:after="0"/>
              <w:rPr>
                <w:sz w:val="19"/>
                <w:szCs w:val="19"/>
                <w:color w:val="auto"/>
              </w:rPr>
            </w:pPr>
          </w:p>
        </w:tc>
        <w:tc>
          <w:tcPr>
            <w:tcW w:w="6860" w:type="dxa"/>
            <w:vAlign w:val="bottom"/>
            <w:tcBorders>
              <w:right w:val="single" w:sz="8" w:color="auto"/>
            </w:tcBorders>
            <w:gridSpan w:val="21"/>
            <w:vMerge w:val="restart"/>
          </w:tcPr>
          <w:p>
            <w:pPr>
              <w:jc w:val="center"/>
              <w:ind w:right="800"/>
              <w:spacing w:after="0"/>
              <w:rPr>
                <w:sz w:val="20"/>
                <w:szCs w:val="20"/>
                <w:color w:val="auto"/>
              </w:rPr>
            </w:pPr>
            <w:r>
              <w:rPr>
                <w:rFonts w:ascii="Arial" w:cs="Arial" w:eastAsia="Arial" w:hAnsi="Arial"/>
                <w:sz w:val="13"/>
                <w:szCs w:val="13"/>
                <w:color w:val="auto"/>
                <w:w w:val="99"/>
              </w:rPr>
              <w:t>For further details on the new Efficiency ratio calculation dur to IFRS17, please refer to Annex 12.1</w:t>
            </w:r>
          </w:p>
        </w:tc>
        <w:tc>
          <w:tcPr>
            <w:tcW w:w="0" w:type="dxa"/>
            <w:vAlign w:val="bottom"/>
          </w:tcPr>
          <w:p>
            <w:pPr>
              <w:spacing w:after="0"/>
              <w:rPr>
                <w:sz w:val="1"/>
                <w:szCs w:val="1"/>
                <w:color w:val="auto"/>
              </w:rPr>
            </w:pPr>
          </w:p>
        </w:tc>
      </w:tr>
      <w:tr>
        <w:trPr>
          <w:trHeight w:val="104"/>
        </w:trPr>
        <w:tc>
          <w:tcPr>
            <w:tcW w:w="13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performance</w:t>
            </w:r>
          </w:p>
        </w:tc>
        <w:tc>
          <w:tcPr>
            <w:tcW w:w="2240" w:type="dxa"/>
            <w:vAlign w:val="bottom"/>
            <w:tcBorders>
              <w:right w:val="single" w:sz="8" w:color="auto"/>
            </w:tcBorders>
            <w:vMerge w:val="continue"/>
          </w:tcPr>
          <w:p>
            <w:pPr>
              <w:spacing w:after="0"/>
              <w:rPr>
                <w:sz w:val="9"/>
                <w:szCs w:val="9"/>
                <w:color w:val="auto"/>
              </w:rPr>
            </w:pPr>
          </w:p>
        </w:tc>
        <w:tc>
          <w:tcPr>
            <w:tcW w:w="780" w:type="dxa"/>
            <w:vAlign w:val="bottom"/>
          </w:tcPr>
          <w:p>
            <w:pPr>
              <w:spacing w:after="0"/>
              <w:rPr>
                <w:sz w:val="9"/>
                <w:szCs w:val="9"/>
                <w:color w:val="auto"/>
              </w:rPr>
            </w:pPr>
          </w:p>
        </w:tc>
        <w:tc>
          <w:tcPr>
            <w:tcW w:w="6860" w:type="dxa"/>
            <w:vAlign w:val="bottom"/>
            <w:tcBorders>
              <w:right w:val="single" w:sz="8" w:color="auto"/>
            </w:tcBorders>
            <w:gridSpan w:val="2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380" w:type="dxa"/>
            <w:vAlign w:val="bottom"/>
            <w:tcBorders>
              <w:left w:val="single" w:sz="8" w:color="auto"/>
              <w:right w:val="single" w:sz="8" w:color="auto"/>
            </w:tcBorders>
            <w:vMerge w:val="continue"/>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BIS ratio</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20" w:type="dxa"/>
            <w:vAlign w:val="bottom"/>
            <w:tcBorders>
              <w:right w:val="single" w:sz="8" w:color="auto"/>
            </w:tcBorders>
            <w:gridSpan w:val="13"/>
          </w:tcPr>
          <w:p>
            <w:pPr>
              <w:jc w:val="center"/>
              <w:ind w:right="3240"/>
              <w:spacing w:after="0"/>
              <w:rPr>
                <w:sz w:val="20"/>
                <w:szCs w:val="20"/>
                <w:color w:val="auto"/>
              </w:rPr>
            </w:pPr>
            <w:r>
              <w:rPr>
                <w:rFonts w:ascii="Arial" w:cs="Arial" w:eastAsia="Arial" w:hAnsi="Arial"/>
                <w:sz w:val="13"/>
                <w:szCs w:val="13"/>
                <w:color w:val="auto"/>
                <w:w w:val="99"/>
              </w:rPr>
              <w:t>Regulatory Capital</w:t>
            </w:r>
          </w:p>
        </w:tc>
        <w:tc>
          <w:tcPr>
            <w:tcW w:w="0" w:type="dxa"/>
            <w:vAlign w:val="bottom"/>
          </w:tcPr>
          <w:p>
            <w:pPr>
              <w:spacing w:after="0"/>
              <w:rPr>
                <w:sz w:val="1"/>
                <w:szCs w:val="1"/>
                <w:color w:val="auto"/>
              </w:rPr>
            </w:pPr>
          </w:p>
        </w:tc>
      </w:tr>
      <w:tr>
        <w:trPr>
          <w:trHeight w:val="20"/>
        </w:trPr>
        <w:tc>
          <w:tcPr>
            <w:tcW w:w="1380" w:type="dxa"/>
            <w:vAlign w:val="bottom"/>
            <w:tcBorders>
              <w:left w:val="single" w:sz="8" w:color="auto"/>
              <w:right w:val="single" w:sz="8" w:color="auto"/>
            </w:tcBorders>
          </w:tcPr>
          <w:p>
            <w:pPr>
              <w:spacing w:after="0" w:line="20" w:lineRule="exact"/>
              <w:rPr>
                <w:sz w:val="1"/>
                <w:szCs w:val="1"/>
                <w:color w:val="auto"/>
              </w:rPr>
            </w:pPr>
          </w:p>
        </w:tc>
        <w:tc>
          <w:tcPr>
            <w:tcW w:w="2240" w:type="dxa"/>
            <w:vAlign w:val="bottom"/>
            <w:tcBorders>
              <w:right w:val="single" w:sz="8" w:color="auto"/>
            </w:tcBorders>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8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0" w:type="dxa"/>
            <w:vAlign w:val="bottom"/>
            <w:tcBorders>
              <w:right w:val="single" w:sz="8" w:color="auto"/>
            </w:tcBorders>
            <w:gridSpan w:val="15"/>
            <w:vMerge w:val="restart"/>
          </w:tcPr>
          <w:p>
            <w:pPr>
              <w:jc w:val="center"/>
              <w:ind w:right="3060"/>
              <w:spacing w:after="0"/>
              <w:rPr>
                <w:sz w:val="20"/>
                <w:szCs w:val="20"/>
                <w:color w:val="auto"/>
              </w:rPr>
            </w:pPr>
            <w:r>
              <w:rPr>
                <w:rFonts w:ascii="Arial" w:cs="Arial" w:eastAsia="Arial" w:hAnsi="Arial"/>
                <w:sz w:val="13"/>
                <w:szCs w:val="13"/>
                <w:color w:val="auto"/>
              </w:rPr>
              <w:t>Risk – weighted assets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0" w:type="dxa"/>
            <w:vAlign w:val="bottom"/>
            <w:tcBorders>
              <w:right w:val="single" w:sz="8" w:color="auto"/>
            </w:tcBorders>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Capital Adequacy</w:t>
            </w: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Tier 1 ratio</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color w:val="auto"/>
              </w:rPr>
              <w:t>Tier 1</w:t>
            </w:r>
          </w:p>
        </w:tc>
        <w:tc>
          <w:tcPr>
            <w:tcW w:w="3240" w:type="dxa"/>
            <w:vAlign w:val="bottom"/>
            <w:tcBorders>
              <w:right w:val="single" w:sz="8" w:color="auto"/>
            </w:tcBorders>
            <w:gridSpan w:val="8"/>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1380" w:type="dxa"/>
            <w:vAlign w:val="bottom"/>
            <w:tcBorders>
              <w:left w:val="single" w:sz="8" w:color="auto"/>
              <w:right w:val="single" w:sz="8" w:color="auto"/>
            </w:tcBorders>
            <w:vMerge w:val="continue"/>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0" w:type="dxa"/>
            <w:vAlign w:val="bottom"/>
            <w:tcBorders>
              <w:right w:val="single" w:sz="8" w:color="auto"/>
            </w:tcBorders>
            <w:gridSpan w:val="15"/>
            <w:vMerge w:val="restart"/>
          </w:tcPr>
          <w:p>
            <w:pPr>
              <w:jc w:val="center"/>
              <w:ind w:right="3060"/>
              <w:spacing w:after="0"/>
              <w:rPr>
                <w:sz w:val="20"/>
                <w:szCs w:val="20"/>
                <w:color w:val="auto"/>
              </w:rPr>
            </w:pPr>
            <w:r>
              <w:rPr>
                <w:rFonts w:ascii="Arial" w:cs="Arial" w:eastAsia="Arial" w:hAnsi="Arial"/>
                <w:sz w:val="13"/>
                <w:szCs w:val="13"/>
                <w:color w:val="auto"/>
              </w:rPr>
              <w:t>Risk – weighted assets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0" w:type="dxa"/>
            <w:vAlign w:val="bottom"/>
            <w:tcBorders>
              <w:right w:val="single" w:sz="8" w:color="auto"/>
            </w:tcBorders>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38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Common Equity Tier 1 ratio</w:t>
            </w:r>
          </w:p>
        </w:tc>
        <w:tc>
          <w:tcPr>
            <w:tcW w:w="3820" w:type="dxa"/>
            <w:vAlign w:val="bottom"/>
            <w:gridSpan w:val="11"/>
            <w:vMerge w:val="restart"/>
          </w:tcPr>
          <w:p>
            <w:pPr>
              <w:ind w:left="780"/>
              <w:spacing w:after="0"/>
              <w:rPr>
                <w:sz w:val="20"/>
                <w:szCs w:val="20"/>
                <w:color w:val="auto"/>
              </w:rPr>
            </w:pPr>
            <w:r>
              <w:rPr>
                <w:rFonts w:ascii="Arial" w:cs="Arial" w:eastAsia="Arial" w:hAnsi="Arial"/>
                <w:sz w:val="13"/>
                <w:szCs w:val="13"/>
                <w:color w:val="auto"/>
              </w:rPr>
              <w:t>Capital + Reserves – 100% of applicable deductions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(2)</w:t>
            </w:r>
          </w:p>
        </w:tc>
        <w:tc>
          <w:tcPr>
            <w:tcW w:w="3680" w:type="dxa"/>
            <w:vAlign w:val="bottom"/>
            <w:tcBorders>
              <w:right w:val="single" w:sz="8" w:color="auto"/>
            </w:tcBorders>
            <w:gridSpan w:val="10"/>
            <w:vMerge w:val="restart"/>
          </w:tcPr>
          <w:p>
            <w:pPr>
              <w:ind w:left="20"/>
              <w:spacing w:after="0"/>
              <w:rPr>
                <w:sz w:val="20"/>
                <w:szCs w:val="20"/>
                <w:color w:val="auto"/>
              </w:rPr>
            </w:pPr>
            <w:r>
              <w:rPr>
                <w:rFonts w:ascii="Arial" w:cs="Arial" w:eastAsia="Arial" w:hAnsi="Arial"/>
                <w:sz w:val="13"/>
                <w:szCs w:val="13"/>
                <w:color w:val="auto"/>
              </w:rPr>
              <w:t>+ Retained Earnings + Unrealized gains or losses</w:t>
            </w:r>
          </w:p>
        </w:tc>
        <w:tc>
          <w:tcPr>
            <w:tcW w:w="0" w:type="dxa"/>
            <w:vAlign w:val="bottom"/>
          </w:tcPr>
          <w:p>
            <w:pPr>
              <w:spacing w:after="0"/>
              <w:rPr>
                <w:sz w:val="1"/>
                <w:szCs w:val="1"/>
                <w:color w:val="auto"/>
              </w:rPr>
            </w:pPr>
          </w:p>
        </w:tc>
      </w:tr>
      <w:tr>
        <w:trPr>
          <w:trHeight w:val="20"/>
        </w:trPr>
        <w:tc>
          <w:tcPr>
            <w:tcW w:w="1380" w:type="dxa"/>
            <w:vAlign w:val="bottom"/>
            <w:tcBorders>
              <w:left w:val="single" w:sz="8" w:color="auto"/>
              <w:right w:val="single" w:sz="8" w:color="auto"/>
            </w:tcBorders>
          </w:tcPr>
          <w:p>
            <w:pPr>
              <w:spacing w:after="0" w:line="20" w:lineRule="exact"/>
              <w:rPr>
                <w:sz w:val="1"/>
                <w:szCs w:val="1"/>
                <w:color w:val="auto"/>
              </w:rPr>
            </w:pPr>
          </w:p>
        </w:tc>
        <w:tc>
          <w:tcPr>
            <w:tcW w:w="2240" w:type="dxa"/>
            <w:vAlign w:val="bottom"/>
            <w:tcBorders>
              <w:right w:val="single" w:sz="8" w:color="auto"/>
            </w:tcBorders>
            <w:vMerge w:val="continue"/>
          </w:tcPr>
          <w:p>
            <w:pPr>
              <w:spacing w:after="0" w:line="20" w:lineRule="exact"/>
              <w:rPr>
                <w:sz w:val="1"/>
                <w:szCs w:val="1"/>
                <w:color w:val="auto"/>
              </w:rPr>
            </w:pPr>
          </w:p>
        </w:tc>
        <w:tc>
          <w:tcPr>
            <w:tcW w:w="3820" w:type="dxa"/>
            <w:vAlign w:val="bottom"/>
            <w:gridSpan w:val="11"/>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tcBorders>
              <w:right w:val="single" w:sz="8" w:color="auto"/>
            </w:tcBorders>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80" w:type="dxa"/>
            <w:vAlign w:val="bottom"/>
            <w:tcBorders>
              <w:left w:val="single" w:sz="8" w:color="auto"/>
              <w:right w:val="single" w:sz="8" w:color="auto"/>
            </w:tcBorders>
          </w:tcPr>
          <w:p>
            <w:pPr>
              <w:spacing w:after="0" w:line="20" w:lineRule="exact"/>
              <w:rPr>
                <w:sz w:val="1"/>
                <w:szCs w:val="1"/>
                <w:color w:val="auto"/>
              </w:rPr>
            </w:pPr>
          </w:p>
        </w:tc>
        <w:tc>
          <w:tcPr>
            <w:tcW w:w="2240" w:type="dxa"/>
            <w:vAlign w:val="bottom"/>
            <w:tcBorders>
              <w:right w:val="single" w:sz="8" w:color="auto"/>
            </w:tcBorders>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38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0" w:type="dxa"/>
            <w:vAlign w:val="bottom"/>
            <w:tcBorders>
              <w:right w:val="single" w:sz="8" w:color="auto"/>
            </w:tcBorders>
            <w:gridSpan w:val="15"/>
            <w:vMerge w:val="restart"/>
          </w:tcPr>
          <w:p>
            <w:pPr>
              <w:jc w:val="center"/>
              <w:ind w:right="3060"/>
              <w:spacing w:after="0"/>
              <w:rPr>
                <w:sz w:val="20"/>
                <w:szCs w:val="20"/>
                <w:color w:val="auto"/>
              </w:rPr>
            </w:pPr>
            <w:r>
              <w:rPr>
                <w:rFonts w:ascii="Arial" w:cs="Arial" w:eastAsia="Arial" w:hAnsi="Arial"/>
                <w:sz w:val="13"/>
                <w:szCs w:val="13"/>
                <w:color w:val="auto"/>
              </w:rPr>
              <w:t>Risk – weighted assets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0" w:type="dxa"/>
            <w:vAlign w:val="bottom"/>
            <w:tcBorders>
              <w:right w:val="single" w:sz="8" w:color="auto"/>
            </w:tcBorders>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-5170805</wp:posOffset>
            </wp:positionV>
            <wp:extent cx="1161415" cy="139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p>
      <w:pPr>
        <w:spacing w:after="0" w:line="147" w:lineRule="exact"/>
        <w:rPr>
          <w:sz w:val="20"/>
          <w:szCs w:val="20"/>
          <w:color w:val="auto"/>
        </w:rPr>
      </w:pPr>
    </w:p>
    <w:p>
      <w:pPr>
        <w:ind w:left="162" w:hanging="162"/>
        <w:spacing w:after="0"/>
        <w:tabs>
          <w:tab w:leader="none" w:pos="162" w:val="left"/>
        </w:tabs>
        <w:numPr>
          <w:ilvl w:val="0"/>
          <w:numId w:val="66"/>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spacing w:after="0" w:line="44" w:lineRule="exact"/>
        <w:rPr>
          <w:rFonts w:ascii="Arial" w:cs="Arial" w:eastAsia="Arial" w:hAnsi="Arial"/>
          <w:sz w:val="11"/>
          <w:szCs w:val="11"/>
          <w:color w:val="auto"/>
        </w:rPr>
      </w:pPr>
    </w:p>
    <w:p>
      <w:pPr>
        <w:ind w:left="162" w:hanging="162"/>
        <w:spacing w:after="0"/>
        <w:tabs>
          <w:tab w:leader="none" w:pos="162" w:val="left"/>
        </w:tabs>
        <w:numPr>
          <w:ilvl w:val="0"/>
          <w:numId w:val="66"/>
        </w:numPr>
        <w:rPr>
          <w:rFonts w:ascii="Arial" w:cs="Arial" w:eastAsia="Arial" w:hAnsi="Arial"/>
          <w:sz w:val="11"/>
          <w:szCs w:val="11"/>
          <w:color w:val="auto"/>
        </w:rPr>
      </w:pPr>
      <w:r>
        <w:rPr>
          <w:rFonts w:ascii="Arial" w:cs="Arial" w:eastAsia="Arial" w:hAnsi="Arial"/>
          <w:sz w:val="11"/>
          <w:szCs w:val="11"/>
          <w:color w:val="auto"/>
        </w:rPr>
        <w:t>Includes investment in subsidiaries, goodwill, intangibles and deferred tax that rely on future profitability.</w:t>
      </w:r>
    </w:p>
    <w:p>
      <w:pPr>
        <w:spacing w:after="0" w:line="185"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8980" w:type="dxa"/>
            <w:vAlign w:val="bottom"/>
          </w:tcPr>
          <w:p>
            <w:pPr>
              <w:ind w:left="4360"/>
              <w:spacing w:after="0"/>
              <w:rPr>
                <w:sz w:val="20"/>
                <w:szCs w:val="20"/>
                <w:color w:val="auto"/>
              </w:rPr>
            </w:pPr>
            <w:r>
              <w:rPr>
                <w:rFonts w:ascii="Arial" w:cs="Arial" w:eastAsia="Arial" w:hAnsi="Arial"/>
                <w:sz w:val="13"/>
                <w:szCs w:val="13"/>
                <w:color w:val="0000FF"/>
              </w:rPr>
              <w:t>Datos elaborados por BCP para uso Interno</w:t>
            </w:r>
          </w:p>
        </w:tc>
        <w:tc>
          <w:tcPr>
            <w:tcW w:w="2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75"/>
        </w:trPr>
        <w:tc>
          <w:tcPr>
            <w:tcW w:w="8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140" w:right="319" w:bottom="1440" w:gutter="0" w:footer="0" w:header="0"/>
        </w:sectPr>
      </w:pPr>
    </w:p>
    <w:bookmarkStart w:id="81" w:name="page82"/>
    <w:bookmarkEnd w:id="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7080" w:type="dxa"/>
            <w:vAlign w:val="bottom"/>
            <w:tcBorders>
              <w:left w:val="single" w:sz="8" w:color="auto"/>
            </w:tcBorders>
            <w:gridSpan w:val="2"/>
            <w:shd w:val="clear" w:color="auto" w:fill="000000"/>
          </w:tcPr>
          <w:p>
            <w:pPr>
              <w:ind w:left="2720"/>
              <w:spacing w:after="0"/>
              <w:rPr>
                <w:sz w:val="20"/>
                <w:szCs w:val="20"/>
                <w:color w:val="auto"/>
              </w:rPr>
            </w:pPr>
            <w:r>
              <w:rPr>
                <w:rFonts w:ascii="Arial" w:cs="Arial" w:eastAsia="Arial" w:hAnsi="Arial"/>
                <w:sz w:val="18"/>
                <w:szCs w:val="18"/>
                <w:color w:val="A6A6A6"/>
              </w:rPr>
              <w:t xml:space="preserve">|  </w:t>
            </w:r>
            <w:r>
              <w:rPr>
                <w:rFonts w:ascii="Arial" w:cs="Arial" w:eastAsia="Arial" w:hAnsi="Arial"/>
                <w:sz w:val="18"/>
                <w:szCs w:val="18"/>
                <w:b w:val="1"/>
                <w:bCs w:val="1"/>
                <w:color w:val="A6A6A6"/>
              </w:rPr>
              <w:t>Earnings Release 4Q / 2023</w:t>
            </w:r>
          </w:p>
        </w:tc>
        <w:tc>
          <w:tcPr>
            <w:tcW w:w="4180" w:type="dxa"/>
            <w:vAlign w:val="bottom"/>
            <w:tcBorders>
              <w:right w:val="single" w:sz="8" w:color="auto"/>
            </w:tcBorders>
            <w:shd w:val="clear" w:color="auto" w:fill="000000"/>
          </w:tcPr>
          <w:p>
            <w:pPr>
              <w:jc w:val="right"/>
              <w:ind w:right="333"/>
              <w:spacing w:after="0"/>
              <w:rPr>
                <w:sz w:val="20"/>
                <w:szCs w:val="20"/>
                <w:color w:val="auto"/>
              </w:rPr>
            </w:pPr>
            <w:r>
              <w:rPr>
                <w:rFonts w:ascii="Arial" w:cs="Arial" w:eastAsia="Arial" w:hAnsi="Arial"/>
                <w:sz w:val="18"/>
                <w:szCs w:val="18"/>
                <w:b w:val="1"/>
                <w:bCs w:val="1"/>
                <w:color w:val="E93BAC"/>
              </w:rPr>
              <w:t>Analysis of 4Q23 Consolidated Results</w:t>
            </w:r>
          </w:p>
        </w:tc>
        <w:tc>
          <w:tcPr>
            <w:tcW w:w="0" w:type="dxa"/>
            <w:vAlign w:val="bottom"/>
          </w:tcPr>
          <w:p>
            <w:pPr>
              <w:spacing w:after="0"/>
              <w:rPr>
                <w:sz w:val="1"/>
                <w:szCs w:val="1"/>
                <w:color w:val="auto"/>
              </w:rPr>
            </w:pPr>
          </w:p>
        </w:tc>
      </w:tr>
      <w:tr>
        <w:trPr>
          <w:trHeight w:val="202"/>
        </w:trPr>
        <w:tc>
          <w:tcPr>
            <w:tcW w:w="4060" w:type="dxa"/>
            <w:vAlign w:val="bottom"/>
            <w:tcBorders>
              <w:left w:val="single" w:sz="8" w:color="auto"/>
              <w:right w:val="single" w:sz="8" w:color="auto"/>
            </w:tcBorders>
            <w:shd w:val="clear" w:color="auto" w:fill="000000"/>
          </w:tcPr>
          <w:p>
            <w:pPr>
              <w:spacing w:after="0"/>
              <w:rPr>
                <w:sz w:val="17"/>
                <w:szCs w:val="17"/>
                <w:color w:val="auto"/>
              </w:rPr>
            </w:pPr>
          </w:p>
        </w:tc>
        <w:tc>
          <w:tcPr>
            <w:tcW w:w="3020" w:type="dxa"/>
            <w:vAlign w:val="bottom"/>
            <w:shd w:val="clear" w:color="auto" w:fill="000000"/>
          </w:tcPr>
          <w:p>
            <w:pPr>
              <w:spacing w:after="0"/>
              <w:rPr>
                <w:sz w:val="17"/>
                <w:szCs w:val="17"/>
                <w:color w:val="auto"/>
              </w:rPr>
            </w:pPr>
          </w:p>
        </w:tc>
        <w:tc>
          <w:tcPr>
            <w:tcW w:w="418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4060" w:type="dxa"/>
            <w:vAlign w:val="bottom"/>
            <w:tcBorders>
              <w:left w:val="single" w:sz="8" w:color="E93BAB"/>
              <w:right w:val="single" w:sz="8" w:color="E93BAB"/>
            </w:tcBorders>
            <w:shd w:val="clear" w:color="auto" w:fill="E93BAB"/>
          </w:tcPr>
          <w:p>
            <w:pPr>
              <w:spacing w:after="0"/>
              <w:rPr>
                <w:sz w:val="20"/>
                <w:szCs w:val="20"/>
                <w:color w:val="auto"/>
              </w:rPr>
            </w:pPr>
            <w:r>
              <w:rPr>
                <w:rFonts w:ascii="Arial" w:cs="Arial" w:eastAsia="Arial" w:hAnsi="Arial"/>
                <w:sz w:val="18"/>
                <w:szCs w:val="18"/>
                <w:b w:val="1"/>
                <w:bCs w:val="1"/>
                <w:color w:val="FFFFFF"/>
              </w:rPr>
              <w:t>12. Appendix</w:t>
            </w:r>
          </w:p>
        </w:tc>
        <w:tc>
          <w:tcPr>
            <w:tcW w:w="3020" w:type="dxa"/>
            <w:vAlign w:val="bottom"/>
            <w:shd w:val="clear" w:color="auto" w:fill="E93BAB"/>
          </w:tcPr>
          <w:p>
            <w:pPr>
              <w:spacing w:after="0"/>
              <w:rPr>
                <w:sz w:val="24"/>
                <w:szCs w:val="24"/>
                <w:color w:val="auto"/>
              </w:rPr>
            </w:pPr>
          </w:p>
        </w:tc>
        <w:tc>
          <w:tcPr>
            <w:tcW w:w="4180" w:type="dxa"/>
            <w:vAlign w:val="bottom"/>
            <w:tcBorders>
              <w:right w:val="single" w:sz="8" w:color="E93BAB"/>
            </w:tcBorders>
            <w:shd w:val="clear" w:color="auto" w:fill="E93BAB"/>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60" w:type="dxa"/>
            <w:vAlign w:val="bottom"/>
            <w:tcBorders>
              <w:left w:val="single" w:sz="8" w:color="E93BAB"/>
              <w:right w:val="single" w:sz="8" w:color="E93BAB"/>
            </w:tcBorders>
            <w:shd w:val="clear" w:color="auto" w:fill="E93BAB"/>
          </w:tcPr>
          <w:p>
            <w:pPr>
              <w:spacing w:after="0"/>
              <w:rPr>
                <w:sz w:val="8"/>
                <w:szCs w:val="8"/>
                <w:color w:val="auto"/>
              </w:rPr>
            </w:pPr>
          </w:p>
        </w:tc>
        <w:tc>
          <w:tcPr>
            <w:tcW w:w="3020" w:type="dxa"/>
            <w:vAlign w:val="bottom"/>
            <w:shd w:val="clear" w:color="auto" w:fill="E93BAB"/>
          </w:tcPr>
          <w:p>
            <w:pPr>
              <w:spacing w:after="0"/>
              <w:rPr>
                <w:sz w:val="8"/>
                <w:szCs w:val="8"/>
                <w:color w:val="auto"/>
              </w:rPr>
            </w:pPr>
          </w:p>
        </w:tc>
        <w:tc>
          <w:tcPr>
            <w:tcW w:w="4180" w:type="dxa"/>
            <w:vAlign w:val="bottom"/>
            <w:tcBorders>
              <w:right w:val="single" w:sz="8" w:color="E93BAB"/>
            </w:tcBorders>
            <w:shd w:val="clear" w:color="auto" w:fill="E93BAB"/>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0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12.8.Glossary of terms</w:t>
            </w:r>
          </w:p>
        </w:tc>
        <w:tc>
          <w:tcPr>
            <w:tcW w:w="302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Borders>
              <w:left w:val="single" w:sz="8" w:color="auto"/>
              <w:bottom w:val="single" w:sz="8" w:color="auto"/>
              <w:right w:val="single" w:sz="8" w:color="auto"/>
            </w:tcBorders>
            <w:shd w:val="clear" w:color="auto" w:fill="2AD2C9"/>
          </w:tcPr>
          <w:p>
            <w:pPr>
              <w:ind w:left="1820"/>
              <w:spacing w:after="0" w:line="175" w:lineRule="exact"/>
              <w:rPr>
                <w:sz w:val="20"/>
                <w:szCs w:val="20"/>
                <w:color w:val="auto"/>
              </w:rPr>
            </w:pPr>
            <w:r>
              <w:rPr>
                <w:rFonts w:ascii="Arial" w:cs="Arial" w:eastAsia="Arial" w:hAnsi="Arial"/>
                <w:sz w:val="16"/>
                <w:szCs w:val="16"/>
                <w:b w:val="1"/>
                <w:bCs w:val="1"/>
                <w:color w:val="FFFFFF"/>
              </w:rPr>
              <w:t>Term</w:t>
            </w:r>
          </w:p>
        </w:tc>
        <w:tc>
          <w:tcPr>
            <w:tcW w:w="3020" w:type="dxa"/>
            <w:vAlign w:val="bottom"/>
            <w:tcBorders>
              <w:bottom w:val="single" w:sz="8" w:color="auto"/>
            </w:tcBorders>
            <w:shd w:val="clear" w:color="auto" w:fill="2AD2C9"/>
          </w:tcPr>
          <w:p>
            <w:pPr>
              <w:spacing w:after="0"/>
              <w:rPr>
                <w:sz w:val="15"/>
                <w:szCs w:val="15"/>
                <w:color w:val="auto"/>
              </w:rPr>
            </w:pPr>
          </w:p>
        </w:tc>
        <w:tc>
          <w:tcPr>
            <w:tcW w:w="4180" w:type="dxa"/>
            <w:vAlign w:val="bottom"/>
            <w:tcBorders>
              <w:bottom w:val="single" w:sz="8" w:color="auto"/>
              <w:right w:val="single" w:sz="8" w:color="auto"/>
            </w:tcBorders>
            <w:shd w:val="clear" w:color="auto" w:fill="2AD2C9"/>
          </w:tcPr>
          <w:p>
            <w:pPr>
              <w:jc w:val="right"/>
              <w:ind w:right="3153"/>
              <w:spacing w:after="0" w:line="175" w:lineRule="exact"/>
              <w:rPr>
                <w:sz w:val="20"/>
                <w:szCs w:val="20"/>
                <w:color w:val="auto"/>
              </w:rPr>
            </w:pPr>
            <w:r>
              <w:rPr>
                <w:rFonts w:ascii="Arial" w:cs="Arial" w:eastAsia="Arial" w:hAnsi="Arial"/>
                <w:sz w:val="16"/>
                <w:szCs w:val="16"/>
                <w:b w:val="1"/>
                <w:bCs w:val="1"/>
                <w:color w:val="FFFFFF"/>
              </w:rPr>
              <w:t>Definition</w:t>
            </w:r>
          </w:p>
        </w:tc>
        <w:tc>
          <w:tcPr>
            <w:tcW w:w="0" w:type="dxa"/>
            <w:vAlign w:val="bottom"/>
          </w:tcPr>
          <w:p>
            <w:pPr>
              <w:spacing w:after="0"/>
              <w:rPr>
                <w:sz w:val="1"/>
                <w:szCs w:val="1"/>
                <w:color w:val="auto"/>
              </w:rPr>
            </w:pPr>
          </w:p>
        </w:tc>
      </w:tr>
      <w:tr>
        <w:trPr>
          <w:trHeight w:val="158"/>
        </w:trPr>
        <w:tc>
          <w:tcPr>
            <w:tcW w:w="4060" w:type="dxa"/>
            <w:vAlign w:val="bottom"/>
            <w:tcBorders>
              <w:left w:val="single" w:sz="8" w:color="auto"/>
              <w:right w:val="single" w:sz="8" w:color="auto"/>
            </w:tcBorders>
          </w:tcPr>
          <w:p>
            <w:pPr>
              <w:ind w:left="100"/>
              <w:spacing w:after="0" w:line="158" w:lineRule="exact"/>
              <w:rPr>
                <w:sz w:val="20"/>
                <w:szCs w:val="20"/>
                <w:color w:val="auto"/>
              </w:rPr>
            </w:pPr>
            <w:r>
              <w:rPr>
                <w:rFonts w:ascii="Arial" w:cs="Arial" w:eastAsia="Arial" w:hAnsi="Arial"/>
                <w:sz w:val="16"/>
                <w:szCs w:val="16"/>
                <w:b w:val="1"/>
                <w:bCs w:val="1"/>
                <w:color w:val="auto"/>
              </w:rPr>
              <w:t>Government Program Loans (“GP” or “GP</w:t>
            </w:r>
          </w:p>
        </w:tc>
        <w:tc>
          <w:tcPr>
            <w:tcW w:w="7200" w:type="dxa"/>
            <w:vAlign w:val="bottom"/>
            <w:tcBorders>
              <w:right w:val="single" w:sz="8" w:color="auto"/>
            </w:tcBorders>
            <w:gridSpan w:val="2"/>
          </w:tcPr>
          <w:p>
            <w:pPr>
              <w:ind w:left="80"/>
              <w:spacing w:after="0" w:line="158" w:lineRule="exact"/>
              <w:rPr>
                <w:sz w:val="20"/>
                <w:szCs w:val="20"/>
                <w:color w:val="auto"/>
              </w:rPr>
            </w:pPr>
            <w:r>
              <w:rPr>
                <w:rFonts w:ascii="Arial" w:cs="Arial" w:eastAsia="Arial" w:hAnsi="Arial"/>
                <w:sz w:val="16"/>
                <w:szCs w:val="16"/>
                <w:color w:val="auto"/>
              </w:rPr>
              <w:t>Loan Portfolio related to Reactiva Peru and FAE-Mype and Impulso Myperu programs to respond</w:t>
            </w:r>
          </w:p>
        </w:tc>
        <w:tc>
          <w:tcPr>
            <w:tcW w:w="0" w:type="dxa"/>
            <w:vAlign w:val="bottom"/>
          </w:tcPr>
          <w:p>
            <w:pPr>
              <w:spacing w:after="0"/>
              <w:rPr>
                <w:sz w:val="1"/>
                <w:szCs w:val="1"/>
                <w:color w:val="auto"/>
              </w:rPr>
            </w:pPr>
          </w:p>
        </w:tc>
      </w:tr>
      <w:tr>
        <w:trPr>
          <w:trHeight w:val="200"/>
        </w:trPr>
        <w:tc>
          <w:tcPr>
            <w:tcW w:w="40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Loans”)</w:t>
            </w:r>
          </w:p>
        </w:tc>
        <w:tc>
          <w:tcPr>
            <w:tcW w:w="72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quickly and effectively to liquidity needs and maintain the payment chain.</w:t>
            </w:r>
          </w:p>
        </w:tc>
        <w:tc>
          <w:tcPr>
            <w:tcW w:w="0" w:type="dxa"/>
            <w:vAlign w:val="bottom"/>
          </w:tcPr>
          <w:p>
            <w:pPr>
              <w:spacing w:after="0"/>
              <w:rPr>
                <w:sz w:val="1"/>
                <w:szCs w:val="1"/>
                <w:color w:val="auto"/>
              </w:rPr>
            </w:pPr>
          </w:p>
        </w:tc>
      </w:tr>
      <w:tr>
        <w:trPr>
          <w:trHeight w:val="175"/>
        </w:trPr>
        <w:tc>
          <w:tcPr>
            <w:tcW w:w="4060" w:type="dxa"/>
            <w:vAlign w:val="bottom"/>
            <w:tcBorders>
              <w:left w:val="single" w:sz="8" w:color="auto"/>
              <w:bottom w:val="single" w:sz="8" w:color="auto"/>
              <w:right w:val="single" w:sz="8" w:color="auto"/>
            </w:tcBorders>
          </w:tcPr>
          <w:p>
            <w:pPr>
              <w:ind w:left="100"/>
              <w:spacing w:after="0" w:line="175" w:lineRule="exact"/>
              <w:rPr>
                <w:sz w:val="20"/>
                <w:szCs w:val="20"/>
                <w:color w:val="auto"/>
              </w:rPr>
            </w:pPr>
            <w:r>
              <w:rPr>
                <w:rFonts w:ascii="Arial" w:cs="Arial" w:eastAsia="Arial" w:hAnsi="Arial"/>
                <w:sz w:val="16"/>
                <w:szCs w:val="16"/>
                <w:b w:val="1"/>
                <w:bCs w:val="1"/>
                <w:color w:val="auto"/>
              </w:rPr>
              <w:t>Structural Loans</w:t>
            </w:r>
          </w:p>
        </w:tc>
        <w:tc>
          <w:tcPr>
            <w:tcW w:w="3020" w:type="dxa"/>
            <w:vAlign w:val="bottom"/>
            <w:tcBorders>
              <w:bottom w:val="single" w:sz="8" w:color="auto"/>
            </w:tcBorders>
          </w:tcPr>
          <w:p>
            <w:pPr>
              <w:ind w:left="80"/>
              <w:spacing w:after="0" w:line="175" w:lineRule="exact"/>
              <w:rPr>
                <w:sz w:val="20"/>
                <w:szCs w:val="20"/>
                <w:color w:val="auto"/>
              </w:rPr>
            </w:pPr>
            <w:r>
              <w:rPr>
                <w:rFonts w:ascii="Arial" w:cs="Arial" w:eastAsia="Arial" w:hAnsi="Arial"/>
                <w:sz w:val="16"/>
                <w:szCs w:val="16"/>
                <w:color w:val="auto"/>
              </w:rPr>
              <w:t>Loan Portfolio excluding GP Loans.</w:t>
            </w:r>
          </w:p>
        </w:tc>
        <w:tc>
          <w:tcPr>
            <w:tcW w:w="41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0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Structural Cost of Risk</w:t>
            </w:r>
          </w:p>
        </w:tc>
        <w:tc>
          <w:tcPr>
            <w:tcW w:w="7200" w:type="dxa"/>
            <w:vAlign w:val="bottom"/>
            <w:tcBorders>
              <w:right w:val="single" w:sz="8" w:color="auto"/>
            </w:tcBorders>
            <w:gridSpan w:val="2"/>
          </w:tcPr>
          <w:p>
            <w:pPr>
              <w:ind w:left="80"/>
              <w:spacing w:after="0" w:line="158" w:lineRule="exact"/>
              <w:rPr>
                <w:sz w:val="20"/>
                <w:szCs w:val="20"/>
                <w:color w:val="auto"/>
              </w:rPr>
            </w:pPr>
            <w:r>
              <w:rPr>
                <w:rFonts w:ascii="Arial" w:cs="Arial" w:eastAsia="Arial" w:hAnsi="Arial"/>
                <w:sz w:val="16"/>
                <w:szCs w:val="16"/>
                <w:color w:val="auto"/>
              </w:rPr>
              <w:t>Cost of Risk related to the Structural Loans. It excludes, in the numerator, provisions for credit</w:t>
            </w:r>
          </w:p>
        </w:tc>
        <w:tc>
          <w:tcPr>
            <w:tcW w:w="0" w:type="dxa"/>
            <w:vAlign w:val="bottom"/>
          </w:tcPr>
          <w:p>
            <w:pPr>
              <w:spacing w:after="0"/>
              <w:rPr>
                <w:sz w:val="1"/>
                <w:szCs w:val="1"/>
                <w:color w:val="auto"/>
              </w:rPr>
            </w:pPr>
          </w:p>
        </w:tc>
      </w:tr>
      <w:tr>
        <w:trPr>
          <w:trHeight w:val="126"/>
        </w:trPr>
        <w:tc>
          <w:tcPr>
            <w:tcW w:w="4060" w:type="dxa"/>
            <w:vAlign w:val="bottom"/>
            <w:tcBorders>
              <w:left w:val="single" w:sz="8" w:color="auto"/>
              <w:right w:val="single" w:sz="8" w:color="auto"/>
            </w:tcBorders>
            <w:vMerge w:val="continue"/>
          </w:tcPr>
          <w:p>
            <w:pPr>
              <w:spacing w:after="0"/>
              <w:rPr>
                <w:sz w:val="10"/>
                <w:szCs w:val="10"/>
                <w:color w:val="auto"/>
              </w:rPr>
            </w:pPr>
          </w:p>
        </w:tc>
        <w:tc>
          <w:tcPr>
            <w:tcW w:w="72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losses on GP loans, and in the denominator, the total amount of GP Loans.</w:t>
            </w:r>
          </w:p>
        </w:tc>
        <w:tc>
          <w:tcPr>
            <w:tcW w:w="0" w:type="dxa"/>
            <w:vAlign w:val="bottom"/>
          </w:tcPr>
          <w:p>
            <w:pPr>
              <w:spacing w:after="0"/>
              <w:rPr>
                <w:sz w:val="1"/>
                <w:szCs w:val="1"/>
                <w:color w:val="auto"/>
              </w:rPr>
            </w:pPr>
          </w:p>
        </w:tc>
      </w:tr>
      <w:tr>
        <w:trPr>
          <w:trHeight w:val="74"/>
        </w:trPr>
        <w:tc>
          <w:tcPr>
            <w:tcW w:w="4060" w:type="dxa"/>
            <w:vAlign w:val="bottom"/>
            <w:tcBorders>
              <w:left w:val="single" w:sz="8" w:color="auto"/>
              <w:bottom w:val="single" w:sz="8" w:color="auto"/>
              <w:right w:val="single" w:sz="8" w:color="auto"/>
            </w:tcBorders>
          </w:tcPr>
          <w:p>
            <w:pPr>
              <w:spacing w:after="0"/>
              <w:rPr>
                <w:sz w:val="6"/>
                <w:szCs w:val="6"/>
                <w:color w:val="auto"/>
              </w:rPr>
            </w:pPr>
          </w:p>
        </w:tc>
        <w:tc>
          <w:tcPr>
            <w:tcW w:w="7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60" w:type="dxa"/>
            <w:vAlign w:val="bottom"/>
            <w:tcBorders>
              <w:left w:val="single" w:sz="8" w:color="auto"/>
              <w:bottom w:val="single" w:sz="8" w:color="auto"/>
              <w:right w:val="single" w:sz="8" w:color="auto"/>
            </w:tcBorders>
          </w:tcPr>
          <w:p>
            <w:pPr>
              <w:ind w:left="100"/>
              <w:spacing w:after="0" w:line="175" w:lineRule="exact"/>
              <w:rPr>
                <w:sz w:val="20"/>
                <w:szCs w:val="20"/>
                <w:color w:val="auto"/>
              </w:rPr>
            </w:pPr>
            <w:r>
              <w:rPr>
                <w:rFonts w:ascii="Arial" w:cs="Arial" w:eastAsia="Arial" w:hAnsi="Arial"/>
                <w:sz w:val="16"/>
                <w:szCs w:val="16"/>
                <w:b w:val="1"/>
                <w:bCs w:val="1"/>
                <w:color w:val="auto"/>
              </w:rPr>
              <w:t>Structural NPL ratio</w:t>
            </w:r>
          </w:p>
        </w:tc>
        <w:tc>
          <w:tcPr>
            <w:tcW w:w="7200" w:type="dxa"/>
            <w:vAlign w:val="bottom"/>
            <w:tcBorders>
              <w:bottom w:val="single" w:sz="8" w:color="auto"/>
              <w:right w:val="single" w:sz="8" w:color="auto"/>
            </w:tcBorders>
            <w:gridSpan w:val="2"/>
          </w:tcPr>
          <w:p>
            <w:pPr>
              <w:ind w:left="80"/>
              <w:spacing w:after="0" w:line="175" w:lineRule="exact"/>
              <w:rPr>
                <w:sz w:val="20"/>
                <w:szCs w:val="20"/>
                <w:color w:val="auto"/>
              </w:rPr>
            </w:pPr>
            <w:r>
              <w:rPr>
                <w:rFonts w:ascii="Arial" w:cs="Arial" w:eastAsia="Arial" w:hAnsi="Arial"/>
                <w:sz w:val="16"/>
                <w:szCs w:val="16"/>
                <w:color w:val="auto"/>
              </w:rPr>
              <w:t>NPL Ratio, excluding the impact of GP Loans.</w:t>
            </w:r>
          </w:p>
        </w:tc>
        <w:tc>
          <w:tcPr>
            <w:tcW w:w="0" w:type="dxa"/>
            <w:vAlign w:val="bottom"/>
          </w:tcPr>
          <w:p>
            <w:pPr>
              <w:spacing w:after="0"/>
              <w:rPr>
                <w:sz w:val="1"/>
                <w:szCs w:val="1"/>
                <w:color w:val="auto"/>
              </w:rPr>
            </w:pPr>
          </w:p>
        </w:tc>
      </w:tr>
      <w:tr>
        <w:trPr>
          <w:trHeight w:val="158"/>
        </w:trPr>
        <w:tc>
          <w:tcPr>
            <w:tcW w:w="40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Structural NIM</w:t>
            </w:r>
          </w:p>
        </w:tc>
        <w:tc>
          <w:tcPr>
            <w:tcW w:w="7200" w:type="dxa"/>
            <w:vAlign w:val="bottom"/>
            <w:tcBorders>
              <w:right w:val="single" w:sz="8" w:color="auto"/>
            </w:tcBorders>
            <w:gridSpan w:val="2"/>
          </w:tcPr>
          <w:p>
            <w:pPr>
              <w:ind w:left="80"/>
              <w:spacing w:after="0" w:line="158" w:lineRule="exact"/>
              <w:rPr>
                <w:sz w:val="20"/>
                <w:szCs w:val="20"/>
                <w:color w:val="auto"/>
              </w:rPr>
            </w:pPr>
            <w:r>
              <w:rPr>
                <w:rFonts w:ascii="Arial" w:cs="Arial" w:eastAsia="Arial" w:hAnsi="Arial"/>
                <w:sz w:val="16"/>
                <w:szCs w:val="16"/>
                <w:color w:val="auto"/>
              </w:rPr>
              <w:t>NIM related to Structural Loans and Other Interest Earning Assets. It deducts the impact of GP</w:t>
            </w:r>
          </w:p>
        </w:tc>
        <w:tc>
          <w:tcPr>
            <w:tcW w:w="0" w:type="dxa"/>
            <w:vAlign w:val="bottom"/>
          </w:tcPr>
          <w:p>
            <w:pPr>
              <w:spacing w:after="0"/>
              <w:rPr>
                <w:sz w:val="1"/>
                <w:szCs w:val="1"/>
                <w:color w:val="auto"/>
              </w:rPr>
            </w:pPr>
          </w:p>
        </w:tc>
      </w:tr>
      <w:tr>
        <w:trPr>
          <w:trHeight w:val="126"/>
        </w:trPr>
        <w:tc>
          <w:tcPr>
            <w:tcW w:w="406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vMerge w:val="restart"/>
          </w:tcPr>
          <w:p>
            <w:pPr>
              <w:ind w:left="80"/>
              <w:spacing w:after="0"/>
              <w:rPr>
                <w:sz w:val="20"/>
                <w:szCs w:val="20"/>
                <w:color w:val="auto"/>
              </w:rPr>
            </w:pPr>
            <w:r>
              <w:rPr>
                <w:rFonts w:ascii="Arial" w:cs="Arial" w:eastAsia="Arial" w:hAnsi="Arial"/>
                <w:sz w:val="16"/>
                <w:szCs w:val="16"/>
                <w:color w:val="auto"/>
              </w:rPr>
              <w:t>Loans</w:t>
            </w:r>
          </w:p>
        </w:tc>
        <w:tc>
          <w:tcPr>
            <w:tcW w:w="4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60" w:type="dxa"/>
            <w:vAlign w:val="bottom"/>
            <w:tcBorders>
              <w:left w:val="single" w:sz="8" w:color="auto"/>
              <w:bottom w:val="single" w:sz="8" w:color="auto"/>
              <w:right w:val="single" w:sz="8" w:color="auto"/>
            </w:tcBorders>
          </w:tcPr>
          <w:p>
            <w:pPr>
              <w:spacing w:after="0"/>
              <w:rPr>
                <w:sz w:val="6"/>
                <w:szCs w:val="6"/>
                <w:color w:val="auto"/>
              </w:rPr>
            </w:pPr>
          </w:p>
        </w:tc>
        <w:tc>
          <w:tcPr>
            <w:tcW w:w="3020" w:type="dxa"/>
            <w:vAlign w:val="bottom"/>
            <w:tcBorders>
              <w:bottom w:val="single" w:sz="8" w:color="auto"/>
            </w:tcBorders>
            <w:vMerge w:val="continue"/>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60" w:type="dxa"/>
            <w:vAlign w:val="bottom"/>
            <w:tcBorders>
              <w:left w:val="single" w:sz="8" w:color="auto"/>
              <w:bottom w:val="single" w:sz="8" w:color="auto"/>
              <w:right w:val="single" w:sz="8" w:color="auto"/>
            </w:tcBorders>
          </w:tcPr>
          <w:p>
            <w:pPr>
              <w:ind w:left="100"/>
              <w:spacing w:after="0" w:line="175" w:lineRule="exact"/>
              <w:rPr>
                <w:sz w:val="20"/>
                <w:szCs w:val="20"/>
                <w:color w:val="auto"/>
              </w:rPr>
            </w:pPr>
            <w:r>
              <w:rPr>
                <w:rFonts w:ascii="Arial" w:cs="Arial" w:eastAsia="Arial" w:hAnsi="Arial"/>
                <w:sz w:val="16"/>
                <w:szCs w:val="16"/>
                <w:b w:val="1"/>
                <w:bCs w:val="1"/>
                <w:color w:val="auto"/>
              </w:rPr>
              <w:t>Structural Funding Cost</w:t>
            </w:r>
          </w:p>
        </w:tc>
        <w:tc>
          <w:tcPr>
            <w:tcW w:w="7200" w:type="dxa"/>
            <w:vAlign w:val="bottom"/>
            <w:tcBorders>
              <w:bottom w:val="single" w:sz="8" w:color="auto"/>
              <w:right w:val="single" w:sz="8" w:color="auto"/>
            </w:tcBorders>
            <w:gridSpan w:val="2"/>
          </w:tcPr>
          <w:p>
            <w:pPr>
              <w:ind w:left="80"/>
              <w:spacing w:after="0" w:line="175" w:lineRule="exact"/>
              <w:rPr>
                <w:sz w:val="20"/>
                <w:szCs w:val="20"/>
                <w:color w:val="auto"/>
              </w:rPr>
            </w:pPr>
            <w:r>
              <w:rPr>
                <w:rFonts w:ascii="Arial" w:cs="Arial" w:eastAsia="Arial" w:hAnsi="Arial"/>
                <w:sz w:val="16"/>
                <w:szCs w:val="16"/>
                <w:color w:val="auto"/>
              </w:rPr>
              <w:t>Funding Cost deducting the impact in expenses and funding related to GP Loans</w:t>
            </w:r>
          </w:p>
        </w:tc>
        <w:tc>
          <w:tcPr>
            <w:tcW w:w="0" w:type="dxa"/>
            <w:vAlign w:val="bottom"/>
          </w:tcPr>
          <w:p>
            <w:pPr>
              <w:spacing w:after="0"/>
              <w:rPr>
                <w:sz w:val="1"/>
                <w:szCs w:val="1"/>
                <w:color w:val="auto"/>
              </w:rPr>
            </w:pPr>
          </w:p>
        </w:tc>
      </w:tr>
      <w:tr>
        <w:trPr>
          <w:trHeight w:val="390"/>
        </w:trPr>
        <w:tc>
          <w:tcPr>
            <w:tcW w:w="4060" w:type="dxa"/>
            <w:vAlign w:val="bottom"/>
          </w:tcPr>
          <w:p>
            <w:pPr>
              <w:spacing w:after="0"/>
              <w:rPr>
                <w:sz w:val="24"/>
                <w:szCs w:val="24"/>
                <w:color w:val="auto"/>
              </w:rPr>
            </w:pPr>
          </w:p>
        </w:tc>
        <w:tc>
          <w:tcPr>
            <w:tcW w:w="3020" w:type="dxa"/>
            <w:vAlign w:val="bottom"/>
          </w:tcPr>
          <w:p>
            <w:pPr>
              <w:ind w:left="300"/>
              <w:spacing w:after="0"/>
              <w:rPr>
                <w:sz w:val="20"/>
                <w:szCs w:val="20"/>
                <w:color w:val="auto"/>
              </w:rPr>
            </w:pPr>
            <w:r>
              <w:rPr>
                <w:rFonts w:ascii="Arial" w:cs="Arial" w:eastAsia="Arial" w:hAnsi="Arial"/>
                <w:sz w:val="13"/>
                <w:szCs w:val="13"/>
                <w:color w:val="0000FF"/>
              </w:rPr>
              <w:t>Datos elaborados por BCP para uso Interno</w:t>
            </w:r>
          </w:p>
        </w:tc>
        <w:tc>
          <w:tcPr>
            <w:tcW w:w="41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3"/>
        </w:trPr>
        <w:tc>
          <w:tcPr>
            <w:tcW w:w="40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-2329815</wp:posOffset>
            </wp:positionV>
            <wp:extent cx="1161415" cy="139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61415" cy="139065"/>
                    </a:xfrm>
                    <a:prstGeom prst="rect">
                      <a:avLst/>
                    </a:prstGeom>
                    <a:noFill/>
                  </pic:spPr>
                </pic:pic>
              </a:graphicData>
            </a:graphic>
          </wp:anchor>
        </w:drawing>
      </w:r>
    </w:p>
    <w:sectPr>
      <w:pgSz w:w="11900" w:h="16838" w:orient="portrait"/>
      <w:cols w:equalWidth="0" w:num="1">
        <w:col w:w="11260"/>
      </w:cols>
      <w:pgMar w:left="32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lowerRoman"/>
      <w:start w:val="2"/>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lvl w:ilvl="1">
      <w:lvlJc w:val="left"/>
      <w:lvlText w:val="○"/>
      <w:numFmt w:val="bullet"/>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
      <w:numFmt w:val="bullet"/>
      <w:start w:val="1"/>
    </w:lvl>
    <w:lvl w:ilvl="1">
      <w:lvlJc w:val="left"/>
      <w:lvlText w:val="●"/>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1)"/>
      <w:numFmt w:val="lowerRoman"/>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upperLetter"/>
      <w:start w:val="9"/>
    </w:lvl>
  </w:abstractNum>
  <w:abstractNum w:abstractNumId="46">
    <w:nsid w:val="39386575"/>
    <w:multiLevelType w:val="hybridMultilevel"/>
    <w:lvl w:ilvl="0">
      <w:lvlJc w:val="left"/>
      <w:lvlText w:val="%1."/>
      <w:numFmt w:val="upperLetter"/>
      <w:start w:val="35"/>
    </w:lvl>
  </w:abstractNum>
  <w:abstractNum w:abstractNumId="47">
    <w:nsid w:val="1CF10FD8"/>
    <w:multiLevelType w:val="hybridMultilevel"/>
    <w:lvl w:ilvl="0">
      <w:lvlJc w:val="left"/>
      <w:lvlText w:val="%1."/>
      <w:numFmt w:val="upperLetter"/>
      <w:start w:val="61"/>
    </w:lvl>
  </w:abstractNum>
  <w:abstractNum w:abstractNumId="48">
    <w:nsid w:val="180115BE"/>
    <w:multiLevelType w:val="hybridMultilevel"/>
    <w:lvl w:ilvl="0">
      <w:lvlJc w:val="left"/>
      <w:lvlText w:val="%1"/>
      <w:numFmt w:val="upperLetter"/>
      <w:start w:val="1"/>
    </w:lvl>
    <w:lvl w:ilvl="1">
      <w:lvlJc w:val="left"/>
      <w:lvlText w:val="%2."/>
      <w:numFmt w:val="decimal"/>
      <w:start w:val="12"/>
    </w:lvl>
  </w:abstractNum>
  <w:abstractNum w:abstractNumId="49">
    <w:nsid w:val="235BA861"/>
    <w:multiLevelType w:val="hybridMultilevel"/>
    <w:lvl w:ilvl="0">
      <w:lvlJc w:val="left"/>
      <w:lvlText w:val="%1."/>
      <w:numFmt w:val="upperLetter"/>
      <w:start w:val="22"/>
    </w:lvl>
    <w:lvl w:ilvl="1">
      <w:lvlJc w:val="left"/>
      <w:lvlText w:val="%2"/>
      <w:numFmt w:val="decimal"/>
      <w:start w:val="1"/>
    </w:lvl>
  </w:abstractNum>
  <w:abstractNum w:abstractNumId="50">
    <w:nsid w:val="47398C89"/>
    <w:multiLevelType w:val="hybridMultilevel"/>
    <w:lvl w:ilvl="0">
      <w:lvlJc w:val="left"/>
      <w:lvlText w:val="%1."/>
      <w:numFmt w:val="upperLetter"/>
      <w:start w:val="9"/>
    </w:lvl>
  </w:abstractNum>
  <w:abstractNum w:abstractNumId="51">
    <w:nsid w:val="354FE9F9"/>
    <w:multiLevelType w:val="hybridMultilevel"/>
    <w:lvl w:ilvl="0">
      <w:lvlJc w:val="left"/>
      <w:lvlText w:val="%1."/>
      <w:numFmt w:val="upperLetter"/>
      <w:start w:val="35"/>
    </w:lvl>
  </w:abstractNum>
  <w:abstractNum w:abstractNumId="52">
    <w:nsid w:val="15B5AF5C"/>
    <w:multiLevelType w:val="hybridMultilevel"/>
    <w:lvl w:ilvl="0">
      <w:lvlJc w:val="left"/>
      <w:lvlText w:val="%1"/>
      <w:numFmt w:val="upperLetter"/>
      <w:start w:val="1"/>
    </w:lvl>
    <w:lvl w:ilvl="1">
      <w:lvlJc w:val="left"/>
      <w:lvlText w:val="%2."/>
      <w:numFmt w:val="decimal"/>
      <w:start w:val="12"/>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12"/>
    </w:lvl>
  </w:abstractNum>
  <w:abstractNum w:abstractNumId="61">
    <w:nsid w:val="310C50B3"/>
    <w:multiLevelType w:val="hybridMultilevel"/>
    <w:lvl w:ilvl="0">
      <w:lvlJc w:val="left"/>
      <w:lvlText w:val="%1."/>
      <w:numFmt w:val="decimal"/>
      <w:start w:val="12"/>
    </w:lvl>
  </w:abstractNum>
  <w:abstractNum w:abstractNumId="62">
    <w:nsid w:val="5FF87E05"/>
    <w:multiLevelType w:val="hybridMultilevel"/>
    <w:lvl w:ilvl="0">
      <w:lvlJc w:val="left"/>
      <w:lvlText w:val="12.6.%1."/>
      <w:numFmt w:val="decimal"/>
      <w:start w:val="7"/>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2024-02-13T12:10:06Z</dcterms:created>
  <dcterms:modified xsi:type="dcterms:W3CDTF">2024-02-13T12:10:06Z</dcterms:modified>
</cp:coreProperties>
</file>