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 xml:space="preserve">Lima,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02815"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02815" cy="334645"/>
                    </a:xfrm>
                    <a:prstGeom prst="rect">
                      <a:avLst/>
                    </a:prstGeom>
                    <a:noFill/>
                  </pic:spPr>
                </pic:pic>
              </a:graphicData>
            </a:graphic>
          </wp:anchor>
        </w:drawing>
        <w:t>August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notify you as a Material Event that we have become aware of the publication of inaccurate information regarding Credicorp Ltd. (Credicorp) in a printed article titled “</w:t>
      </w:r>
      <w:r>
        <w:rPr>
          <w:rFonts w:ascii="Times New Roman" w:cs="Times New Roman" w:eastAsia="Times New Roman" w:hAnsi="Times New Roman"/>
          <w:sz w:val="18"/>
          <w:szCs w:val="18"/>
          <w:i w:val="1"/>
          <w:iCs w:val="1"/>
          <w:color w:val="auto"/>
        </w:rPr>
        <w:t>Credicorp will not distribute dividends to shareholders due to payment to Sunat</w:t>
      </w:r>
      <w:r>
        <w:rPr>
          <w:rFonts w:ascii="Times New Roman" w:cs="Times New Roman" w:eastAsia="Times New Roman" w:hAnsi="Times New Roman"/>
          <w:sz w:val="18"/>
          <w:szCs w:val="18"/>
          <w:color w:val="auto"/>
        </w:rPr>
        <w:t xml:space="preserve">,” published on August 18, 2025, in the Peruvian newspaper </w:t>
      </w:r>
      <w:r>
        <w:rPr>
          <w:rFonts w:ascii="Times New Roman" w:cs="Times New Roman" w:eastAsia="Times New Roman" w:hAnsi="Times New Roman"/>
          <w:sz w:val="18"/>
          <w:szCs w:val="18"/>
          <w:i w:val="1"/>
          <w:iCs w:val="1"/>
          <w:color w:val="auto"/>
        </w:rPr>
        <w:t>Gestión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regard, and further to the Material Event disclosed on August 14, 2025, we would like to clarify that the article’s headline is misleading. It incorrectly suggests that no dividends will be distributed to shareholders, when what should have been stated is that no extraordinary cash dividend will be distributed for the remainder of the year. Such extraordinary dividends are only issued when there is a cash surplus, which is not the case at this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has been disclosed in Peru in conformity with Peruvian law (Article 30 of the Capital Markets Law, approved by Supreme Decree 020-2023-EF, and by the Regulation of the Disclosure of Material Events and Reserved Information approved by Resolution 005-2014-SMV/01 of the Peruvian Capital Markets Superintendency).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attached news article was translated into English from the original in Spanish.</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August 20, 2025</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23749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4900" cy="17145"/>
                    </a:xfrm>
                    <a:prstGeom prst="rect">
                      <a:avLst/>
                    </a:prstGeom>
                    <a:noFill/>
                  </pic:spPr>
                </pic:pic>
              </a:graphicData>
            </a:graphic>
          </wp:anchor>
        </w:drawing>
      </w:r>
    </w:p>
    <w:p>
      <w:pPr>
        <w:spacing w:after="0" w:line="1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Lima, August 18, 2025 – GESTIÓN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TAX AUTHORITY RESOLUTION ON THE COUNTRY’S LARGEST FINANCIAL GROUP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Credicorp will not distribute dividends to shareholders due to payment to Sunat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payment of S/1.577 billion to the tax authority for a debt that the holding company is disputing will prevent it from delivering shareholder benefits this semester, as previously planned. The economic group maintains that the contingency does not affect the results of its operations but does impact its cash flow and estimates that the appeal process could extend for five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Credicorp indicators in the second quarter</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820" w:type="dxa"/>
            <w:vAlign w:val="bottom"/>
            <w:tcBorders>
              <w:top w:val="single" w:sz="8" w:color="auto"/>
              <w:left w:val="single" w:sz="8" w:color="auto"/>
              <w:right w:val="single" w:sz="8" w:color="auto"/>
            </w:tcBorders>
          </w:tcPr>
          <w:p>
            <w:pPr>
              <w:spacing w:after="0"/>
              <w:rPr>
                <w:sz w:val="21"/>
                <w:szCs w:val="21"/>
                <w:color w:val="auto"/>
              </w:rPr>
            </w:pPr>
          </w:p>
        </w:tc>
        <w:tc>
          <w:tcPr>
            <w:tcW w:w="1400" w:type="dxa"/>
            <w:vAlign w:val="bottom"/>
            <w:tcBorders>
              <w:top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0" w:type="dxa"/>
            <w:vAlign w:val="bottom"/>
            <w:tcBorders>
              <w:top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34"/>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82"/>
        </w:trPr>
        <w:tc>
          <w:tcPr>
            <w:tcW w:w="282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Return on Equity (ROE %)</w:t>
            </w:r>
          </w:p>
        </w:tc>
        <w:tc>
          <w:tcPr>
            <w:tcW w:w="14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43"/>
        </w:trPr>
        <w:tc>
          <w:tcPr>
            <w:tcW w:w="28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 Income (million S/)</w:t>
            </w:r>
          </w:p>
        </w:tc>
        <w:tc>
          <w:tcPr>
            <w:tcW w:w="14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4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1339.1</w:t>
            </w:r>
          </w:p>
        </w:tc>
      </w:tr>
      <w:tr>
        <w:trPr>
          <w:trHeight w:val="34"/>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82"/>
        </w:trPr>
        <w:tc>
          <w:tcPr>
            <w:tcW w:w="282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 (million S/)</w:t>
            </w:r>
          </w:p>
        </w:tc>
        <w:tc>
          <w:tcPr>
            <w:tcW w:w="14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4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r>
      <w:tr>
        <w:trPr>
          <w:trHeight w:val="243"/>
        </w:trPr>
        <w:tc>
          <w:tcPr>
            <w:tcW w:w="28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Loans (million S/)</w:t>
            </w:r>
          </w:p>
        </w:tc>
        <w:tc>
          <w:tcPr>
            <w:tcW w:w="14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140962</w:t>
            </w:r>
          </w:p>
        </w:tc>
        <w:tc>
          <w:tcPr>
            <w:tcW w:w="14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146947</w:t>
            </w:r>
          </w:p>
        </w:tc>
      </w:tr>
      <w:tr>
        <w:trPr>
          <w:trHeight w:val="34"/>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50"/>
        </w:trPr>
        <w:tc>
          <w:tcPr>
            <w:tcW w:w="282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Deposits (million S/)</w:t>
            </w:r>
          </w:p>
        </w:tc>
        <w:tc>
          <w:tcPr>
            <w:tcW w:w="14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154723</w:t>
            </w:r>
          </w:p>
        </w:tc>
        <w:tc>
          <w:tcPr>
            <w:tcW w:w="14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151972</w:t>
            </w:r>
          </w:p>
        </w:tc>
      </w:tr>
      <w:tr>
        <w:trPr>
          <w:trHeight w:val="27"/>
        </w:trPr>
        <w:tc>
          <w:tcPr>
            <w:tcW w:w="2820" w:type="dxa"/>
            <w:vAlign w:val="bottom"/>
            <w:tcBorders>
              <w:left w:val="single" w:sz="8" w:color="auto"/>
              <w:right w:val="single" w:sz="8" w:color="auto"/>
            </w:tcBorders>
            <w:shd w:val="clear" w:color="auto" w:fill="000000"/>
          </w:tcPr>
          <w:p>
            <w:pPr>
              <w:spacing w:after="0"/>
              <w:rPr>
                <w:sz w:val="2"/>
                <w:szCs w:val="2"/>
                <w:color w:val="auto"/>
              </w:rPr>
            </w:pPr>
          </w:p>
        </w:tc>
        <w:tc>
          <w:tcPr>
            <w:tcW w:w="1400" w:type="dxa"/>
            <w:vAlign w:val="bottom"/>
            <w:tcBorders>
              <w:right w:val="single" w:sz="8" w:color="auto"/>
            </w:tcBorders>
            <w:shd w:val="clear" w:color="auto" w:fill="000000"/>
          </w:tcPr>
          <w:p>
            <w:pPr>
              <w:spacing w:after="0"/>
              <w:rPr>
                <w:sz w:val="2"/>
                <w:szCs w:val="2"/>
                <w:color w:val="auto"/>
              </w:rPr>
            </w:pPr>
          </w:p>
        </w:tc>
        <w:tc>
          <w:tcPr>
            <w:tcW w:w="1400" w:type="dxa"/>
            <w:vAlign w:val="bottom"/>
            <w:tcBorders>
              <w:right w:val="single" w:sz="8" w:color="auto"/>
            </w:tcBorders>
            <w:shd w:val="clear" w:color="auto" w:fill="000000"/>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by: ZULEMA RAMIREZ HUANCAYO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 included to acknowledge authorship of the original article in Spanish)</w:t>
      </w:r>
    </w:p>
    <w:p>
      <w:pPr>
        <w:spacing w:after="0" w:line="1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Credicorp paid S/1.577 billion to Sunat due to Tax Assessment and Fine resolutions against its subsidiary Grupo Crédito. However, it announced it will challenge both resolutions.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reaffirm our decision to exercise all available legal rights to challenge the resolutions, as we consider them unfounded. We are confident in a favorable outcome and continue to assess the contingency as remote,” stated Alejandro Pérez Reyes, CFO of Credicorp.</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payment does not affect the operations of its subsidiaries, so no expense provisions have been deemed necessary. However, due to this disbursement, the holding company does not plan to issue extraordinary dividends for the remainder of the year.</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money we expected to distribute as an extraordinary dividend is what we are using to pay Sunat’s claim. It only has an impact this year,” he said during the second-quarter results presentation.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Gianfranco Ferrari, CEO of Credicorp, added that the holding’s dividend policy remains unchanged.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“Since we had to pay nearly S/1.6 billion to Sunat, those funds are no longer available for dividends. While this doesn’t affect our income statement, it does impact our cash position—so we won’t be issuing an extraordinary dividend in the second half of the year,” he explained.</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According to the executive, the payment to Sunat for unpaid income tax and associated interest, made last week, does not alter the holding’s legal position or confidence in a favorable resolution.</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prepared to defend our position through the appropriate channels, whether before the Tax Court, where proceedings may last one to three years, or, if necessary, before the Judiciary, which could extend the process by another five years,” he stated.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Regarding business performance, Pérez Reyes said asset quality remains favorable thanks to stricter origination standards, better risk pricing, and strengthened collections management.</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Credit portfolio growth was mainly driven by retail banking, boosted by mortgages and consumer loans, while wholesale banking remained volatile due to the nature of its short-term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Profitability</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CFO noted that in retail banking, provisions for personal loans slightly decreased due to risk model adjustments. This evolution was partially offset by increased provisions for small and medium-sized enterprises, following a rise in disbursements of smaller, higher-yield loans.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“Last year, we took several measures to ensure all our portfolios met our risk appetite. Therefore, in addition to improving our capabilities, we restricted origination in certain segments,” said César Ríos, CRO of Credicorp.</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Starting in the second quarter, higher-yield and higher-risk credit portfolios began to be generated successfully. As a result, the second half of the year is expected to see increased loan generation with this return-risk combination, which will change the portfolio composition—a trend expected to continue in the coming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FROM THE HOLDING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Yape will become the second-largest business line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over the next three to five years, Yape will become Credicorp’s second-largest business line, primarily due to its lending operations in the retail and SME segments, and also because of its inclusion in newer segments such as marketplace and commerce,” said Francesca Raffo, CIO of Credicorp.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Alejandro Pérez Reyes, Credicorp’s CFO, stated that Yape remains on track to reach its goal of 16.5 million monthly active users by 2026.</w:t>
      </w: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User engagement remains strong, with an average of 54.5 monthly transactions and 2.7 features used per user, indicating greater adoption of the app ecosystem, he said.</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Monetization and operational leverage continue to strengthen, with average revenue per monthly active user at S/6.5, while corresponding expenses reached S/4.4, driven by the growing contribution of users to revenue generation, he emphasized.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2025-08-20T05:14:18Z</dcterms:created>
  <dcterms:modified xsi:type="dcterms:W3CDTF">2025-08-20T05:14:18Z</dcterms:modified>
</cp:coreProperties>
</file>