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5040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504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Ferrari Gianfranco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CREDICORP LTD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BAP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CALLE CENTENARIO 156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LA MOLINA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5"/>
        </w:trPr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LIMA</w:t>
            </w:r>
          </w:p>
        </w:tc>
        <w:tc>
          <w:tcPr>
            <w:tcW w:w="8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R5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15026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136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CEO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6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25,954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Gianfranco Ferrari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04/01/2026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Reminder: Report on a separate line for each class of securities beneficially owned directly or indirectly.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5"/>
          <w:szCs w:val="15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Instruction 5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26559" TargetMode="External"/><Relationship Id="rId11" Type="http://schemas.openxmlformats.org/officeDocument/2006/relationships/hyperlink" Target="http://www.sec.gov/cgi-bin/browse-edgar?action=getcompany&amp;CIK=00010012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2026-04-01T18:14:03Z</dcterms:created>
  <dcterms:modified xsi:type="dcterms:W3CDTF">2026-04-01T18:14:03Z</dcterms:modified>
</cp:coreProperties>
</file>