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6-K/A</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Report of Foreign Private Issuer</w:t>
      </w:r>
    </w:p>
    <w:p>
      <w:pPr>
        <w:jc w:val="center"/>
        <w:ind w:right="-19"/>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month of February,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Church Street</w:t>
      </w:r>
    </w:p>
    <w:p>
      <w:pPr>
        <w:jc w:val="center"/>
        <w:ind w:right="-19"/>
        <w:spacing w:after="0"/>
        <w:rPr>
          <w:sz w:val="20"/>
          <w:szCs w:val="20"/>
          <w:color w:val="auto"/>
        </w:rPr>
      </w:pPr>
      <w:r>
        <w:rPr>
          <w:rFonts w:ascii="Arial" w:cs="Arial" w:eastAsia="Arial" w:hAnsi="Arial"/>
          <w:sz w:val="22"/>
          <w:szCs w:val="22"/>
          <w:b w:val="1"/>
          <w:bCs w:val="1"/>
          <w:color w:val="auto"/>
        </w:rPr>
        <w:t>Hamilton HM 11 Bermuda</w:t>
      </w: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347"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92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firstLine="54"/>
        <w:spacing w:after="0" w:line="251" w:lineRule="auto"/>
        <w:rPr>
          <w:sz w:val="20"/>
          <w:szCs w:val="20"/>
          <w:color w:val="auto"/>
        </w:rPr>
      </w:pPr>
      <w:r>
        <w:rPr>
          <w:rFonts w:ascii="Arial" w:cs="Arial" w:eastAsia="Arial" w:hAnsi="Arial"/>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5260340</wp:posOffset>
            </wp:positionH>
            <wp:positionV relativeFrom="page">
              <wp:posOffset>88900</wp:posOffset>
            </wp:positionV>
            <wp:extent cx="2143760"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43760" cy="565785"/>
                    </a:xfrm>
                    <a:prstGeom prst="rect">
                      <a:avLst/>
                    </a:prstGeom>
                    <a:noFill/>
                  </pic:spPr>
                </pic:pic>
              </a:graphicData>
            </a:graphic>
          </wp:anchor>
        </w:drawing>
        <w:t>February 24, 2006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Messrs.</w:t>
      </w:r>
    </w:p>
    <w:p>
      <w:pPr>
        <w:spacing w:after="0" w:line="238" w:lineRule="auto"/>
        <w:rPr>
          <w:sz w:val="20"/>
          <w:szCs w:val="20"/>
          <w:color w:val="auto"/>
        </w:rPr>
      </w:pPr>
      <w:r>
        <w:rPr>
          <w:rFonts w:ascii="Arial" w:cs="Arial" w:eastAsia="Arial" w:hAnsi="Arial"/>
          <w:sz w:val="22"/>
          <w:szCs w:val="22"/>
          <w:b w:val="1"/>
          <w:bCs w:val="1"/>
          <w:color w:val="auto"/>
        </w:rPr>
        <w:t>COMISIÓN NACIONAL SUPERVISORA</w:t>
      </w:r>
    </w:p>
    <w:p>
      <w:pPr>
        <w:spacing w:after="0" w:line="230" w:lineRule="auto"/>
        <w:rPr>
          <w:sz w:val="20"/>
          <w:szCs w:val="20"/>
          <w:color w:val="auto"/>
        </w:rPr>
      </w:pPr>
      <w:r>
        <w:rPr>
          <w:rFonts w:ascii="Arial" w:cs="Arial" w:eastAsia="Arial" w:hAnsi="Arial"/>
          <w:sz w:val="22"/>
          <w:szCs w:val="22"/>
          <w:b w:val="1"/>
          <w:bCs w:val="1"/>
          <w:color w:val="auto"/>
        </w:rPr>
        <w:t>DE EMPRESAS Y VALORES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CONASEV</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MATERIAL EVENT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Gentlemen: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18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Credicorp's Board of Directors, in the session held yesterday, February 23, 2006, agreed to submit for consideration and approval at the company's Annual General Meeting of Shareholders, which will be held on March 31, 2006, the following matters:</w:t>
      </w:r>
    </w:p>
    <w:p>
      <w:pPr>
        <w:spacing w:after="0" w:line="105" w:lineRule="exact"/>
        <w:rPr>
          <w:sz w:val="20"/>
          <w:szCs w:val="20"/>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Approved the Annual Report of the Company for the financial year 2005.</w:t>
      </w:r>
    </w:p>
    <w:p>
      <w:pPr>
        <w:spacing w:after="0" w:line="206" w:lineRule="exact"/>
        <w:rPr>
          <w:rFonts w:ascii="Arial" w:cs="Arial" w:eastAsia="Arial" w:hAnsi="Arial"/>
          <w:sz w:val="22"/>
          <w:szCs w:val="22"/>
          <w:color w:val="auto"/>
        </w:rPr>
      </w:pPr>
    </w:p>
    <w:p>
      <w:pPr>
        <w:jc w:val="both"/>
        <w:ind w:firstLine="8"/>
        <w:spacing w:after="0" w:line="328" w:lineRule="auto"/>
        <w:tabs>
          <w:tab w:leader="none" w:pos="245" w:val="left"/>
        </w:tabs>
        <w:numPr>
          <w:ilvl w:val="0"/>
          <w:numId w:val="1"/>
        </w:numPr>
        <w:rPr>
          <w:rFonts w:ascii="Arial" w:cs="Arial" w:eastAsia="Arial" w:hAnsi="Arial"/>
          <w:sz w:val="19"/>
          <w:szCs w:val="19"/>
          <w:color w:val="auto"/>
        </w:rPr>
      </w:pPr>
      <w:r>
        <w:rPr>
          <w:rFonts w:ascii="Arial" w:cs="Arial" w:eastAsia="Arial" w:hAnsi="Arial"/>
          <w:sz w:val="19"/>
          <w:szCs w:val="19"/>
          <w:color w:val="auto"/>
        </w:rPr>
        <w:t>Approved the consolidated financial statements of the Company and its subsidiaries for the year ended December 31, 2005, including the report of the independent auditors Medina , Zaldívar, Paredes &amp; Asociados, a member firm of Ernst &amp; Young in Perú.</w:t>
      </w:r>
    </w:p>
    <w:p>
      <w:pPr>
        <w:spacing w:after="0" w:line="105" w:lineRule="exact"/>
        <w:rPr>
          <w:rFonts w:ascii="Arial" w:cs="Arial" w:eastAsia="Arial" w:hAnsi="Arial"/>
          <w:sz w:val="19"/>
          <w:szCs w:val="19"/>
          <w:color w:val="auto"/>
        </w:rPr>
      </w:pPr>
    </w:p>
    <w:p>
      <w:pPr>
        <w:ind w:right="440" w:firstLine="8"/>
        <w:spacing w:after="0"/>
        <w:tabs>
          <w:tab w:leader="none" w:pos="216" w:val="left"/>
        </w:tabs>
        <w:numPr>
          <w:ilvl w:val="0"/>
          <w:numId w:val="1"/>
        </w:numPr>
        <w:rPr>
          <w:rFonts w:ascii="Arial" w:cs="Arial" w:eastAsia="Arial" w:hAnsi="Arial"/>
          <w:sz w:val="22"/>
          <w:szCs w:val="22"/>
          <w:color w:val="auto"/>
        </w:rPr>
      </w:pPr>
      <w:r>
        <w:rPr>
          <w:rFonts w:ascii="Arial" w:cs="Arial" w:eastAsia="Arial" w:hAnsi="Arial"/>
          <w:sz w:val="22"/>
          <w:szCs w:val="22"/>
          <w:color w:val="auto"/>
        </w:rPr>
        <w:t>Approved to postpone for another Board of Director's session the designation of independent auditors for the year 2006, according to the solicitation made by the Audit Committee, which will present its recommendation through the proposal by the Board of Directors to the Annual General meeting.</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Please note that Credicorp’s Board of Directors, in the session held on February 23, 2005, agreed to pay its shareholders a cash dividend of US$103,820,549.00, which amount to US$1.10 per share, payable on May 3, 2006, to shareholders registered as of April 12, 2006 (“Record Date”).</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In accordance with CONASEV Resolution No. 107-2002-EF/94.10.0, we are enclosing the company’s Annual Report and consolidated financial statements as of December 31, 2005 together with the external auditor’s opinion, as well as the 2005 Annual Information Document, also approved by the Board.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18" w:lineRule="exact"/>
        <w:rPr>
          <w:sz w:val="20"/>
          <w:szCs w:val="20"/>
          <w:color w:val="auto"/>
        </w:rPr>
      </w:pPr>
    </w:p>
    <w:p>
      <w:pPr>
        <w:jc w:val="center"/>
        <w:ind w:right="8040"/>
        <w:spacing w:after="0"/>
        <w:rPr>
          <w:sz w:val="20"/>
          <w:szCs w:val="20"/>
          <w:color w:val="auto"/>
        </w:rPr>
      </w:pPr>
      <w:r>
        <w:rPr>
          <w:rFonts w:ascii="Arial" w:cs="Arial" w:eastAsia="Arial" w:hAnsi="Arial"/>
          <w:sz w:val="15"/>
          <w:szCs w:val="15"/>
          <w:color w:val="auto"/>
        </w:rPr>
        <w:t>/s/</w:t>
      </w:r>
      <w:r>
        <w:rPr>
          <w:rFonts w:ascii="Arial" w:cs="Arial" w:eastAsia="Arial" w:hAnsi="Arial"/>
          <w:sz w:val="15"/>
          <w:szCs w:val="15"/>
          <w:u w:val="single" w:color="auto"/>
          <w:color w:val="auto"/>
        </w:rPr>
        <w:t>Fernando Palao</w:t>
      </w:r>
    </w:p>
    <w:p>
      <w:pPr>
        <w:jc w:val="center"/>
        <w:ind w:right="8040"/>
        <w:spacing w:after="0" w:line="227" w:lineRule="auto"/>
        <w:rPr>
          <w:sz w:val="20"/>
          <w:szCs w:val="20"/>
          <w:color w:val="auto"/>
        </w:rPr>
      </w:pPr>
      <w:r>
        <w:rPr>
          <w:rFonts w:ascii="Arial" w:cs="Arial" w:eastAsia="Arial" w:hAnsi="Arial"/>
          <w:sz w:val="15"/>
          <w:szCs w:val="15"/>
          <w:color w:val="auto"/>
        </w:rPr>
        <w:t>Fernando Palao</w:t>
      </w:r>
    </w:p>
    <w:p>
      <w:pPr>
        <w:spacing w:after="0" w:line="1" w:lineRule="exact"/>
        <w:rPr>
          <w:sz w:val="20"/>
          <w:szCs w:val="20"/>
          <w:color w:val="auto"/>
        </w:rPr>
      </w:pPr>
    </w:p>
    <w:p>
      <w:pPr>
        <w:jc w:val="center"/>
        <w:ind w:right="8000"/>
        <w:spacing w:after="0"/>
        <w:rPr>
          <w:sz w:val="20"/>
          <w:szCs w:val="20"/>
          <w:color w:val="auto"/>
        </w:rPr>
      </w:pPr>
      <w:r>
        <w:rPr>
          <w:rFonts w:ascii="Arial" w:cs="Arial" w:eastAsia="Arial" w:hAnsi="Arial"/>
          <w:sz w:val="15"/>
          <w:szCs w:val="15"/>
          <w:color w:val="auto"/>
        </w:rPr>
        <w:t>Credicorp Ltd.</w:t>
      </w:r>
    </w:p>
    <w:p>
      <w:pPr>
        <w:sectPr>
          <w:pgSz w:w="11900" w:h="16838" w:orient="portrait"/>
          <w:cols w:equalWidth="0" w:num="1">
            <w:col w:w="11420"/>
          </w:cols>
          <w:pgMar w:left="240" w:top="12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February 28, 2006</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2019-12-14T06:56:03Z</dcterms:created>
  <dcterms:modified xsi:type="dcterms:W3CDTF">2019-12-14T06:56:03Z</dcterms:modified>
</cp:coreProperties>
</file>